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67518">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0" w:name="_Toc32304"/>
      <w:bookmarkStart w:id="1" w:name="_Toc13606"/>
      <w:bookmarkStart w:id="2" w:name="_Toc7688"/>
      <w:bookmarkStart w:id="3" w:name="_Toc18334"/>
      <w:bookmarkStart w:id="4" w:name="_Toc721"/>
      <w:bookmarkStart w:id="5" w:name="_Toc19553"/>
      <w:bookmarkStart w:id="6" w:name="_Toc3234"/>
      <w:bookmarkStart w:id="184" w:name="_GoBack"/>
    </w:p>
    <w:p w14:paraId="125D3411">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7" w:name="_Toc20102"/>
      <w:bookmarkStart w:id="8" w:name="_Toc763"/>
      <w:r>
        <w:rPr>
          <w:rFonts w:hint="default" w:ascii="Times New Roman" w:hAnsi="Times New Roman" w:eastAsia="方正小标宋_GBK" w:cs="Times New Roman"/>
          <w:bCs/>
          <w:color w:val="auto"/>
          <w:sz w:val="72"/>
          <w:szCs w:val="72"/>
          <w:highlight w:val="none"/>
        </w:rPr>
        <w:t>建设项目</w:t>
      </w:r>
      <w:r>
        <w:rPr>
          <w:rFonts w:hint="default" w:ascii="Times New Roman" w:hAnsi="Times New Roman" w:eastAsia="方正小标宋_GBK" w:cs="Times New Roman"/>
          <w:b/>
          <w:bCs w:val="0"/>
          <w:color w:val="auto"/>
          <w:sz w:val="72"/>
          <w:szCs w:val="72"/>
          <w:highlight w:val="none"/>
        </w:rPr>
        <w:t>环境影响报告</w:t>
      </w:r>
      <w:r>
        <w:rPr>
          <w:rFonts w:hint="default" w:ascii="Times New Roman" w:hAnsi="Times New Roman" w:eastAsia="方正小标宋_GBK" w:cs="Times New Roman"/>
          <w:bCs/>
          <w:color w:val="auto"/>
          <w:sz w:val="72"/>
          <w:szCs w:val="72"/>
          <w:highlight w:val="none"/>
        </w:rPr>
        <w:t>表</w:t>
      </w:r>
      <w:bookmarkEnd w:id="0"/>
      <w:bookmarkEnd w:id="1"/>
      <w:bookmarkEnd w:id="2"/>
      <w:bookmarkEnd w:id="3"/>
      <w:bookmarkEnd w:id="4"/>
      <w:bookmarkEnd w:id="5"/>
      <w:bookmarkEnd w:id="6"/>
      <w:bookmarkEnd w:id="7"/>
      <w:bookmarkEnd w:id="8"/>
    </w:p>
    <w:p w14:paraId="7AE9F35C">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65E2369E">
      <w:pPr>
        <w:rPr>
          <w:rFonts w:hint="default" w:ascii="Times New Roman" w:hAnsi="Times New Roman" w:cs="Times New Roman"/>
          <w:color w:val="auto"/>
          <w:highlight w:val="none"/>
        </w:rPr>
      </w:pPr>
    </w:p>
    <w:p w14:paraId="1DD47B59">
      <w:pPr>
        <w:rPr>
          <w:rFonts w:hint="default" w:ascii="Times New Roman" w:hAnsi="Times New Roman" w:cs="Times New Roman"/>
          <w:color w:val="auto"/>
          <w:highlight w:val="none"/>
        </w:rPr>
      </w:pPr>
    </w:p>
    <w:p w14:paraId="271D2488">
      <w:pPr>
        <w:rPr>
          <w:rFonts w:hint="default" w:ascii="Times New Roman" w:hAnsi="Times New Roman" w:cs="Times New Roman"/>
          <w:color w:val="auto"/>
          <w:highlight w:val="none"/>
        </w:rPr>
      </w:pPr>
    </w:p>
    <w:p w14:paraId="3C089384">
      <w:pPr>
        <w:rPr>
          <w:rFonts w:hint="default" w:ascii="Times New Roman" w:hAnsi="Times New Roman" w:cs="Times New Roman"/>
          <w:color w:val="auto"/>
          <w:highlight w:val="none"/>
        </w:rPr>
      </w:pPr>
    </w:p>
    <w:p w14:paraId="3B987BDF">
      <w:pPr>
        <w:jc w:val="center"/>
        <w:rPr>
          <w:rFonts w:hint="default" w:ascii="Times New Roman" w:hAnsi="Times New Roman" w:eastAsia="仿宋" w:cs="Times New Roman"/>
          <w:color w:val="auto"/>
          <w:sz w:val="52"/>
          <w:szCs w:val="52"/>
          <w:highlight w:val="none"/>
          <w:lang w:val="en-US" w:eastAsia="zh-CN"/>
        </w:rPr>
      </w:pPr>
    </w:p>
    <w:p w14:paraId="1088C1E0">
      <w:pPr>
        <w:ind w:firstLine="1040"/>
        <w:rPr>
          <w:rFonts w:hint="default" w:ascii="Times New Roman" w:hAnsi="Times New Roman" w:eastAsia="仿宋" w:cs="Times New Roman"/>
          <w:color w:val="auto"/>
          <w:sz w:val="44"/>
          <w:szCs w:val="44"/>
          <w:highlight w:val="none"/>
        </w:rPr>
      </w:pPr>
    </w:p>
    <w:p w14:paraId="651F4AC9">
      <w:pPr>
        <w:ind w:firstLine="1040"/>
        <w:rPr>
          <w:rFonts w:hint="default" w:ascii="Times New Roman" w:hAnsi="Times New Roman" w:eastAsia="仿宋" w:cs="Times New Roman"/>
          <w:color w:val="auto"/>
          <w:sz w:val="44"/>
          <w:szCs w:val="44"/>
          <w:highlight w:val="none"/>
        </w:rPr>
      </w:pPr>
    </w:p>
    <w:p w14:paraId="510A09B8">
      <w:pPr>
        <w:ind w:firstLine="1040"/>
        <w:rPr>
          <w:rFonts w:hint="default" w:ascii="Times New Roman" w:hAnsi="Times New Roman" w:eastAsia="仿宋" w:cs="Times New Roman"/>
          <w:color w:val="auto"/>
          <w:sz w:val="44"/>
          <w:szCs w:val="44"/>
          <w:highlight w:val="none"/>
        </w:rPr>
      </w:pPr>
    </w:p>
    <w:p w14:paraId="3FA8114F">
      <w:pPr>
        <w:ind w:firstLine="1040"/>
        <w:rPr>
          <w:rFonts w:hint="default" w:ascii="Times New Roman" w:hAnsi="Times New Roman" w:eastAsia="仿宋" w:cs="Times New Roman"/>
          <w:color w:val="auto"/>
          <w:sz w:val="44"/>
          <w:szCs w:val="44"/>
          <w:highlight w:val="none"/>
        </w:rPr>
      </w:pPr>
    </w:p>
    <w:p w14:paraId="252AF123">
      <w:pPr>
        <w:pStyle w:val="2"/>
        <w:rPr>
          <w:rFonts w:hint="default"/>
          <w:color w:val="auto"/>
          <w:highlight w:val="none"/>
        </w:rPr>
      </w:pPr>
    </w:p>
    <w:p w14:paraId="445D0D32">
      <w:pPr>
        <w:adjustRightInd w:val="0"/>
        <w:snapToGrid w:val="0"/>
        <w:spacing w:line="288" w:lineRule="auto"/>
        <w:ind w:firstLine="720" w:firstLineChars="200"/>
        <w:rPr>
          <w:rFonts w:hint="default"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项目名称：</w:t>
      </w:r>
      <w:r>
        <w:rPr>
          <w:rFonts w:hint="default" w:ascii="Times New Roman" w:hAnsi="Times New Roman" w:eastAsia="仿宋_GB2312" w:cs="Times New Roman"/>
          <w:color w:val="auto"/>
          <w:sz w:val="36"/>
          <w:szCs w:val="36"/>
          <w:highlight w:val="none"/>
          <w:u w:val="single"/>
          <w:lang w:val="en-US" w:eastAsia="zh-CN"/>
        </w:rPr>
        <w:t xml:space="preserve">  洋县城镇生活污水治理建设项目</w:t>
      </w:r>
      <w:r>
        <w:rPr>
          <w:rFonts w:hint="eastAsia" w:eastAsia="仿宋_GB2312" w:cs="Times New Roman"/>
          <w:color w:val="auto"/>
          <w:sz w:val="36"/>
          <w:szCs w:val="36"/>
          <w:highlight w:val="none"/>
          <w:u w:val="single"/>
          <w:lang w:val="en-US" w:eastAsia="zh-CN"/>
        </w:rPr>
        <w:t>—谢村镇四〇五社区污水处理厂</w:t>
      </w:r>
      <w:r>
        <w:rPr>
          <w:rFonts w:hint="default" w:ascii="Times New Roman" w:hAnsi="Times New Roman" w:eastAsia="仿宋_GB2312" w:cs="Times New Roman"/>
          <w:color w:val="auto"/>
          <w:sz w:val="36"/>
          <w:szCs w:val="36"/>
          <w:highlight w:val="none"/>
          <w:u w:val="single"/>
        </w:rPr>
        <w:t xml:space="preserve">  </w:t>
      </w:r>
    </w:p>
    <w:p w14:paraId="18551DB6">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color w:val="auto"/>
          <w:sz w:val="36"/>
          <w:szCs w:val="36"/>
          <w:highlight w:val="none"/>
          <w:u w:val="single"/>
          <w:lang w:val="en-US"/>
        </w:rPr>
      </w:pPr>
      <w:r>
        <w:rPr>
          <w:rFonts w:hint="default" w:ascii="Times New Roman" w:hAnsi="Times New Roman" w:eastAsia="仿宋_GB2312" w:cs="Times New Roman"/>
          <w:color w:val="auto"/>
          <w:sz w:val="36"/>
          <w:szCs w:val="36"/>
          <w:highlight w:val="none"/>
        </w:rPr>
        <w:t>建设单位（盖章）：</w:t>
      </w:r>
      <w:r>
        <w:rPr>
          <w:rFonts w:hint="default" w:ascii="Times New Roman" w:hAnsi="Times New Roman" w:eastAsia="仿宋_GB2312" w:cs="Times New Roman"/>
          <w:color w:val="auto"/>
          <w:sz w:val="36"/>
          <w:szCs w:val="36"/>
          <w:highlight w:val="none"/>
          <w:u w:val="single"/>
          <w:lang w:val="en-US" w:eastAsia="zh-CN"/>
        </w:rPr>
        <w:t xml:space="preserve"> </w:t>
      </w:r>
      <w:r>
        <w:rPr>
          <w:rFonts w:hint="default" w:ascii="Times New Roman" w:hAnsi="Times New Roman" w:eastAsia="仿宋_GB2312" w:cs="Times New Roman"/>
          <w:color w:val="auto"/>
          <w:spacing w:val="0"/>
          <w:sz w:val="36"/>
          <w:szCs w:val="36"/>
          <w:highlight w:val="none"/>
          <w:u w:val="single"/>
          <w:lang w:val="en-US" w:eastAsia="zh-CN"/>
        </w:rPr>
        <w:t>洋县住房和城乡建设管理局</w:t>
      </w:r>
      <w:r>
        <w:rPr>
          <w:rFonts w:hint="eastAsia" w:eastAsia="仿宋_GB2312" w:cs="Times New Roman"/>
          <w:color w:val="auto"/>
          <w:spacing w:val="0"/>
          <w:sz w:val="36"/>
          <w:szCs w:val="36"/>
          <w:highlight w:val="none"/>
          <w:u w:val="single"/>
          <w:lang w:val="en-US" w:eastAsia="zh-CN"/>
        </w:rPr>
        <w:t xml:space="preserve"> </w:t>
      </w:r>
    </w:p>
    <w:p w14:paraId="45B452A4">
      <w:pPr>
        <w:adjustRightInd w:val="0"/>
        <w:snapToGrid w:val="0"/>
        <w:spacing w:line="288" w:lineRule="auto"/>
        <w:ind w:firstLine="720" w:firstLineChars="200"/>
        <w:jc w:val="left"/>
        <w:rPr>
          <w:rFonts w:hint="default" w:ascii="Times New Roman" w:hAnsi="Times New Roman" w:eastAsia="仿宋_GB2312" w:cs="Times New Roman"/>
          <w:color w:val="auto"/>
          <w:sz w:val="36"/>
          <w:szCs w:val="36"/>
          <w:highlight w:val="none"/>
          <w:u w:val="single"/>
          <w:lang w:val="en-US"/>
        </w:rPr>
      </w:pPr>
      <w:r>
        <w:rPr>
          <w:rFonts w:hint="default" w:ascii="Times New Roman" w:hAnsi="Times New Roman" w:eastAsia="仿宋_GB2312" w:cs="Times New Roman"/>
          <w:color w:val="auto"/>
          <w:sz w:val="36"/>
          <w:szCs w:val="36"/>
          <w:highlight w:val="none"/>
        </w:rPr>
        <w:t>编制日期：</w:t>
      </w:r>
      <w:r>
        <w:rPr>
          <w:rFonts w:hint="default" w:ascii="Times New Roman" w:hAnsi="Times New Roman" w:eastAsia="仿宋_GB2312" w:cs="Times New Roman"/>
          <w:color w:val="auto"/>
          <w:sz w:val="36"/>
          <w:szCs w:val="36"/>
          <w:highlight w:val="none"/>
          <w:u w:val="single"/>
          <w:lang w:val="en-US" w:eastAsia="zh-CN"/>
        </w:rPr>
        <w:t xml:space="preserve">       二〇二</w:t>
      </w:r>
      <w:r>
        <w:rPr>
          <w:rFonts w:hint="eastAsia" w:eastAsia="仿宋_GB2312" w:cs="Times New Roman"/>
          <w:color w:val="auto"/>
          <w:sz w:val="36"/>
          <w:szCs w:val="36"/>
          <w:highlight w:val="none"/>
          <w:u w:val="single"/>
          <w:lang w:val="en-US" w:eastAsia="zh-CN"/>
        </w:rPr>
        <w:t>六</w:t>
      </w:r>
      <w:r>
        <w:rPr>
          <w:rFonts w:hint="default" w:ascii="Times New Roman" w:hAnsi="Times New Roman" w:eastAsia="仿宋_GB2312" w:cs="Times New Roman"/>
          <w:color w:val="auto"/>
          <w:sz w:val="36"/>
          <w:szCs w:val="36"/>
          <w:highlight w:val="none"/>
          <w:u w:val="single"/>
          <w:lang w:val="en-US" w:eastAsia="zh-CN"/>
        </w:rPr>
        <w:t>年</w:t>
      </w:r>
      <w:r>
        <w:rPr>
          <w:rFonts w:hint="eastAsia" w:eastAsia="仿宋_GB2312" w:cs="Times New Roman"/>
          <w:color w:val="auto"/>
          <w:sz w:val="36"/>
          <w:szCs w:val="36"/>
          <w:highlight w:val="none"/>
          <w:u w:val="single"/>
          <w:lang w:val="en-US" w:eastAsia="zh-CN"/>
        </w:rPr>
        <w:t>十</w:t>
      </w:r>
      <w:r>
        <w:rPr>
          <w:rFonts w:hint="default" w:ascii="Times New Roman" w:hAnsi="Times New Roman" w:eastAsia="仿宋_GB2312" w:cs="Times New Roman"/>
          <w:color w:val="auto"/>
          <w:sz w:val="36"/>
          <w:szCs w:val="36"/>
          <w:highlight w:val="none"/>
          <w:u w:val="single"/>
          <w:lang w:val="en-US" w:eastAsia="zh-CN"/>
        </w:rPr>
        <w:t xml:space="preserve">月            </w:t>
      </w:r>
      <w:r>
        <w:rPr>
          <w:rFonts w:hint="eastAsia" w:eastAsia="仿宋_GB2312" w:cs="Times New Roman"/>
          <w:color w:val="auto"/>
          <w:sz w:val="36"/>
          <w:szCs w:val="36"/>
          <w:highlight w:val="none"/>
          <w:u w:val="single"/>
          <w:lang w:val="en-US" w:eastAsia="zh-CN"/>
        </w:rPr>
        <w:t xml:space="preserve"> </w:t>
      </w:r>
    </w:p>
    <w:p w14:paraId="6CE1C32D">
      <w:pPr>
        <w:adjustRightInd w:val="0"/>
        <w:snapToGrid w:val="0"/>
        <w:spacing w:line="288" w:lineRule="auto"/>
        <w:ind w:firstLine="1040"/>
        <w:rPr>
          <w:rFonts w:hint="default" w:ascii="Times New Roman" w:hAnsi="Times New Roman" w:eastAsia="仿宋_GB2312" w:cs="Times New Roman"/>
          <w:color w:val="auto"/>
          <w:sz w:val="36"/>
          <w:szCs w:val="36"/>
          <w:highlight w:val="none"/>
          <w:u w:val="single"/>
        </w:rPr>
      </w:pPr>
      <w:bookmarkStart w:id="9" w:name="_Hlk57884087"/>
    </w:p>
    <w:p w14:paraId="0F2C453C">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29B72276">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758EE35D">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5D95D641">
      <w:pPr>
        <w:pStyle w:val="2"/>
        <w:rPr>
          <w:rFonts w:hint="default"/>
          <w:color w:val="auto"/>
          <w:highlight w:val="none"/>
        </w:rPr>
      </w:pPr>
    </w:p>
    <w:p w14:paraId="4165CEAF">
      <w:pPr>
        <w:pStyle w:val="2"/>
        <w:rPr>
          <w:rFonts w:hint="default"/>
          <w:color w:val="auto"/>
          <w:highlight w:val="none"/>
        </w:rPr>
      </w:pPr>
    </w:p>
    <w:bookmarkEnd w:id="9"/>
    <w:p w14:paraId="2A3A50DE">
      <w:pPr>
        <w:adjustRightInd w:val="0"/>
        <w:snapToGrid w:val="0"/>
        <w:spacing w:line="288" w:lineRule="auto"/>
        <w:jc w:val="center"/>
        <w:rPr>
          <w:rFonts w:hint="default" w:ascii="Times New Roman" w:hAnsi="Times New Roman" w:eastAsia="楷体_GB2312" w:cs="Times New Roman"/>
          <w:color w:val="auto"/>
          <w:sz w:val="36"/>
          <w:szCs w:val="36"/>
          <w:highlight w:val="none"/>
        </w:rPr>
      </w:pPr>
      <w:r>
        <w:rPr>
          <w:rFonts w:hint="default" w:ascii="Times New Roman" w:hAnsi="Times New Roman" w:eastAsia="楷体_GB2312" w:cs="Times New Roman"/>
          <w:color w:val="auto"/>
          <w:sz w:val="36"/>
          <w:szCs w:val="36"/>
          <w:highlight w:val="none"/>
        </w:rPr>
        <w:t>中华人民共和国生态环境部制</w:t>
      </w:r>
    </w:p>
    <w:p w14:paraId="59DFEF63">
      <w:pPr>
        <w:adjustRightInd w:val="0"/>
        <w:snapToGrid w:val="0"/>
        <w:spacing w:line="288" w:lineRule="auto"/>
        <w:ind w:firstLine="1040"/>
        <w:jc w:val="center"/>
        <w:rPr>
          <w:rFonts w:hint="default" w:ascii="Times New Roman" w:hAnsi="Times New Roman" w:eastAsia="仿宋_GB2312" w:cs="Times New Roman"/>
          <w:color w:val="auto"/>
          <w:sz w:val="36"/>
          <w:szCs w:val="36"/>
          <w:highlight w:val="none"/>
        </w:rPr>
      </w:pPr>
      <w:r>
        <w:rPr>
          <w:rFonts w:hint="default" w:ascii="Times New Roman" w:hAnsi="Times New Roman" w:eastAsia="仿宋_GB2312" w:cs="Times New Roman"/>
          <w:color w:val="auto"/>
          <w:sz w:val="36"/>
          <w:szCs w:val="36"/>
          <w:highlight w:val="none"/>
        </w:rPr>
        <w:br w:type="page"/>
      </w:r>
    </w:p>
    <w:p w14:paraId="5D6CF83F">
      <w:pPr>
        <w:pStyle w:val="2"/>
        <w:rPr>
          <w:rFonts w:hint="default" w:ascii="Times New Roman" w:hAnsi="Times New Roman" w:eastAsia="仿宋_GB2312" w:cs="Times New Roman"/>
          <w:color w:val="auto"/>
          <w:sz w:val="36"/>
          <w:szCs w:val="36"/>
          <w:highlight w:val="none"/>
        </w:rPr>
      </w:pPr>
    </w:p>
    <w:p w14:paraId="557C1401">
      <w:pPr>
        <w:pStyle w:val="43"/>
        <w:rPr>
          <w:rFonts w:hint="default"/>
          <w:color w:val="auto"/>
          <w:highlight w:val="none"/>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449BAE1A">
      <w:pPr>
        <w:pStyle w:val="28"/>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10" w:name="_Toc18139"/>
      <w:bookmarkStart w:id="11" w:name="_Toc903"/>
      <w:bookmarkStart w:id="12" w:name="_Toc2471"/>
      <w:bookmarkStart w:id="13" w:name="_Toc15111"/>
      <w:bookmarkStart w:id="14" w:name="_Toc24160"/>
      <w:bookmarkStart w:id="15" w:name="_Toc13895"/>
      <w:bookmarkStart w:id="16" w:name="_Toc24337"/>
      <w:bookmarkStart w:id="17" w:name="_Toc5453"/>
      <w:bookmarkStart w:id="18" w:name="_Toc29165"/>
      <w:r>
        <w:rPr>
          <w:rFonts w:hint="default" w:ascii="Times New Roman" w:hAnsi="Times New Roman" w:eastAsia="黑体" w:cs="Times New Roman"/>
          <w:snapToGrid w:val="0"/>
          <w:color w:val="auto"/>
          <w:sz w:val="30"/>
          <w:szCs w:val="30"/>
          <w:highlight w:val="none"/>
        </w:rPr>
        <w:t>一、建设项目基本情况</w:t>
      </w:r>
      <w:bookmarkEnd w:id="10"/>
      <w:bookmarkEnd w:id="11"/>
      <w:bookmarkEnd w:id="12"/>
      <w:bookmarkEnd w:id="13"/>
      <w:bookmarkEnd w:id="14"/>
      <w:bookmarkEnd w:id="15"/>
      <w:bookmarkEnd w:id="16"/>
      <w:bookmarkEnd w:id="17"/>
      <w:bookmarkEnd w:id="18"/>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230"/>
        <w:gridCol w:w="2658"/>
        <w:gridCol w:w="2066"/>
        <w:gridCol w:w="2916"/>
      </w:tblGrid>
      <w:tr w14:paraId="7736D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40F98A3A">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建设项目</w:t>
            </w:r>
          </w:p>
          <w:p w14:paraId="09A76CD1">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名称</w:t>
            </w:r>
          </w:p>
        </w:tc>
        <w:tc>
          <w:tcPr>
            <w:tcW w:w="7640" w:type="dxa"/>
            <w:gridSpan w:val="3"/>
            <w:noWrap w:val="0"/>
            <w:vAlign w:val="center"/>
          </w:tcPr>
          <w:p w14:paraId="58350BF0">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洋县城镇生活污水治理建设项目—谢村镇四〇五社区污水处理厂</w:t>
            </w:r>
          </w:p>
        </w:tc>
      </w:tr>
      <w:tr w14:paraId="3E6C7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53012769">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项目代码</w:t>
            </w:r>
          </w:p>
        </w:tc>
        <w:tc>
          <w:tcPr>
            <w:tcW w:w="7640" w:type="dxa"/>
            <w:gridSpan w:val="3"/>
            <w:noWrap w:val="0"/>
            <w:vAlign w:val="center"/>
          </w:tcPr>
          <w:p w14:paraId="60D09269">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2211-610723-04-01-204387</w:t>
            </w:r>
          </w:p>
        </w:tc>
      </w:tr>
      <w:tr w14:paraId="1D322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4AB3566F">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建设单位</w:t>
            </w:r>
          </w:p>
          <w:p w14:paraId="62BBE5AB">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联系人</w:t>
            </w:r>
          </w:p>
        </w:tc>
        <w:tc>
          <w:tcPr>
            <w:tcW w:w="2658" w:type="dxa"/>
            <w:noWrap w:val="0"/>
            <w:vAlign w:val="center"/>
          </w:tcPr>
          <w:p w14:paraId="317F44CF">
            <w:pPr>
              <w:adjustRightInd w:val="0"/>
              <w:snapToGrid w:val="0"/>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宋涛</w:t>
            </w:r>
          </w:p>
        </w:tc>
        <w:tc>
          <w:tcPr>
            <w:tcW w:w="2066" w:type="dxa"/>
            <w:noWrap w:val="0"/>
            <w:vAlign w:val="center"/>
          </w:tcPr>
          <w:p w14:paraId="2EF69127">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联系方式</w:t>
            </w:r>
          </w:p>
        </w:tc>
        <w:tc>
          <w:tcPr>
            <w:tcW w:w="2916" w:type="dxa"/>
            <w:noWrap w:val="0"/>
            <w:vAlign w:val="center"/>
          </w:tcPr>
          <w:p w14:paraId="02B8AB7C">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13891617952</w:t>
            </w:r>
          </w:p>
        </w:tc>
      </w:tr>
      <w:tr w14:paraId="1829D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3F13084F">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建设地点</w:t>
            </w:r>
          </w:p>
        </w:tc>
        <w:tc>
          <w:tcPr>
            <w:tcW w:w="7640" w:type="dxa"/>
            <w:gridSpan w:val="3"/>
            <w:noWrap w:val="0"/>
            <w:vAlign w:val="center"/>
          </w:tcPr>
          <w:p w14:paraId="7ABD9F17">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陕西省汉中市</w:t>
            </w:r>
            <w:r>
              <w:rPr>
                <w:rFonts w:hint="eastAsia" w:cs="Times New Roman"/>
                <w:color w:val="auto"/>
                <w:sz w:val="24"/>
                <w:highlight w:val="none"/>
                <w:lang w:val="en-US" w:eastAsia="zh-CN"/>
              </w:rPr>
              <w:t>洋</w:t>
            </w:r>
            <w:r>
              <w:rPr>
                <w:rFonts w:hint="default" w:ascii="Times New Roman" w:hAnsi="Times New Roman" w:cs="Times New Roman"/>
                <w:color w:val="auto"/>
                <w:sz w:val="24"/>
                <w:highlight w:val="none"/>
                <w:lang w:val="en-US" w:eastAsia="zh-CN"/>
              </w:rPr>
              <w:t>县</w:t>
            </w:r>
            <w:r>
              <w:rPr>
                <w:rFonts w:hint="eastAsia" w:cs="Times New Roman"/>
                <w:color w:val="auto"/>
                <w:sz w:val="24"/>
                <w:highlight w:val="none"/>
                <w:lang w:val="en-US" w:eastAsia="zh-CN"/>
              </w:rPr>
              <w:t>谢村镇四</w:t>
            </w:r>
            <w:r>
              <w:rPr>
                <w:rFonts w:hint="default" w:ascii="Times New Roman" w:hAnsi="Times New Roman" w:cs="Times New Roman"/>
                <w:color w:val="auto"/>
                <w:sz w:val="24"/>
                <w:highlight w:val="none"/>
                <w:lang w:val="en-US" w:eastAsia="zh-CN"/>
              </w:rPr>
              <w:t>〇</w:t>
            </w:r>
            <w:r>
              <w:rPr>
                <w:rFonts w:hint="eastAsia" w:cs="Times New Roman"/>
                <w:color w:val="auto"/>
                <w:sz w:val="24"/>
                <w:highlight w:val="none"/>
                <w:lang w:val="en-US" w:eastAsia="zh-CN"/>
              </w:rPr>
              <w:t>五社区</w:t>
            </w:r>
          </w:p>
        </w:tc>
      </w:tr>
      <w:tr w14:paraId="7748F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0036BB08">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地理坐标</w:t>
            </w:r>
          </w:p>
        </w:tc>
        <w:tc>
          <w:tcPr>
            <w:tcW w:w="7640" w:type="dxa"/>
            <w:gridSpan w:val="3"/>
            <w:noWrap w:val="0"/>
            <w:vAlign w:val="center"/>
          </w:tcPr>
          <w:p w14:paraId="7DEEC0AC">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（10</w:t>
            </w:r>
            <w:r>
              <w:rPr>
                <w:rFonts w:hint="eastAsia" w:cs="Times New Roman"/>
                <w:color w:val="auto"/>
                <w:sz w:val="24"/>
                <w:highlight w:val="none"/>
                <w:lang w:val="en-US" w:eastAsia="zh-CN"/>
              </w:rPr>
              <w:t>7</w:t>
            </w:r>
            <w:r>
              <w:rPr>
                <w:rFonts w:hint="default" w:ascii="Times New Roman" w:hAnsi="Times New Roman" w:cs="Times New Roman"/>
                <w:color w:val="auto"/>
                <w:sz w:val="24"/>
                <w:highlight w:val="none"/>
                <w:lang w:val="en-US" w:eastAsia="zh-CN"/>
              </w:rPr>
              <w:t>度</w:t>
            </w:r>
            <w:r>
              <w:rPr>
                <w:rFonts w:hint="eastAsia" w:cs="Times New Roman"/>
                <w:color w:val="auto"/>
                <w:sz w:val="24"/>
                <w:highlight w:val="none"/>
                <w:lang w:val="en-US" w:eastAsia="zh-CN"/>
              </w:rPr>
              <w:t>26</w:t>
            </w:r>
            <w:r>
              <w:rPr>
                <w:rFonts w:hint="default" w:ascii="Times New Roman" w:hAnsi="Times New Roman" w:cs="Times New Roman"/>
                <w:color w:val="auto"/>
                <w:sz w:val="24"/>
                <w:highlight w:val="none"/>
                <w:lang w:val="en-US" w:eastAsia="zh-CN"/>
              </w:rPr>
              <w:t>分</w:t>
            </w:r>
            <w:r>
              <w:rPr>
                <w:rFonts w:hint="eastAsia" w:cs="Times New Roman"/>
                <w:color w:val="auto"/>
                <w:sz w:val="24"/>
                <w:highlight w:val="none"/>
                <w:lang w:val="en-US" w:eastAsia="zh-CN"/>
              </w:rPr>
              <w:t>55.007</w:t>
            </w:r>
            <w:r>
              <w:rPr>
                <w:rFonts w:hint="default" w:ascii="Times New Roman" w:hAnsi="Times New Roman" w:cs="Times New Roman"/>
                <w:color w:val="auto"/>
                <w:sz w:val="24"/>
                <w:highlight w:val="none"/>
                <w:lang w:val="en-US" w:eastAsia="zh-CN"/>
              </w:rPr>
              <w:t>秒，33度1</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lang w:val="en-US" w:eastAsia="zh-CN"/>
              </w:rPr>
              <w:t>分</w:t>
            </w:r>
            <w:r>
              <w:rPr>
                <w:rFonts w:hint="eastAsia" w:cs="Times New Roman"/>
                <w:color w:val="auto"/>
                <w:sz w:val="24"/>
                <w:highlight w:val="none"/>
                <w:lang w:val="en-US" w:eastAsia="zh-CN"/>
              </w:rPr>
              <w:t>19.530</w:t>
            </w:r>
            <w:r>
              <w:rPr>
                <w:rFonts w:hint="default" w:ascii="Times New Roman" w:hAnsi="Times New Roman" w:cs="Times New Roman"/>
                <w:color w:val="auto"/>
                <w:sz w:val="24"/>
                <w:highlight w:val="none"/>
                <w:lang w:val="en-US" w:eastAsia="zh-CN"/>
              </w:rPr>
              <w:t>秒）</w:t>
            </w:r>
          </w:p>
        </w:tc>
      </w:tr>
      <w:tr w14:paraId="5862F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485E345F">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国民经济</w:t>
            </w:r>
          </w:p>
          <w:p w14:paraId="189CE291">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行业类别</w:t>
            </w:r>
          </w:p>
        </w:tc>
        <w:tc>
          <w:tcPr>
            <w:tcW w:w="2658" w:type="dxa"/>
            <w:noWrap w:val="0"/>
            <w:vAlign w:val="center"/>
          </w:tcPr>
          <w:p w14:paraId="55B5BCC4">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污水处理及其再生利用D4620</w:t>
            </w:r>
          </w:p>
        </w:tc>
        <w:tc>
          <w:tcPr>
            <w:tcW w:w="2066" w:type="dxa"/>
            <w:noWrap w:val="0"/>
            <w:vAlign w:val="center"/>
          </w:tcPr>
          <w:p w14:paraId="5B4C3946">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建设项目</w:t>
            </w:r>
          </w:p>
          <w:p w14:paraId="47E55D14">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行业类别</w:t>
            </w:r>
          </w:p>
        </w:tc>
        <w:tc>
          <w:tcPr>
            <w:tcW w:w="2916" w:type="dxa"/>
            <w:noWrap w:val="0"/>
            <w:vAlign w:val="center"/>
          </w:tcPr>
          <w:p w14:paraId="194B7B31">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四十三、水的生产和供应业-95.污水处理及其再生利用-新建、扩建日处理10万吨以下500吨及以上城乡污水处理的</w:t>
            </w:r>
          </w:p>
        </w:tc>
      </w:tr>
      <w:tr w14:paraId="3608E7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4CDD80BA">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建设性质</w:t>
            </w:r>
          </w:p>
        </w:tc>
        <w:tc>
          <w:tcPr>
            <w:tcW w:w="2658" w:type="dxa"/>
            <w:noWrap w:val="0"/>
            <w:vAlign w:val="center"/>
          </w:tcPr>
          <w:p w14:paraId="358393FA">
            <w:pPr>
              <w:adjustRightInd w:val="0"/>
              <w:snapToGrid w:val="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52"/>
            </w:r>
            <w:r>
              <w:rPr>
                <w:rFonts w:hint="default" w:ascii="Times New Roman" w:hAnsi="Times New Roman" w:cs="Times New Roman"/>
                <w:color w:val="auto"/>
                <w:sz w:val="24"/>
                <w:highlight w:val="none"/>
                <w:lang w:val="en-US" w:eastAsia="zh-CN"/>
              </w:rPr>
              <w:t>新建（迁建）</w:t>
            </w:r>
          </w:p>
          <w:p w14:paraId="6D1F5DF1">
            <w:pPr>
              <w:adjustRightInd w:val="0"/>
              <w:snapToGrid w:val="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A3"/>
            </w:r>
            <w:r>
              <w:rPr>
                <w:rFonts w:hint="default" w:ascii="Times New Roman" w:hAnsi="Times New Roman" w:cs="Times New Roman"/>
                <w:color w:val="auto"/>
                <w:sz w:val="24"/>
                <w:highlight w:val="none"/>
                <w:lang w:val="en-US" w:eastAsia="zh-CN"/>
              </w:rPr>
              <w:t>改建</w:t>
            </w:r>
          </w:p>
          <w:p w14:paraId="3B356DFF">
            <w:pPr>
              <w:adjustRightInd w:val="0"/>
              <w:snapToGrid w:val="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A3"/>
            </w:r>
            <w:r>
              <w:rPr>
                <w:rFonts w:hint="default" w:ascii="Times New Roman" w:hAnsi="Times New Roman" w:cs="Times New Roman"/>
                <w:color w:val="auto"/>
                <w:sz w:val="24"/>
                <w:highlight w:val="none"/>
                <w:lang w:val="en-US" w:eastAsia="zh-CN"/>
              </w:rPr>
              <w:t>扩建</w:t>
            </w:r>
          </w:p>
          <w:p w14:paraId="347C0F16">
            <w:pPr>
              <w:adjustRightInd w:val="0"/>
              <w:snapToGrid w:val="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A3"/>
            </w:r>
            <w:r>
              <w:rPr>
                <w:rFonts w:hint="default" w:ascii="Times New Roman" w:hAnsi="Times New Roman" w:cs="Times New Roman"/>
                <w:color w:val="auto"/>
                <w:sz w:val="24"/>
                <w:highlight w:val="none"/>
                <w:lang w:val="en-US" w:eastAsia="zh-CN"/>
              </w:rPr>
              <w:t>技术改造</w:t>
            </w:r>
          </w:p>
        </w:tc>
        <w:tc>
          <w:tcPr>
            <w:tcW w:w="2066" w:type="dxa"/>
            <w:noWrap w:val="0"/>
            <w:vAlign w:val="center"/>
          </w:tcPr>
          <w:p w14:paraId="0210EB79">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建设项目</w:t>
            </w:r>
          </w:p>
          <w:p w14:paraId="6261E487">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申报情形</w:t>
            </w:r>
          </w:p>
        </w:tc>
        <w:tc>
          <w:tcPr>
            <w:tcW w:w="2916" w:type="dxa"/>
            <w:noWrap w:val="0"/>
            <w:vAlign w:val="center"/>
          </w:tcPr>
          <w:p w14:paraId="10A32AD1">
            <w:pPr>
              <w:adjustRightInd w:val="0"/>
              <w:snapToGrid w:val="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52"/>
            </w:r>
            <w:r>
              <w:rPr>
                <w:rFonts w:hint="default" w:ascii="Times New Roman" w:hAnsi="Times New Roman" w:cs="Times New Roman"/>
                <w:color w:val="auto"/>
                <w:sz w:val="24"/>
                <w:highlight w:val="none"/>
                <w:lang w:val="en-US" w:eastAsia="zh-CN"/>
              </w:rPr>
              <w:t xml:space="preserve">首次申报项目             </w:t>
            </w:r>
          </w:p>
          <w:p w14:paraId="073F7D3A">
            <w:pPr>
              <w:adjustRightInd w:val="0"/>
              <w:snapToGrid w:val="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A3"/>
            </w:r>
            <w:r>
              <w:rPr>
                <w:rFonts w:hint="default" w:ascii="Times New Roman" w:hAnsi="Times New Roman" w:cs="Times New Roman"/>
                <w:color w:val="auto"/>
                <w:sz w:val="24"/>
                <w:highlight w:val="none"/>
                <w:lang w:val="en-US" w:eastAsia="zh-CN"/>
              </w:rPr>
              <w:t>不予批准后再次申报项目</w:t>
            </w:r>
          </w:p>
          <w:p w14:paraId="7DFB1B9E">
            <w:pPr>
              <w:adjustRightInd w:val="0"/>
              <w:snapToGrid w:val="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A3"/>
            </w:r>
            <w:r>
              <w:rPr>
                <w:rFonts w:hint="default" w:ascii="Times New Roman" w:hAnsi="Times New Roman" w:cs="Times New Roman"/>
                <w:color w:val="auto"/>
                <w:sz w:val="24"/>
                <w:highlight w:val="none"/>
                <w:lang w:val="en-US" w:eastAsia="zh-CN"/>
              </w:rPr>
              <w:t xml:space="preserve">超五年重新审核项目     </w:t>
            </w:r>
          </w:p>
          <w:p w14:paraId="0ADBB64C">
            <w:pPr>
              <w:adjustRightInd w:val="0"/>
              <w:snapToGrid w:val="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sym w:font="Wingdings 2" w:char="00A3"/>
            </w:r>
            <w:r>
              <w:rPr>
                <w:rFonts w:hint="default" w:ascii="Times New Roman" w:hAnsi="Times New Roman" w:cs="Times New Roman"/>
                <w:color w:val="auto"/>
                <w:sz w:val="24"/>
                <w:highlight w:val="none"/>
                <w:lang w:val="en-US" w:eastAsia="zh-CN"/>
              </w:rPr>
              <w:t>重大变动重新报批项目</w:t>
            </w:r>
          </w:p>
        </w:tc>
      </w:tr>
      <w:tr w14:paraId="40F81A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04781EA5">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项目审批</w:t>
            </w:r>
          </w:p>
          <w:p w14:paraId="64229CAE">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（核准/备案）部门</w:t>
            </w:r>
          </w:p>
        </w:tc>
        <w:tc>
          <w:tcPr>
            <w:tcW w:w="2658" w:type="dxa"/>
            <w:noWrap w:val="0"/>
            <w:vAlign w:val="center"/>
          </w:tcPr>
          <w:p w14:paraId="43D5D3CE">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洋</w:t>
            </w:r>
            <w:r>
              <w:rPr>
                <w:rFonts w:hint="default" w:ascii="Times New Roman" w:hAnsi="Times New Roman" w:cs="Times New Roman"/>
                <w:color w:val="auto"/>
                <w:sz w:val="24"/>
                <w:highlight w:val="none"/>
                <w:lang w:val="en-US" w:eastAsia="zh-CN"/>
              </w:rPr>
              <w:t>县发展和改革局</w:t>
            </w:r>
          </w:p>
        </w:tc>
        <w:tc>
          <w:tcPr>
            <w:tcW w:w="2066" w:type="dxa"/>
            <w:noWrap w:val="0"/>
            <w:vAlign w:val="center"/>
          </w:tcPr>
          <w:p w14:paraId="717EC022">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项目审批（核准/</w:t>
            </w:r>
          </w:p>
          <w:p w14:paraId="1B44A017">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备案）文号（选填）</w:t>
            </w:r>
          </w:p>
        </w:tc>
        <w:tc>
          <w:tcPr>
            <w:tcW w:w="2916" w:type="dxa"/>
            <w:noWrap w:val="0"/>
            <w:vAlign w:val="center"/>
          </w:tcPr>
          <w:p w14:paraId="46C2F45A">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洋发改发[2023]201号</w:t>
            </w:r>
          </w:p>
        </w:tc>
      </w:tr>
      <w:tr w14:paraId="2ED66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4998F5BD">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总投资</w:t>
            </w:r>
          </w:p>
          <w:p w14:paraId="78BEF372">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（万元）</w:t>
            </w:r>
          </w:p>
        </w:tc>
        <w:tc>
          <w:tcPr>
            <w:tcW w:w="2658" w:type="dxa"/>
            <w:noWrap w:val="0"/>
            <w:vAlign w:val="center"/>
          </w:tcPr>
          <w:p w14:paraId="13AED639">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2053.62</w:t>
            </w:r>
          </w:p>
        </w:tc>
        <w:tc>
          <w:tcPr>
            <w:tcW w:w="2066" w:type="dxa"/>
            <w:noWrap w:val="0"/>
            <w:tcMar>
              <w:top w:w="16" w:type="dxa"/>
              <w:left w:w="16" w:type="dxa"/>
              <w:right w:w="16" w:type="dxa"/>
            </w:tcMar>
            <w:vAlign w:val="center"/>
          </w:tcPr>
          <w:p w14:paraId="561C69A5">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环保投资（万元）</w:t>
            </w:r>
          </w:p>
        </w:tc>
        <w:tc>
          <w:tcPr>
            <w:tcW w:w="2916" w:type="dxa"/>
            <w:noWrap w:val="0"/>
            <w:vAlign w:val="center"/>
          </w:tcPr>
          <w:p w14:paraId="2234CE5A">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2053.62</w:t>
            </w:r>
          </w:p>
        </w:tc>
      </w:tr>
      <w:tr w14:paraId="59E106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250E8005">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环保投资</w:t>
            </w:r>
          </w:p>
          <w:p w14:paraId="058B8703">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占比（%）</w:t>
            </w:r>
          </w:p>
        </w:tc>
        <w:tc>
          <w:tcPr>
            <w:tcW w:w="2658" w:type="dxa"/>
            <w:noWrap w:val="0"/>
            <w:vAlign w:val="center"/>
          </w:tcPr>
          <w:p w14:paraId="234C1306">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100</w:t>
            </w:r>
          </w:p>
        </w:tc>
        <w:tc>
          <w:tcPr>
            <w:tcW w:w="2066" w:type="dxa"/>
            <w:noWrap w:val="0"/>
            <w:tcMar>
              <w:top w:w="16" w:type="dxa"/>
              <w:left w:w="16" w:type="dxa"/>
              <w:right w:w="16" w:type="dxa"/>
            </w:tcMar>
            <w:vAlign w:val="center"/>
          </w:tcPr>
          <w:p w14:paraId="4B1A2CD9">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施工工期</w:t>
            </w:r>
          </w:p>
        </w:tc>
        <w:tc>
          <w:tcPr>
            <w:tcW w:w="2916" w:type="dxa"/>
            <w:noWrap w:val="0"/>
            <w:vAlign w:val="center"/>
          </w:tcPr>
          <w:p w14:paraId="1C8F223B">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6个月</w:t>
            </w:r>
          </w:p>
        </w:tc>
      </w:tr>
      <w:tr w14:paraId="2B5523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18200B2F">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是否开工</w:t>
            </w:r>
          </w:p>
          <w:p w14:paraId="53471F0F">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建设</w:t>
            </w:r>
          </w:p>
        </w:tc>
        <w:tc>
          <w:tcPr>
            <w:tcW w:w="2658" w:type="dxa"/>
            <w:noWrap w:val="0"/>
            <w:vAlign w:val="center"/>
          </w:tcPr>
          <w:p w14:paraId="31ACF146">
            <w:pPr>
              <w:adjustRightInd w:val="0"/>
              <w:snapToGrid w:val="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否</w:t>
            </w:r>
            <w:r>
              <w:rPr>
                <w:rFonts w:hint="eastAsia" w:cs="Times New Roman"/>
                <w:color w:val="auto"/>
                <w:sz w:val="24"/>
                <w:highlight w:val="none"/>
                <w:lang w:eastAsia="zh-CN"/>
              </w:rPr>
              <w:t>：</w:t>
            </w:r>
          </w:p>
          <w:p w14:paraId="4BEDD0AD">
            <w:pPr>
              <w:adjustRightInd w:val="0"/>
              <w:snapToGrid w:val="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是</w:t>
            </w:r>
            <w:r>
              <w:rPr>
                <w:rFonts w:hint="eastAsia" w:cs="Times New Roman"/>
                <w:color w:val="auto"/>
                <w:sz w:val="24"/>
                <w:highlight w:val="none"/>
                <w:lang w:eastAsia="zh-CN"/>
              </w:rPr>
              <w:t>：</w:t>
            </w:r>
            <w:r>
              <w:rPr>
                <w:rFonts w:hint="eastAsia" w:cs="Times New Roman"/>
                <w:b w:val="0"/>
                <w:bCs w:val="0"/>
                <w:color w:val="auto"/>
                <w:sz w:val="24"/>
                <w:highlight w:val="none"/>
                <w:u w:val="single"/>
                <w:lang w:val="en-US" w:eastAsia="zh-CN"/>
              </w:rPr>
              <w:t xml:space="preserve">              </w:t>
            </w:r>
          </w:p>
        </w:tc>
        <w:tc>
          <w:tcPr>
            <w:tcW w:w="2066" w:type="dxa"/>
            <w:noWrap w:val="0"/>
            <w:tcMar>
              <w:top w:w="16" w:type="dxa"/>
              <w:left w:w="16" w:type="dxa"/>
              <w:right w:w="16" w:type="dxa"/>
            </w:tcMar>
            <w:vAlign w:val="center"/>
          </w:tcPr>
          <w:p w14:paraId="7DA0B9E0">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用地（用海）</w:t>
            </w:r>
          </w:p>
          <w:p w14:paraId="4C3041C6">
            <w:pPr>
              <w:adjustRightInd w:val="0"/>
              <w:snapToGrid w:val="0"/>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面积（m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w:t>
            </w:r>
          </w:p>
        </w:tc>
        <w:tc>
          <w:tcPr>
            <w:tcW w:w="2916" w:type="dxa"/>
            <w:noWrap w:val="0"/>
            <w:vAlign w:val="center"/>
          </w:tcPr>
          <w:p w14:paraId="1466CCB2">
            <w:pPr>
              <w:adjustRightInd w:val="0"/>
              <w:snapToGrid w:val="0"/>
              <w:jc w:val="center"/>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4753</w:t>
            </w:r>
          </w:p>
        </w:tc>
      </w:tr>
      <w:tr w14:paraId="335E16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230" w:type="dxa"/>
            <w:noWrap w:val="0"/>
            <w:tcMar>
              <w:top w:w="16" w:type="dxa"/>
              <w:left w:w="16" w:type="dxa"/>
              <w:right w:w="16" w:type="dxa"/>
            </w:tcMar>
            <w:vAlign w:val="center"/>
          </w:tcPr>
          <w:p w14:paraId="540F5ED2">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w:t>
            </w:r>
          </w:p>
          <w:p w14:paraId="6F910489">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rPr>
              <w:t>设置情况</w:t>
            </w:r>
          </w:p>
        </w:tc>
        <w:tc>
          <w:tcPr>
            <w:tcW w:w="7640" w:type="dxa"/>
            <w:gridSpan w:val="3"/>
            <w:noWrap w:val="0"/>
            <w:vAlign w:val="center"/>
          </w:tcPr>
          <w:p w14:paraId="6C431D5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b w:val="0"/>
                <w:bCs/>
                <w:color w:val="auto"/>
                <w:kern w:val="0"/>
                <w:sz w:val="24"/>
                <w:highlight w:val="none"/>
                <w:lang w:val="en-US" w:eastAsia="zh-CN"/>
              </w:rPr>
            </w:pPr>
            <w:r>
              <w:rPr>
                <w:rFonts w:hint="default" w:ascii="Times New Roman" w:hAnsi="Times New Roman" w:cs="Times New Roman"/>
                <w:b w:val="0"/>
                <w:bCs/>
                <w:color w:val="auto"/>
                <w:kern w:val="0"/>
                <w:sz w:val="24"/>
                <w:highlight w:val="none"/>
                <w:lang w:val="en-US" w:eastAsia="zh-CN"/>
              </w:rPr>
              <w:t>根据建设项目环境影响报告表编制技术指南（污染影响类）（试行）中专项评价设置原则表可知，本项目需设置地表水专项评价，详见下表：</w:t>
            </w:r>
          </w:p>
          <w:p w14:paraId="70FABC00">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
                <w:color w:val="auto"/>
                <w:kern w:val="0"/>
                <w:highlight w:val="none"/>
              </w:rPr>
            </w:pPr>
            <w:r>
              <w:rPr>
                <w:rFonts w:hint="default" w:ascii="Times New Roman" w:hAnsi="Times New Roman" w:cs="Times New Roman"/>
                <w:b/>
                <w:color w:val="auto"/>
                <w:kern w:val="0"/>
                <w:highlight w:val="none"/>
              </w:rPr>
              <w:t>表</w:t>
            </w:r>
            <w:r>
              <w:rPr>
                <w:rFonts w:hint="default" w:ascii="Times New Roman" w:hAnsi="Times New Roman" w:cs="Times New Roman"/>
                <w:b/>
                <w:color w:val="auto"/>
                <w:kern w:val="0"/>
                <w:highlight w:val="none"/>
                <w:lang w:val="en-US" w:eastAsia="zh-CN"/>
              </w:rPr>
              <w:t>1-1</w:t>
            </w:r>
            <w:r>
              <w:rPr>
                <w:rFonts w:hint="default" w:ascii="Times New Roman" w:hAnsi="Times New Roman" w:cs="Times New Roman"/>
                <w:b/>
                <w:color w:val="auto"/>
                <w:kern w:val="0"/>
                <w:highlight w:val="none"/>
              </w:rPr>
              <w:t xml:space="preserve">  专项评价设置原则表</w:t>
            </w:r>
          </w:p>
          <w:tbl>
            <w:tblPr>
              <w:tblStyle w:val="31"/>
              <w:tblW w:w="72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3167"/>
              <w:gridCol w:w="2810"/>
            </w:tblGrid>
            <w:tr w14:paraId="189439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1" w:type="pct"/>
                  <w:noWrap w:val="0"/>
                  <w:vAlign w:val="center"/>
                </w:tcPr>
                <w:p w14:paraId="614806EB">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专项评价的类别</w:t>
                  </w:r>
                </w:p>
              </w:tc>
              <w:tc>
                <w:tcPr>
                  <w:tcW w:w="2198" w:type="pct"/>
                  <w:noWrap w:val="0"/>
                  <w:vAlign w:val="center"/>
                </w:tcPr>
                <w:p w14:paraId="433A942E">
                  <w:pPr>
                    <w:widowControl/>
                    <w:autoSpaceDE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设置原则</w:t>
                  </w:r>
                </w:p>
              </w:tc>
              <w:tc>
                <w:tcPr>
                  <w:tcW w:w="1950" w:type="pct"/>
                  <w:noWrap w:val="0"/>
                  <w:vAlign w:val="center"/>
                </w:tcPr>
                <w:p w14:paraId="06DFA03C">
                  <w:pPr>
                    <w:widowControl/>
                    <w:autoSpaceDE w:val="0"/>
                    <w:snapToGri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项目概况</w:t>
                  </w:r>
                </w:p>
              </w:tc>
            </w:tr>
            <w:tr w14:paraId="106036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51" w:type="pct"/>
                  <w:noWrap w:val="0"/>
                  <w:vAlign w:val="center"/>
                </w:tcPr>
                <w:p w14:paraId="3F527E03">
                  <w:pPr>
                    <w:widowControl/>
                    <w:autoSpaceDE w:val="0"/>
                    <w:snapToGri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val="en-US" w:eastAsia="zh-CN"/>
                    </w:rPr>
                    <w:t>大气</w:t>
                  </w:r>
                </w:p>
              </w:tc>
              <w:tc>
                <w:tcPr>
                  <w:tcW w:w="2198" w:type="pct"/>
                  <w:noWrap w:val="0"/>
                  <w:vAlign w:val="center"/>
                </w:tcPr>
                <w:p w14:paraId="67A08AE8">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排放废气含有毒有害污染物</w:t>
                  </w:r>
                  <w:r>
                    <w:rPr>
                      <w:rFonts w:hint="default" w:ascii="Times New Roman" w:hAnsi="Times New Roman" w:cs="Times New Roman"/>
                      <w:color w:val="auto"/>
                      <w:szCs w:val="21"/>
                      <w:highlight w:val="none"/>
                      <w:vertAlign w:val="superscript"/>
                    </w:rPr>
                    <w:t>1</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二噁英、苯并[a]芘、氰化物、氯气且厂界外500米范围内有环境空气保护目标</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的建设项目</w:t>
                  </w:r>
                </w:p>
              </w:tc>
              <w:tc>
                <w:tcPr>
                  <w:tcW w:w="1950" w:type="pct"/>
                  <w:noWrap w:val="0"/>
                  <w:vAlign w:val="center"/>
                </w:tcPr>
                <w:p w14:paraId="438BE6DF">
                  <w:pPr>
                    <w:widowControl/>
                    <w:autoSpaceDE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不涉及</w:t>
                  </w:r>
                </w:p>
              </w:tc>
            </w:tr>
            <w:tr w14:paraId="2B6A8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851" w:type="pct"/>
                  <w:noWrap w:val="0"/>
                  <w:vAlign w:val="center"/>
                </w:tcPr>
                <w:p w14:paraId="0971CBB1">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w:t>
                  </w:r>
                  <w:r>
                    <w:rPr>
                      <w:rFonts w:hint="default" w:ascii="Times New Roman" w:hAnsi="Times New Roman" w:cs="Times New Roman"/>
                      <w:color w:val="auto"/>
                      <w:szCs w:val="21"/>
                      <w:highlight w:val="none"/>
                      <w:lang w:val="en-US" w:eastAsia="zh-CN"/>
                    </w:rPr>
                    <w:t>表</w:t>
                  </w:r>
                  <w:r>
                    <w:rPr>
                      <w:rFonts w:hint="default" w:ascii="Times New Roman" w:hAnsi="Times New Roman" w:cs="Times New Roman"/>
                      <w:color w:val="auto"/>
                      <w:szCs w:val="21"/>
                      <w:highlight w:val="none"/>
                    </w:rPr>
                    <w:t>水</w:t>
                  </w:r>
                </w:p>
              </w:tc>
              <w:tc>
                <w:tcPr>
                  <w:tcW w:w="2198" w:type="pct"/>
                  <w:noWrap w:val="0"/>
                  <w:vAlign w:val="center"/>
                </w:tcPr>
                <w:p w14:paraId="3A883718">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新增工业废水直排建设项目（槽罐车外送污水处理厂的除外）；</w:t>
                  </w:r>
                </w:p>
                <w:p w14:paraId="4301459E">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新增废水直排的污水集中处理厂</w:t>
                  </w:r>
                </w:p>
              </w:tc>
              <w:tc>
                <w:tcPr>
                  <w:tcW w:w="1950" w:type="pct"/>
                  <w:noWrap w:val="0"/>
                  <w:vAlign w:val="center"/>
                </w:tcPr>
                <w:p w14:paraId="44DB95B0">
                  <w:pPr>
                    <w:widowControl/>
                    <w:autoSpaceDE w:val="0"/>
                    <w:snapToGri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本项目</w:t>
                  </w:r>
                  <w:r>
                    <w:rPr>
                      <w:rFonts w:hint="default" w:ascii="Times New Roman" w:hAnsi="Times New Roman" w:cs="Times New Roman"/>
                      <w:color w:val="auto"/>
                      <w:szCs w:val="21"/>
                      <w:highlight w:val="none"/>
                      <w:lang w:val="en-US" w:eastAsia="zh-CN"/>
                    </w:rPr>
                    <w:t>污水处理</w:t>
                  </w:r>
                  <w:r>
                    <w:rPr>
                      <w:rFonts w:hint="eastAsia" w:cs="Times New Roman"/>
                      <w:color w:val="auto"/>
                      <w:szCs w:val="21"/>
                      <w:highlight w:val="none"/>
                      <w:lang w:val="en-US" w:eastAsia="zh-CN"/>
                    </w:rPr>
                    <w:t>厂</w:t>
                  </w:r>
                  <w:r>
                    <w:rPr>
                      <w:rFonts w:hint="default" w:ascii="Times New Roman" w:hAnsi="Times New Roman" w:cs="Times New Roman"/>
                      <w:color w:val="auto"/>
                      <w:szCs w:val="21"/>
                      <w:highlight w:val="none"/>
                      <w:lang w:val="en-US" w:eastAsia="zh-CN"/>
                    </w:rPr>
                    <w:t>尾水经入河排污口排入东侧</w:t>
                  </w:r>
                  <w:r>
                    <w:rPr>
                      <w:rFonts w:hint="eastAsia" w:cs="Times New Roman"/>
                      <w:color w:val="auto"/>
                      <w:szCs w:val="21"/>
                      <w:highlight w:val="none"/>
                      <w:lang w:val="en-US" w:eastAsia="zh-CN"/>
                    </w:rPr>
                    <w:t>溢水</w:t>
                  </w:r>
                  <w:r>
                    <w:rPr>
                      <w:rFonts w:hint="default" w:ascii="Times New Roman" w:hAnsi="Times New Roman" w:cs="Times New Roman"/>
                      <w:color w:val="auto"/>
                      <w:szCs w:val="21"/>
                      <w:highlight w:val="none"/>
                      <w:lang w:val="en-US" w:eastAsia="zh-CN"/>
                    </w:rPr>
                    <w:t>河，</w:t>
                  </w:r>
                  <w:r>
                    <w:rPr>
                      <w:rFonts w:hint="eastAsia" w:cs="Times New Roman"/>
                      <w:color w:val="auto"/>
                      <w:szCs w:val="21"/>
                      <w:highlight w:val="none"/>
                      <w:lang w:val="en-US" w:eastAsia="zh-CN"/>
                    </w:rPr>
                    <w:t>往东南方向流约4.2</w:t>
                  </w:r>
                  <w:r>
                    <w:rPr>
                      <w:rFonts w:hint="default" w:ascii="Times New Roman" w:hAnsi="Times New Roman" w:cs="Times New Roman"/>
                      <w:color w:val="auto"/>
                      <w:szCs w:val="21"/>
                      <w:highlight w:val="none"/>
                      <w:lang w:val="en-US" w:eastAsia="zh-CN"/>
                    </w:rPr>
                    <w:t>km汇入汉江，</w:t>
                  </w:r>
                  <w:r>
                    <w:rPr>
                      <w:rFonts w:hint="default" w:ascii="Times New Roman" w:hAnsi="Times New Roman" w:cs="Times New Roman"/>
                      <w:color w:val="auto"/>
                      <w:szCs w:val="21"/>
                      <w:highlight w:val="none"/>
                      <w:lang w:eastAsia="zh-CN"/>
                    </w:rPr>
                    <w:t>属于“新增废水直排的污水集中处理厂”，</w:t>
                  </w:r>
                  <w:r>
                    <w:rPr>
                      <w:rFonts w:hint="default" w:ascii="Times New Roman" w:hAnsi="Times New Roman" w:cs="Times New Roman"/>
                      <w:color w:val="auto"/>
                      <w:szCs w:val="21"/>
                      <w:highlight w:val="none"/>
                      <w:lang w:val="en-US" w:eastAsia="zh-CN"/>
                    </w:rPr>
                    <w:t>因此</w:t>
                  </w:r>
                  <w:r>
                    <w:rPr>
                      <w:rFonts w:hint="default" w:ascii="Times New Roman" w:hAnsi="Times New Roman" w:cs="Times New Roman"/>
                      <w:color w:val="auto"/>
                      <w:szCs w:val="21"/>
                      <w:highlight w:val="none"/>
                      <w:lang w:eastAsia="zh-CN"/>
                    </w:rPr>
                    <w:t>需</w:t>
                  </w:r>
                  <w:r>
                    <w:rPr>
                      <w:rFonts w:hint="default" w:ascii="Times New Roman" w:hAnsi="Times New Roman" w:cs="Times New Roman"/>
                      <w:color w:val="auto"/>
                      <w:szCs w:val="21"/>
                      <w:highlight w:val="none"/>
                      <w:lang w:val="en-US" w:eastAsia="zh-CN"/>
                    </w:rPr>
                    <w:t>设置</w:t>
                  </w:r>
                  <w:r>
                    <w:rPr>
                      <w:rFonts w:hint="default" w:ascii="Times New Roman" w:hAnsi="Times New Roman" w:cs="Times New Roman"/>
                      <w:color w:val="auto"/>
                      <w:szCs w:val="21"/>
                      <w:highlight w:val="none"/>
                      <w:lang w:eastAsia="zh-CN"/>
                    </w:rPr>
                    <w:t>地表水专项评价</w:t>
                  </w:r>
                </w:p>
              </w:tc>
            </w:tr>
            <w:tr w14:paraId="712893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51" w:type="pct"/>
                  <w:noWrap w:val="0"/>
                  <w:vAlign w:val="center"/>
                </w:tcPr>
                <w:p w14:paraId="103B0DFA">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环境风险</w:t>
                  </w:r>
                </w:p>
              </w:tc>
              <w:tc>
                <w:tcPr>
                  <w:tcW w:w="2198" w:type="pct"/>
                  <w:noWrap w:val="0"/>
                  <w:vAlign w:val="center"/>
                </w:tcPr>
                <w:p w14:paraId="51068F0D">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有毒有害和易燃易爆危险物质存储量超过临界量</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的建设项目</w:t>
                  </w:r>
                </w:p>
              </w:tc>
              <w:tc>
                <w:tcPr>
                  <w:tcW w:w="1950" w:type="pct"/>
                  <w:noWrap w:val="0"/>
                  <w:vAlign w:val="center"/>
                </w:tcPr>
                <w:p w14:paraId="2BF72E9A">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不涉及</w:t>
                  </w:r>
                </w:p>
              </w:tc>
            </w:tr>
            <w:tr w14:paraId="77BC5E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851" w:type="pct"/>
                  <w:noWrap w:val="0"/>
                  <w:vAlign w:val="center"/>
                </w:tcPr>
                <w:p w14:paraId="448C3041">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w:t>
                  </w:r>
                </w:p>
              </w:tc>
              <w:tc>
                <w:tcPr>
                  <w:tcW w:w="2198" w:type="pct"/>
                  <w:noWrap w:val="0"/>
                  <w:vAlign w:val="center"/>
                </w:tcPr>
                <w:p w14:paraId="2EDBBC08">
                  <w:pPr>
                    <w:widowControl/>
                    <w:autoSpaceDE w:val="0"/>
                    <w:snapToGri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取水口下游500米范围内有重要水生生物的自然产卵场、索饵场、越冬场和洄游通道的新增河道取水的污染类建设项目</w:t>
                  </w:r>
                </w:p>
              </w:tc>
              <w:tc>
                <w:tcPr>
                  <w:tcW w:w="1950" w:type="pct"/>
                  <w:noWrap w:val="0"/>
                  <w:vAlign w:val="center"/>
                </w:tcPr>
                <w:p w14:paraId="77AB179B">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不涉及</w:t>
                  </w:r>
                </w:p>
              </w:tc>
            </w:tr>
            <w:tr w14:paraId="05A915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51" w:type="pct"/>
                  <w:noWrap w:val="0"/>
                  <w:vAlign w:val="center"/>
                </w:tcPr>
                <w:p w14:paraId="0662DC8F">
                  <w:pPr>
                    <w:widowControl/>
                    <w:autoSpaceDE w:val="0"/>
                    <w:snapToGri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海洋</w:t>
                  </w:r>
                </w:p>
              </w:tc>
              <w:tc>
                <w:tcPr>
                  <w:tcW w:w="2198" w:type="pct"/>
                  <w:noWrap w:val="0"/>
                  <w:vAlign w:val="center"/>
                </w:tcPr>
                <w:p w14:paraId="2BA09A0B">
                  <w:pPr>
                    <w:widowControl/>
                    <w:autoSpaceDE w:val="0"/>
                    <w:snapToGri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直接向海排放污染物的海洋工程建设项目</w:t>
                  </w:r>
                </w:p>
              </w:tc>
              <w:tc>
                <w:tcPr>
                  <w:tcW w:w="1950" w:type="pct"/>
                  <w:noWrap w:val="0"/>
                  <w:vAlign w:val="center"/>
                </w:tcPr>
                <w:p w14:paraId="4FEE95B8">
                  <w:pPr>
                    <w:widowControl/>
                    <w:autoSpaceDE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不涉及</w:t>
                  </w:r>
                </w:p>
              </w:tc>
            </w:tr>
            <w:tr w14:paraId="3D34D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
                  <w:noWrap w:val="0"/>
                  <w:vAlign w:val="center"/>
                </w:tcPr>
                <w:p w14:paraId="46D0AE3F">
                  <w:pPr>
                    <w:widowControl/>
                    <w:autoSpaceDE w:val="0"/>
                    <w:snapToGrid w:val="0"/>
                    <w:jc w:val="both"/>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HJ169）附录B、附录C。</w:t>
                  </w:r>
                </w:p>
              </w:tc>
            </w:tr>
          </w:tbl>
          <w:p w14:paraId="4D8F3762">
            <w:pPr>
              <w:pStyle w:val="40"/>
              <w:keepNext w:val="0"/>
              <w:keepLines w:val="0"/>
              <w:pageBreakBefore w:val="0"/>
              <w:widowControl w:val="0"/>
              <w:kinsoku w:val="0"/>
              <w:wordWrap/>
              <w:overflowPunct w:val="0"/>
              <w:topLinePunct w:val="0"/>
              <w:autoSpaceDE w:val="0"/>
              <w:autoSpaceDN w:val="0"/>
              <w:bidi w:val="0"/>
              <w:adjustRightInd w:val="0"/>
              <w:snapToGrid w:val="0"/>
              <w:textAlignment w:val="auto"/>
              <w:rPr>
                <w:rFonts w:hint="default" w:ascii="Times New Roman" w:hAnsi="Times New Roman" w:cs="Times New Roman"/>
                <w:color w:val="auto"/>
                <w:highlight w:val="none"/>
                <w:lang w:val="en-US" w:eastAsia="zh-CN"/>
              </w:rPr>
            </w:pPr>
          </w:p>
        </w:tc>
      </w:tr>
      <w:tr w14:paraId="75574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230" w:type="dxa"/>
            <w:noWrap w:val="0"/>
            <w:vAlign w:val="center"/>
          </w:tcPr>
          <w:p w14:paraId="61299638">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7640" w:type="dxa"/>
            <w:gridSpan w:val="3"/>
            <w:noWrap w:val="0"/>
            <w:vAlign w:val="center"/>
          </w:tcPr>
          <w:p w14:paraId="5BD823A0">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1C0AD7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230" w:type="dxa"/>
            <w:noWrap w:val="0"/>
            <w:vAlign w:val="center"/>
          </w:tcPr>
          <w:p w14:paraId="5C9F8D83">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规划环境影响评价情况</w:t>
            </w:r>
          </w:p>
        </w:tc>
        <w:tc>
          <w:tcPr>
            <w:tcW w:w="7640" w:type="dxa"/>
            <w:gridSpan w:val="3"/>
            <w:noWrap w:val="0"/>
            <w:vAlign w:val="center"/>
          </w:tcPr>
          <w:p w14:paraId="6A48E67B">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66520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230" w:type="dxa"/>
            <w:noWrap w:val="0"/>
            <w:vAlign w:val="center"/>
          </w:tcPr>
          <w:p w14:paraId="101FE873">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规划及规划环境影响评价符合性分析</w:t>
            </w:r>
          </w:p>
        </w:tc>
        <w:tc>
          <w:tcPr>
            <w:tcW w:w="7640" w:type="dxa"/>
            <w:gridSpan w:val="3"/>
            <w:noWrap w:val="0"/>
            <w:vAlign w:val="center"/>
          </w:tcPr>
          <w:p w14:paraId="22BFA0C9">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无</w:t>
            </w:r>
          </w:p>
        </w:tc>
      </w:tr>
      <w:tr w14:paraId="01F69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30" w:type="dxa"/>
            <w:noWrap w:val="0"/>
            <w:vAlign w:val="center"/>
          </w:tcPr>
          <w:p w14:paraId="75704FBC">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其他符合性分析</w:t>
            </w:r>
          </w:p>
        </w:tc>
        <w:tc>
          <w:tcPr>
            <w:tcW w:w="7640" w:type="dxa"/>
            <w:gridSpan w:val="3"/>
            <w:noWrap w:val="0"/>
            <w:vAlign w:val="center"/>
          </w:tcPr>
          <w:p w14:paraId="491AE8F6">
            <w:pPr>
              <w:autoSpaceDE w:val="0"/>
              <w:autoSpaceDN w:val="0"/>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1、产业政策符合性分析</w:t>
            </w:r>
          </w:p>
          <w:p w14:paraId="16210C82">
            <w:pPr>
              <w:autoSpaceDE w:val="0"/>
              <w:autoSpaceDN w:val="0"/>
              <w:adjustRightInd w:val="0"/>
              <w:snapToGrid w:val="0"/>
              <w:spacing w:line="360" w:lineRule="auto"/>
              <w:ind w:firstLine="480" w:firstLineChars="200"/>
              <w:rPr>
                <w:rFonts w:hint="eastAsia" w:cs="Times New Roman"/>
                <w:color w:val="auto"/>
                <w:sz w:val="24"/>
                <w:szCs w:val="32"/>
                <w:highlight w:val="none"/>
                <w:lang w:eastAsia="zh-CN"/>
              </w:rPr>
            </w:pPr>
            <w:r>
              <w:rPr>
                <w:rFonts w:hint="default" w:ascii="Times New Roman" w:hAnsi="Times New Roman" w:cs="Times New Roman"/>
                <w:color w:val="auto"/>
                <w:sz w:val="24"/>
                <w:szCs w:val="32"/>
                <w:highlight w:val="none"/>
              </w:rPr>
              <w:t>对照《产业结构调整指导目录》（20</w:t>
            </w:r>
            <w:r>
              <w:rPr>
                <w:rFonts w:hint="default" w:ascii="Times New Roman" w:hAnsi="Times New Roman" w:cs="Times New Roman"/>
                <w:color w:val="auto"/>
                <w:sz w:val="24"/>
                <w:szCs w:val="32"/>
                <w:highlight w:val="none"/>
                <w:lang w:val="en-US" w:eastAsia="zh-CN"/>
              </w:rPr>
              <w:t>24</w:t>
            </w:r>
            <w:r>
              <w:rPr>
                <w:rFonts w:hint="default" w:ascii="Times New Roman" w:hAnsi="Times New Roman" w:cs="Times New Roman"/>
                <w:color w:val="auto"/>
                <w:sz w:val="24"/>
                <w:szCs w:val="32"/>
                <w:highlight w:val="none"/>
              </w:rPr>
              <w:t>年本），本项目污水处理工程属于“鼓励类”第</w:t>
            </w:r>
            <w:r>
              <w:rPr>
                <w:rFonts w:hint="default" w:ascii="Times New Roman" w:hAnsi="Times New Roman" w:cs="Times New Roman"/>
                <w:color w:val="auto"/>
                <w:sz w:val="24"/>
                <w:szCs w:val="32"/>
                <w:highlight w:val="none"/>
                <w:lang w:eastAsia="zh-CN"/>
              </w:rPr>
              <w:t>四十</w:t>
            </w:r>
            <w:r>
              <w:rPr>
                <w:rFonts w:hint="default" w:ascii="Times New Roman" w:hAnsi="Times New Roman" w:cs="Times New Roman"/>
                <w:color w:val="auto"/>
                <w:sz w:val="24"/>
                <w:szCs w:val="32"/>
                <w:highlight w:val="none"/>
                <w:lang w:val="en-US" w:eastAsia="zh-CN"/>
              </w:rPr>
              <w:t>二</w:t>
            </w:r>
            <w:r>
              <w:rPr>
                <w:rFonts w:hint="default" w:ascii="Times New Roman" w:hAnsi="Times New Roman" w:cs="Times New Roman"/>
                <w:color w:val="auto"/>
                <w:sz w:val="24"/>
                <w:szCs w:val="32"/>
                <w:highlight w:val="none"/>
              </w:rPr>
              <w:t>条“环境保护与资源节约综合利用”中第1</w:t>
            </w:r>
            <w:r>
              <w:rPr>
                <w:rFonts w:hint="default" w:ascii="Times New Roman" w:hAnsi="Times New Roman" w:cs="Times New Roman"/>
                <w:color w:val="auto"/>
                <w:sz w:val="24"/>
                <w:szCs w:val="32"/>
                <w:highlight w:val="none"/>
                <w:lang w:val="en-US" w:eastAsia="zh-CN"/>
              </w:rPr>
              <w:t>0</w:t>
            </w:r>
            <w:r>
              <w:rPr>
                <w:rFonts w:hint="default" w:ascii="Times New Roman" w:hAnsi="Times New Roman" w:cs="Times New Roman"/>
                <w:color w:val="auto"/>
                <w:sz w:val="24"/>
                <w:szCs w:val="32"/>
                <w:highlight w:val="none"/>
              </w:rPr>
              <w:t>款</w:t>
            </w:r>
            <w:r>
              <w:rPr>
                <w:rFonts w:hint="default" w:ascii="Times New Roman" w:hAnsi="Times New Roman" w:cs="Times New Roman"/>
                <w:color w:val="auto"/>
                <w:sz w:val="24"/>
                <w:szCs w:val="32"/>
                <w:highlight w:val="none"/>
                <w:lang w:val="en-US" w:eastAsia="zh-CN"/>
              </w:rPr>
              <w:t>工业</w:t>
            </w:r>
            <w:r>
              <w:rPr>
                <w:rFonts w:hint="default" w:ascii="Times New Roman" w:hAnsi="Times New Roman" w:cs="Times New Roman"/>
                <w:color w:val="auto"/>
                <w:sz w:val="24"/>
                <w:szCs w:val="32"/>
                <w:highlight w:val="none"/>
              </w:rPr>
              <w:t>“三废”</w:t>
            </w:r>
            <w:r>
              <w:rPr>
                <w:rFonts w:hint="default" w:ascii="Times New Roman" w:hAnsi="Times New Roman" w:cs="Times New Roman"/>
                <w:color w:val="auto"/>
                <w:sz w:val="24"/>
                <w:szCs w:val="32"/>
                <w:highlight w:val="none"/>
                <w:lang w:val="en-US" w:eastAsia="zh-CN"/>
              </w:rPr>
              <w:t>循环利用，“三废”</w:t>
            </w:r>
            <w:r>
              <w:rPr>
                <w:rFonts w:hint="default" w:ascii="Times New Roman" w:hAnsi="Times New Roman" w:cs="Times New Roman"/>
                <w:color w:val="auto"/>
                <w:sz w:val="24"/>
                <w:szCs w:val="32"/>
                <w:highlight w:val="none"/>
              </w:rPr>
              <w:t>综合利用与治理技术、装备和工程。同时</w:t>
            </w:r>
            <w:r>
              <w:rPr>
                <w:rFonts w:hint="eastAsia" w:cs="Times New Roman"/>
                <w:color w:val="auto"/>
                <w:sz w:val="24"/>
                <w:szCs w:val="32"/>
                <w:highlight w:val="none"/>
                <w:lang w:eastAsia="zh-CN"/>
              </w:rPr>
              <w:t>建设单位已</w:t>
            </w:r>
            <w:r>
              <w:rPr>
                <w:rFonts w:hint="default" w:ascii="Times New Roman" w:hAnsi="Times New Roman" w:cs="Times New Roman"/>
                <w:color w:val="auto"/>
                <w:sz w:val="24"/>
                <w:szCs w:val="32"/>
                <w:highlight w:val="none"/>
              </w:rPr>
              <w:t>取得</w:t>
            </w:r>
            <w:r>
              <w:rPr>
                <w:rFonts w:hint="eastAsia" w:cs="Times New Roman"/>
                <w:color w:val="auto"/>
                <w:sz w:val="24"/>
                <w:szCs w:val="32"/>
                <w:highlight w:val="none"/>
                <w:lang w:val="en-US" w:eastAsia="zh-CN"/>
              </w:rPr>
              <w:t>洋</w:t>
            </w:r>
            <w:r>
              <w:rPr>
                <w:rFonts w:hint="default" w:ascii="Times New Roman" w:hAnsi="Times New Roman" w:cs="Times New Roman"/>
                <w:color w:val="auto"/>
                <w:sz w:val="24"/>
                <w:szCs w:val="32"/>
                <w:highlight w:val="none"/>
                <w:lang w:eastAsia="zh-CN"/>
              </w:rPr>
              <w:t>县发展和改革局</w:t>
            </w:r>
            <w:r>
              <w:rPr>
                <w:rFonts w:hint="default" w:ascii="Times New Roman" w:hAnsi="Times New Roman" w:cs="Times New Roman"/>
                <w:color w:val="auto"/>
                <w:sz w:val="24"/>
                <w:szCs w:val="32"/>
                <w:highlight w:val="none"/>
                <w:lang w:val="en-US" w:eastAsia="zh-CN"/>
              </w:rPr>
              <w:t>关于洋县城镇生活污水治理建设项目初步设计的批复</w:t>
            </w:r>
            <w:r>
              <w:rPr>
                <w:rFonts w:hint="default" w:ascii="Times New Roman" w:hAnsi="Times New Roman" w:cs="Times New Roman"/>
                <w:color w:val="auto"/>
                <w:sz w:val="24"/>
                <w:szCs w:val="32"/>
                <w:highlight w:val="none"/>
                <w:lang w:eastAsia="zh-CN"/>
              </w:rPr>
              <w:t>（</w:t>
            </w:r>
            <w:r>
              <w:rPr>
                <w:rFonts w:hint="default" w:ascii="Times New Roman" w:hAnsi="Times New Roman" w:cs="Times New Roman"/>
                <w:color w:val="auto"/>
                <w:sz w:val="24"/>
                <w:highlight w:val="none"/>
                <w:lang w:val="en-US" w:eastAsia="zh-CN"/>
              </w:rPr>
              <w:t>洋发改发[2023]201号</w:t>
            </w:r>
            <w:r>
              <w:rPr>
                <w:rFonts w:hint="default" w:ascii="Times New Roman" w:hAnsi="Times New Roman" w:cs="Times New Roman"/>
                <w:color w:val="auto"/>
                <w:sz w:val="24"/>
                <w:szCs w:val="32"/>
                <w:highlight w:val="none"/>
                <w:lang w:eastAsia="zh-CN"/>
              </w:rPr>
              <w:t>）</w:t>
            </w:r>
            <w:r>
              <w:rPr>
                <w:rFonts w:hint="eastAsia" w:cs="Times New Roman"/>
                <w:color w:val="auto"/>
                <w:sz w:val="24"/>
                <w:szCs w:val="32"/>
                <w:highlight w:val="none"/>
                <w:lang w:eastAsia="zh-CN"/>
              </w:rPr>
              <w:t>，本项目（</w:t>
            </w:r>
            <w:r>
              <w:rPr>
                <w:rFonts w:hint="default" w:ascii="Times New Roman" w:hAnsi="Times New Roman" w:cs="Times New Roman"/>
                <w:color w:val="auto"/>
                <w:sz w:val="24"/>
                <w:highlight w:val="none"/>
                <w:lang w:val="en-US" w:eastAsia="zh-CN"/>
              </w:rPr>
              <w:t>谢村镇四〇五社区污水处理厂</w:t>
            </w:r>
            <w:r>
              <w:rPr>
                <w:rFonts w:hint="eastAsia" w:cs="Times New Roman"/>
                <w:color w:val="auto"/>
                <w:sz w:val="24"/>
                <w:szCs w:val="32"/>
                <w:highlight w:val="none"/>
                <w:lang w:eastAsia="zh-CN"/>
              </w:rPr>
              <w:t>）属于其工程之一。</w:t>
            </w:r>
          </w:p>
          <w:p w14:paraId="5AE67D8E">
            <w:pPr>
              <w:autoSpaceDE w:val="0"/>
              <w:autoSpaceDN w:val="0"/>
              <w:adjustRightInd w:val="0"/>
              <w:snapToGrid w:val="0"/>
              <w:spacing w:line="360" w:lineRule="auto"/>
              <w:ind w:firstLine="480" w:firstLineChars="200"/>
              <w:rPr>
                <w:rFonts w:hint="default" w:ascii="Times New Roman" w:hAnsi="Times New Roman" w:cs="Times New Roman"/>
                <w:color w:val="auto"/>
                <w:sz w:val="24"/>
                <w:szCs w:val="32"/>
                <w:highlight w:val="none"/>
              </w:rPr>
            </w:pPr>
            <w:r>
              <w:rPr>
                <w:rFonts w:hint="eastAsia" w:cs="Times New Roman"/>
                <w:color w:val="auto"/>
                <w:sz w:val="24"/>
                <w:szCs w:val="32"/>
                <w:highlight w:val="none"/>
                <w:lang w:eastAsia="zh-CN"/>
              </w:rPr>
              <w:t>综上</w:t>
            </w:r>
            <w:r>
              <w:rPr>
                <w:rFonts w:hint="default" w:ascii="Times New Roman" w:hAnsi="Times New Roman" w:cs="Times New Roman"/>
                <w:color w:val="auto"/>
                <w:sz w:val="24"/>
                <w:szCs w:val="32"/>
                <w:highlight w:val="none"/>
              </w:rPr>
              <w:t>，本项目的建设</w:t>
            </w:r>
            <w:r>
              <w:rPr>
                <w:rFonts w:hint="eastAsia" w:ascii="Times New Roman" w:hAnsi="Times New Roman" w:cs="Times New Roman"/>
                <w:color w:val="auto"/>
                <w:sz w:val="24"/>
                <w:szCs w:val="32"/>
                <w:highlight w:val="none"/>
                <w:lang w:val="en-US" w:eastAsia="zh-CN"/>
              </w:rPr>
              <w:t>符合</w:t>
            </w:r>
            <w:r>
              <w:rPr>
                <w:rFonts w:hint="default" w:ascii="Times New Roman" w:hAnsi="Times New Roman" w:cs="Times New Roman"/>
                <w:color w:val="auto"/>
                <w:sz w:val="24"/>
                <w:szCs w:val="32"/>
                <w:highlight w:val="none"/>
              </w:rPr>
              <w:t>国家及地方现行产业政策</w:t>
            </w:r>
            <w:r>
              <w:rPr>
                <w:rFonts w:hint="eastAsia" w:cs="Times New Roman"/>
                <w:color w:val="auto"/>
                <w:sz w:val="24"/>
                <w:szCs w:val="32"/>
                <w:highlight w:val="none"/>
                <w:lang w:eastAsia="zh-CN"/>
              </w:rPr>
              <w:t>要求</w:t>
            </w:r>
            <w:r>
              <w:rPr>
                <w:rFonts w:hint="default" w:ascii="Times New Roman" w:hAnsi="Times New Roman" w:cs="Times New Roman"/>
                <w:color w:val="auto"/>
                <w:sz w:val="24"/>
                <w:szCs w:val="32"/>
                <w:highlight w:val="none"/>
              </w:rPr>
              <w:t>。</w:t>
            </w:r>
          </w:p>
          <w:p w14:paraId="095992B4">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360" w:lineRule="auto"/>
              <w:ind w:firstLine="482" w:firstLineChars="200"/>
              <w:textAlignment w:val="auto"/>
              <w:rPr>
                <w:rFonts w:hint="default" w:ascii="Times New Roman" w:hAnsi="Times New Roman" w:cs="Times New Roman"/>
                <w:b w:val="0"/>
                <w:bCs/>
                <w:color w:val="auto"/>
                <w:sz w:val="24"/>
                <w:highlight w:val="none"/>
              </w:rPr>
            </w:pPr>
            <w:r>
              <w:rPr>
                <w:rFonts w:hint="eastAsia"/>
                <w:b/>
                <w:bCs/>
                <w:color w:val="auto"/>
                <w:sz w:val="24"/>
                <w:highlight w:val="none"/>
                <w:lang w:val="en-US" w:eastAsia="zh-CN"/>
              </w:rPr>
              <w:t>2、</w:t>
            </w:r>
            <w:r>
              <w:rPr>
                <w:rFonts w:hint="eastAsia"/>
                <w:b/>
                <w:bCs/>
                <w:color w:val="auto"/>
                <w:sz w:val="24"/>
                <w:highlight w:val="none"/>
              </w:rPr>
              <w:t>项目与</w:t>
            </w:r>
            <w:r>
              <w:rPr>
                <w:rFonts w:hint="eastAsia"/>
                <w:b/>
                <w:bCs/>
                <w:color w:val="auto"/>
                <w:sz w:val="24"/>
                <w:highlight w:val="none"/>
                <w:lang w:eastAsia="zh-CN"/>
              </w:rPr>
              <w:t>“</w:t>
            </w:r>
            <w:r>
              <w:rPr>
                <w:rFonts w:hint="eastAsia"/>
                <w:b/>
                <w:bCs/>
                <w:color w:val="auto"/>
                <w:sz w:val="24"/>
                <w:highlight w:val="none"/>
              </w:rPr>
              <w:t>汉中市生态环境分区管控方案</w:t>
            </w:r>
            <w:r>
              <w:rPr>
                <w:rFonts w:hint="eastAsia"/>
                <w:b/>
                <w:bCs/>
                <w:color w:val="auto"/>
                <w:sz w:val="24"/>
                <w:highlight w:val="none"/>
                <w:lang w:eastAsia="zh-CN"/>
              </w:rPr>
              <w:t>”</w:t>
            </w:r>
            <w:r>
              <w:rPr>
                <w:rFonts w:hint="eastAsia"/>
                <w:b/>
                <w:bCs/>
                <w:color w:val="auto"/>
                <w:sz w:val="24"/>
                <w:highlight w:val="none"/>
              </w:rPr>
              <w:t>符合性分析</w:t>
            </w:r>
          </w:p>
          <w:p w14:paraId="32BFDF0F">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highlight w:val="none"/>
                <w:lang w:val="en-US" w:eastAsia="zh-CN"/>
              </w:rPr>
            </w:pPr>
            <w:r>
              <w:rPr>
                <w:rFonts w:hint="eastAsia"/>
                <w:color w:val="auto"/>
                <w:sz w:val="24"/>
                <w:szCs w:val="32"/>
                <w:highlight w:val="none"/>
              </w:rPr>
              <w:t>根据汉中市人民政府办公室《关于印发2023年汉中市生态环境分区管控调整方案的通知》（汉政办函</w:t>
            </w:r>
            <w:r>
              <w:rPr>
                <w:rFonts w:hint="default" w:ascii="Times New Roman" w:hAnsi="Times New Roman" w:cs="Times New Roman"/>
                <w:color w:val="auto"/>
                <w:kern w:val="0"/>
                <w:sz w:val="21"/>
                <w:szCs w:val="21"/>
                <w:highlight w:val="none"/>
                <w:lang w:val="zh-CN"/>
              </w:rPr>
              <w:t>〔</w:t>
            </w:r>
            <w:r>
              <w:rPr>
                <w:rFonts w:hint="eastAsia"/>
                <w:color w:val="auto"/>
                <w:sz w:val="24"/>
                <w:szCs w:val="32"/>
                <w:highlight w:val="none"/>
              </w:rPr>
              <w:t>2024</w:t>
            </w:r>
            <w:r>
              <w:rPr>
                <w:rFonts w:hint="default" w:ascii="Times New Roman" w:hAnsi="Times New Roman" w:cs="Times New Roman"/>
                <w:color w:val="auto"/>
                <w:sz w:val="21"/>
                <w:szCs w:val="21"/>
                <w:highlight w:val="none"/>
                <w:lang w:val="zh-CN"/>
              </w:rPr>
              <w:t>〕</w:t>
            </w:r>
            <w:r>
              <w:rPr>
                <w:rFonts w:hint="eastAsia"/>
                <w:color w:val="auto"/>
                <w:sz w:val="24"/>
                <w:szCs w:val="32"/>
                <w:highlight w:val="none"/>
              </w:rPr>
              <w:t>23号），结合“陕西省‘三线一单’数据应用管理平台（V1.0）”分析可知</w:t>
            </w:r>
            <w:r>
              <w:rPr>
                <w:rFonts w:hint="default" w:ascii="Times New Roman" w:hAnsi="Times New Roman" w:cs="Times New Roman"/>
                <w:color w:val="auto"/>
                <w:kern w:val="0"/>
                <w:sz w:val="24"/>
                <w:highlight w:val="none"/>
                <w:lang w:val="en-US" w:eastAsia="zh-CN"/>
              </w:rPr>
              <w:t>：</w:t>
            </w:r>
            <w:r>
              <w:rPr>
                <w:rFonts w:hint="default" w:ascii="Times New Roman" w:hAnsi="Times New Roman" w:cs="Times New Roman"/>
                <w:color w:val="auto"/>
                <w:kern w:val="0"/>
                <w:sz w:val="24"/>
                <w:highlight w:val="none"/>
                <w:lang w:val="en-US" w:eastAsia="zh-CN"/>
              </w:rPr>
              <w:t>本项目位于</w:t>
            </w:r>
            <w:r>
              <w:rPr>
                <w:rFonts w:hint="eastAsia" w:ascii="Times New Roman" w:hAnsi="Times New Roman" w:cs="Times New Roman"/>
                <w:color w:val="auto"/>
                <w:kern w:val="0"/>
                <w:sz w:val="24"/>
                <w:highlight w:val="none"/>
                <w:lang w:val="en-US" w:eastAsia="zh-CN"/>
              </w:rPr>
              <w:t>洋县重点管控单元1—大气环境布局敏感区</w:t>
            </w:r>
            <w:r>
              <w:rPr>
                <w:rFonts w:hint="default" w:ascii="Times New Roman" w:hAnsi="Times New Roman" w:cs="Times New Roman"/>
                <w:color w:val="auto"/>
                <w:kern w:val="0"/>
                <w:sz w:val="24"/>
                <w:highlight w:val="none"/>
                <w:lang w:val="en-US" w:eastAsia="zh-CN"/>
              </w:rPr>
              <w:t>，具体分析内容见下文“一图一表一说明”。</w:t>
            </w:r>
          </w:p>
          <w:p w14:paraId="41B43F56">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highlight w:val="none"/>
                <w:lang w:val="en-US" w:eastAsia="zh-CN"/>
              </w:rPr>
            </w:pPr>
            <w:r>
              <w:rPr>
                <w:rFonts w:hint="eastAsia" w:ascii="宋体" w:hAnsi="宋体" w:eastAsia="宋体" w:cs="宋体"/>
                <w:color w:val="auto"/>
                <w:kern w:val="0"/>
                <w:sz w:val="24"/>
                <w:highlight w:val="none"/>
                <w:lang w:val="en-US" w:eastAsia="zh-CN"/>
              </w:rPr>
              <w:t>①</w:t>
            </w:r>
            <w:r>
              <w:rPr>
                <w:rFonts w:hint="default" w:ascii="Times New Roman" w:hAnsi="Times New Roman" w:cs="Times New Roman"/>
                <w:color w:val="auto"/>
                <w:kern w:val="0"/>
                <w:sz w:val="24"/>
                <w:highlight w:val="none"/>
                <w:lang w:val="en-US" w:eastAsia="zh-CN"/>
              </w:rPr>
              <w:t>一图：</w:t>
            </w:r>
          </w:p>
          <w:p w14:paraId="5552198C">
            <w:pPr>
              <w:pStyle w:val="43"/>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color w:val="auto"/>
                <w:highlight w:val="none"/>
                <w:lang w:eastAsia="zh-CN"/>
              </w:rPr>
            </w:pPr>
            <w:r>
              <w:rPr>
                <w:color w:val="auto"/>
                <w:highlight w:val="none"/>
              </w:rPr>
              <w:drawing>
                <wp:inline distT="0" distB="0" distL="114300" distR="114300">
                  <wp:extent cx="4625340" cy="3567430"/>
                  <wp:effectExtent l="0" t="0" r="3810" b="13970"/>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3"/>
                          <a:stretch>
                            <a:fillRect/>
                          </a:stretch>
                        </pic:blipFill>
                        <pic:spPr>
                          <a:xfrm>
                            <a:off x="0" y="0"/>
                            <a:ext cx="4625340" cy="3567430"/>
                          </a:xfrm>
                          <a:prstGeom prst="rect">
                            <a:avLst/>
                          </a:prstGeom>
                          <a:noFill/>
                          <a:ln>
                            <a:noFill/>
                          </a:ln>
                        </pic:spPr>
                      </pic:pic>
                    </a:graphicData>
                  </a:graphic>
                </wp:inline>
              </w:drawing>
            </w:r>
          </w:p>
          <w:p w14:paraId="7B892E5F">
            <w:pPr>
              <w:pStyle w:val="68"/>
              <w:keepNext w:val="0"/>
              <w:keepLines w:val="0"/>
              <w:pageBreakBefore w:val="0"/>
              <w:widowControl w:val="0"/>
              <w:kinsoku w:val="0"/>
              <w:wordWrap/>
              <w:overflowPunct w:val="0"/>
              <w:topLinePunct w:val="0"/>
              <w:autoSpaceDE w:val="0"/>
              <w:autoSpaceDN w:val="0"/>
              <w:bidi w:val="0"/>
              <w:adjustRightInd w:val="0"/>
              <w:snapToGrid w:val="0"/>
              <w:spacing w:line="360" w:lineRule="auto"/>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图1-1  项目与陕西省“三线一单”数据应用系统对比图</w:t>
            </w:r>
          </w:p>
          <w:p w14:paraId="6AF309BD">
            <w:pPr>
              <w:autoSpaceDE w:val="0"/>
              <w:autoSpaceDN w:val="0"/>
              <w:adjustRightInd w:val="0"/>
              <w:snapToGrid w:val="0"/>
              <w:spacing w:line="360" w:lineRule="auto"/>
              <w:ind w:firstLine="480" w:firstLineChars="200"/>
              <w:rPr>
                <w:rFonts w:hint="default" w:ascii="Times New Roman" w:hAnsi="Times New Roman" w:cs="Times New Roman"/>
                <w:b/>
                <w:bCs/>
                <w:color w:val="auto"/>
                <w:kern w:val="0"/>
                <w:szCs w:val="21"/>
                <w:highlight w:val="none"/>
              </w:rPr>
            </w:pPr>
            <w:r>
              <w:rPr>
                <w:rFonts w:hint="eastAsia" w:ascii="宋体" w:hAnsi="宋体" w:eastAsia="宋体" w:cs="宋体"/>
                <w:color w:val="auto"/>
                <w:kern w:val="0"/>
                <w:sz w:val="24"/>
                <w:highlight w:val="none"/>
                <w:lang w:val="en-US" w:eastAsia="zh-CN"/>
              </w:rPr>
              <w:t>②</w:t>
            </w:r>
            <w:r>
              <w:rPr>
                <w:rFonts w:hint="default" w:ascii="Times New Roman" w:hAnsi="Times New Roman" w:eastAsia="宋体" w:cs="Times New Roman"/>
                <w:color w:val="auto"/>
                <w:kern w:val="0"/>
                <w:sz w:val="24"/>
                <w:highlight w:val="none"/>
                <w:lang w:val="en-US" w:eastAsia="zh-CN"/>
              </w:rPr>
              <w:t>一表：</w:t>
            </w:r>
          </w:p>
          <w:p w14:paraId="40A78DA6">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表</w:t>
            </w:r>
            <w:r>
              <w:rPr>
                <w:rFonts w:hint="default" w:ascii="Times New Roman" w:hAnsi="Times New Roman" w:eastAsia="宋体" w:cs="Times New Roman"/>
                <w:b/>
                <w:color w:val="auto"/>
                <w:szCs w:val="21"/>
                <w:highlight w:val="none"/>
                <w:lang w:bidi="ar"/>
              </w:rPr>
              <w:t>1</w:t>
            </w:r>
            <w:r>
              <w:rPr>
                <w:rFonts w:hint="default" w:ascii="Times New Roman" w:hAnsi="Times New Roman" w:eastAsia="宋体" w:cs="Times New Roman"/>
                <w:b/>
                <w:color w:val="auto"/>
                <w:szCs w:val="21"/>
                <w:highlight w:val="none"/>
                <w:lang w:val="en-US" w:eastAsia="zh-CN" w:bidi="ar"/>
              </w:rPr>
              <w:t>-</w:t>
            </w:r>
            <w:r>
              <w:rPr>
                <w:rFonts w:hint="eastAsia" w:cs="Times New Roman"/>
                <w:b/>
                <w:color w:val="auto"/>
                <w:szCs w:val="21"/>
                <w:highlight w:val="none"/>
                <w:lang w:val="en-US" w:eastAsia="zh-CN" w:bidi="ar"/>
              </w:rPr>
              <w:t>1</w:t>
            </w:r>
            <w:r>
              <w:rPr>
                <w:rFonts w:hint="default" w:ascii="Times New Roman" w:hAnsi="Times New Roman" w:eastAsia="宋体" w:cs="Times New Roman"/>
                <w:b/>
                <w:color w:val="auto"/>
                <w:szCs w:val="21"/>
                <w:highlight w:val="none"/>
                <w:lang w:bidi="ar"/>
              </w:rPr>
              <w:t xml:space="preserve"> </w:t>
            </w:r>
            <w:r>
              <w:rPr>
                <w:rFonts w:hint="default" w:ascii="Times New Roman" w:hAnsi="Times New Roman" w:eastAsia="宋体" w:cs="Times New Roman"/>
                <w:b/>
                <w:color w:val="auto"/>
                <w:szCs w:val="21"/>
                <w:highlight w:val="none"/>
                <w:lang w:val="en-US" w:eastAsia="zh-CN" w:bidi="ar"/>
              </w:rPr>
              <w:t xml:space="preserve"> </w:t>
            </w:r>
            <w:r>
              <w:rPr>
                <w:rFonts w:hint="default" w:ascii="Times New Roman" w:hAnsi="Times New Roman" w:eastAsia="宋体" w:cs="Times New Roman"/>
                <w:b/>
                <w:color w:val="auto"/>
                <w:szCs w:val="21"/>
                <w:highlight w:val="none"/>
                <w:lang w:bidi="ar"/>
              </w:rPr>
              <w:t>项</w:t>
            </w:r>
            <w:r>
              <w:rPr>
                <w:rFonts w:hint="default" w:ascii="Times New Roman" w:hAnsi="Times New Roman" w:cs="Times New Roman"/>
                <w:b/>
                <w:bCs/>
                <w:color w:val="auto"/>
                <w:kern w:val="0"/>
                <w:szCs w:val="21"/>
                <w:highlight w:val="none"/>
              </w:rPr>
              <w:t>目与</w:t>
            </w:r>
            <w:r>
              <w:rPr>
                <w:rFonts w:hint="eastAsia" w:cs="Times New Roman"/>
                <w:b/>
                <w:bCs/>
                <w:color w:val="auto"/>
                <w:kern w:val="0"/>
                <w:szCs w:val="21"/>
                <w:highlight w:val="none"/>
                <w:lang w:eastAsia="zh-CN"/>
              </w:rPr>
              <w:t>“</w:t>
            </w:r>
            <w:r>
              <w:rPr>
                <w:rFonts w:hint="default" w:ascii="Times New Roman" w:hAnsi="Times New Roman" w:cs="Times New Roman"/>
                <w:b/>
                <w:bCs/>
                <w:color w:val="auto"/>
                <w:kern w:val="0"/>
                <w:szCs w:val="21"/>
                <w:highlight w:val="none"/>
              </w:rPr>
              <w:t>汉中市生态环境分区管控方案</w:t>
            </w:r>
            <w:r>
              <w:rPr>
                <w:rFonts w:hint="eastAsia" w:cs="Times New Roman"/>
                <w:b/>
                <w:bCs/>
                <w:color w:val="auto"/>
                <w:kern w:val="0"/>
                <w:szCs w:val="21"/>
                <w:highlight w:val="none"/>
                <w:lang w:eastAsia="zh-CN"/>
              </w:rPr>
              <w:t>”</w:t>
            </w:r>
            <w:r>
              <w:rPr>
                <w:rFonts w:hint="default" w:ascii="Times New Roman" w:hAnsi="Times New Roman" w:cs="Times New Roman"/>
                <w:b/>
                <w:bCs/>
                <w:color w:val="auto"/>
                <w:kern w:val="0"/>
                <w:szCs w:val="21"/>
                <w:highlight w:val="none"/>
              </w:rPr>
              <w:t>符合性分析</w:t>
            </w:r>
          </w:p>
          <w:tbl>
            <w:tblPr>
              <w:tblStyle w:val="31"/>
              <w:tblW w:w="747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10"/>
              <w:gridCol w:w="418"/>
              <w:gridCol w:w="349"/>
              <w:gridCol w:w="111"/>
              <w:gridCol w:w="2067"/>
              <w:gridCol w:w="5"/>
              <w:gridCol w:w="892"/>
              <w:gridCol w:w="897"/>
              <w:gridCol w:w="3"/>
              <w:gridCol w:w="947"/>
              <w:gridCol w:w="2"/>
              <w:gridCol w:w="7"/>
              <w:gridCol w:w="1028"/>
              <w:gridCol w:w="7"/>
              <w:gridCol w:w="33"/>
            </w:tblGrid>
            <w:tr w14:paraId="201DE1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474" w:type="pct"/>
                  <w:tcBorders>
                    <w:tl2br w:val="nil"/>
                    <w:tr2bl w:val="nil"/>
                  </w:tcBorders>
                  <w:noWrap w:val="0"/>
                  <w:vAlign w:val="center"/>
                </w:tcPr>
                <w:p w14:paraId="46D29799">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适用范围</w:t>
                  </w:r>
                </w:p>
              </w:tc>
              <w:tc>
                <w:tcPr>
                  <w:tcW w:w="512" w:type="pct"/>
                  <w:gridSpan w:val="2"/>
                  <w:tcBorders>
                    <w:tl2br w:val="nil"/>
                    <w:tr2bl w:val="nil"/>
                  </w:tcBorders>
                  <w:noWrap w:val="0"/>
                  <w:vAlign w:val="center"/>
                </w:tcPr>
                <w:p w14:paraId="14948EBF">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管控维度</w:t>
                  </w:r>
                </w:p>
              </w:tc>
              <w:tc>
                <w:tcPr>
                  <w:tcW w:w="2056" w:type="pct"/>
                  <w:gridSpan w:val="4"/>
                  <w:tcBorders>
                    <w:tl2br w:val="nil"/>
                    <w:tr2bl w:val="nil"/>
                  </w:tcBorders>
                  <w:noWrap w:val="0"/>
                  <w:vAlign w:val="center"/>
                </w:tcPr>
                <w:p w14:paraId="19249551">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管控要求</w:t>
                  </w:r>
                </w:p>
              </w:tc>
              <w:tc>
                <w:tcPr>
                  <w:tcW w:w="1241" w:type="pct"/>
                  <w:gridSpan w:val="5"/>
                  <w:tcBorders>
                    <w:tl2br w:val="nil"/>
                    <w:tr2bl w:val="nil"/>
                  </w:tcBorders>
                  <w:noWrap w:val="0"/>
                  <w:vAlign w:val="center"/>
                </w:tcPr>
                <w:p w14:paraId="3A862632">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本项目情况</w:t>
                  </w:r>
                </w:p>
              </w:tc>
              <w:tc>
                <w:tcPr>
                  <w:tcW w:w="714" w:type="pct"/>
                  <w:gridSpan w:val="3"/>
                  <w:tcBorders>
                    <w:tl2br w:val="nil"/>
                    <w:tr2bl w:val="nil"/>
                  </w:tcBorders>
                  <w:noWrap w:val="0"/>
                  <w:vAlign w:val="center"/>
                </w:tcPr>
                <w:p w14:paraId="7609DBA6">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符合性</w:t>
                  </w:r>
                </w:p>
              </w:tc>
            </w:tr>
            <w:tr w14:paraId="0D157F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74" w:type="pct"/>
                  <w:vMerge w:val="restart"/>
                  <w:tcBorders>
                    <w:tl2br w:val="nil"/>
                    <w:tr2bl w:val="nil"/>
                  </w:tcBorders>
                  <w:noWrap w:val="0"/>
                  <w:vAlign w:val="center"/>
                </w:tcPr>
                <w:p w14:paraId="085A7B6E">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总体要求</w:t>
                  </w:r>
                </w:p>
              </w:tc>
              <w:tc>
                <w:tcPr>
                  <w:tcW w:w="512" w:type="pct"/>
                  <w:gridSpan w:val="2"/>
                  <w:tcBorders>
                    <w:tl2br w:val="nil"/>
                    <w:tr2bl w:val="nil"/>
                  </w:tcBorders>
                  <w:noWrap w:val="0"/>
                  <w:vAlign w:val="center"/>
                </w:tcPr>
                <w:p w14:paraId="2BBAEE25">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空间布局约束</w:t>
                  </w:r>
                </w:p>
              </w:tc>
              <w:tc>
                <w:tcPr>
                  <w:tcW w:w="2056" w:type="pct"/>
                  <w:gridSpan w:val="4"/>
                  <w:tcBorders>
                    <w:tl2br w:val="nil"/>
                    <w:tr2bl w:val="nil"/>
                  </w:tcBorders>
                  <w:noWrap w:val="0"/>
                  <w:vAlign w:val="center"/>
                </w:tcPr>
                <w:p w14:paraId="7A1B3B27">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1.以汉台、南郑、城固为主，重点推进产业发展、城乡建设、设施配套，形成经济发展、人口承载的核心圈。</w:t>
                  </w:r>
                </w:p>
                <w:p w14:paraId="5FC3980C">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2.以汉台、城固、洋县、西乡、勉县、宁强、略阳、留坝、佛坪秦岭保护区域为主，以保护中央水塔为核心，以生态修复为抓手，全面加强水土保持、水源涵养、生物多样性保护，构筑汉中盆地北部的生态屏障。</w:t>
                  </w:r>
                </w:p>
                <w:p w14:paraId="58B1DC89">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3.以南郑、城固、洋县、西乡、勉县、宁强、镇巴巴山保护区域为主，全面加强生态空间、保护和修复，维护生物多样性，构筑汉中盆地南部的生态屏障。</w:t>
                  </w:r>
                </w:p>
                <w:p w14:paraId="3E899D21">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4.以汉江为轴线，统筹推进城镇建设、园区布局，重点发展绿色工业、特色农业、生态旅游等产业。</w:t>
                  </w:r>
                </w:p>
                <w:p w14:paraId="6FAB32C8">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5.严控“两高”项目准入。</w:t>
                  </w:r>
                </w:p>
                <w:p w14:paraId="05299608">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6.在汉江、嘉陵江两岸建设工业项目，应符合《中华人民共和国长江保护法》相关规定。</w:t>
                  </w:r>
                </w:p>
              </w:tc>
              <w:tc>
                <w:tcPr>
                  <w:tcW w:w="1241" w:type="pct"/>
                  <w:gridSpan w:val="5"/>
                  <w:tcBorders>
                    <w:tl2br w:val="nil"/>
                    <w:tr2bl w:val="nil"/>
                  </w:tcBorders>
                  <w:noWrap w:val="0"/>
                  <w:vAlign w:val="center"/>
                </w:tcPr>
                <w:p w14:paraId="77A53A24">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根据《产业结构调整指导目录（2024年本）》可知，本项目属于“鼓励类”项目。通过对比</w:t>
                  </w:r>
                  <w:r>
                    <w:rPr>
                      <w:rFonts w:hint="default" w:ascii="Times New Roman" w:hAnsi="Times New Roman" w:eastAsia="宋体" w:cs="Times New Roman"/>
                      <w:b w:val="0"/>
                      <w:color w:val="auto"/>
                      <w:kern w:val="2"/>
                      <w:sz w:val="21"/>
                      <w:szCs w:val="24"/>
                      <w:highlight w:val="none"/>
                      <w:lang w:val="en-US" w:eastAsia="zh-CN" w:bidi="ar-SA"/>
                    </w:rPr>
                    <w:t>《陕西省“两高”项目重点管理范围（2025年版）》（陕发改环资[2025]703号）</w:t>
                  </w:r>
                  <w:r>
                    <w:rPr>
                      <w:rFonts w:hint="default" w:ascii="Times New Roman" w:hAnsi="Times New Roman" w:eastAsia="宋体" w:cs="Times New Roman"/>
                      <w:b w:val="0"/>
                      <w:color w:val="auto"/>
                      <w:kern w:val="2"/>
                      <w:sz w:val="21"/>
                      <w:szCs w:val="24"/>
                      <w:highlight w:val="none"/>
                      <w:lang w:val="en-US" w:eastAsia="zh-CN" w:bidi="ar-SA"/>
                    </w:rPr>
                    <w:t>可知，本项目不属于“两高”行业；此外，项目位于谢村镇四〇五社区，为污水处理站项目</w:t>
                  </w:r>
                  <w:r>
                    <w:rPr>
                      <w:rFonts w:hint="eastAsia" w:cs="Times New Roman"/>
                      <w:b w:val="0"/>
                      <w:color w:val="auto"/>
                      <w:kern w:val="2"/>
                      <w:sz w:val="21"/>
                      <w:szCs w:val="24"/>
                      <w:highlight w:val="none"/>
                      <w:lang w:val="en-US" w:eastAsia="zh-CN" w:bidi="ar-SA"/>
                    </w:rPr>
                    <w:t>，</w:t>
                  </w:r>
                  <w:r>
                    <w:rPr>
                      <w:rFonts w:hint="default" w:ascii="Times New Roman" w:hAnsi="Times New Roman" w:eastAsia="宋体" w:cs="Times New Roman"/>
                      <w:b w:val="0"/>
                      <w:color w:val="auto"/>
                      <w:kern w:val="2"/>
                      <w:sz w:val="21"/>
                      <w:szCs w:val="24"/>
                      <w:highlight w:val="none"/>
                      <w:lang w:val="en-US" w:eastAsia="zh-CN" w:bidi="ar-SA"/>
                    </w:rPr>
                    <w:t>不属于工业项目。</w:t>
                  </w:r>
                </w:p>
              </w:tc>
              <w:tc>
                <w:tcPr>
                  <w:tcW w:w="714" w:type="pct"/>
                  <w:gridSpan w:val="3"/>
                  <w:tcBorders>
                    <w:tl2br w:val="nil"/>
                    <w:tr2bl w:val="nil"/>
                  </w:tcBorders>
                  <w:noWrap w:val="0"/>
                  <w:vAlign w:val="center"/>
                </w:tcPr>
                <w:p w14:paraId="57B2A961">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符合</w:t>
                  </w:r>
                </w:p>
              </w:tc>
            </w:tr>
            <w:tr w14:paraId="00846F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34" w:hRule="atLeast"/>
                <w:jc w:val="center"/>
              </w:trPr>
              <w:tc>
                <w:tcPr>
                  <w:tcW w:w="474" w:type="pct"/>
                  <w:vMerge w:val="continue"/>
                  <w:tcBorders>
                    <w:tl2br w:val="nil"/>
                    <w:tr2bl w:val="nil"/>
                  </w:tcBorders>
                  <w:noWrap w:val="0"/>
                  <w:vAlign w:val="center"/>
                </w:tcPr>
                <w:p w14:paraId="458511E1">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p>
              </w:tc>
              <w:tc>
                <w:tcPr>
                  <w:tcW w:w="512" w:type="pct"/>
                  <w:gridSpan w:val="2"/>
                  <w:tcBorders>
                    <w:tl2br w:val="nil"/>
                    <w:tr2bl w:val="nil"/>
                  </w:tcBorders>
                  <w:noWrap w:val="0"/>
                  <w:vAlign w:val="center"/>
                </w:tcPr>
                <w:p w14:paraId="3FADD491">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污染排放管控</w:t>
                  </w:r>
                </w:p>
              </w:tc>
              <w:tc>
                <w:tcPr>
                  <w:tcW w:w="2056" w:type="pct"/>
                  <w:gridSpan w:val="4"/>
                  <w:tcBorders>
                    <w:tl2br w:val="nil"/>
                    <w:tr2bl w:val="nil"/>
                  </w:tcBorders>
                  <w:noWrap w:val="0"/>
                  <w:vAlign w:val="center"/>
                </w:tcPr>
                <w:p w14:paraId="221F1E41">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1.城镇生活污水治理：全面加强城镇生活污水处理设施建设和运行管理。</w:t>
                  </w:r>
                </w:p>
                <w:p w14:paraId="62901A4F">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2.农村生活污水处理：因地制宜地建设农村污水处理设施，有效减少农村污水直排现象。</w:t>
                  </w:r>
                </w:p>
                <w:p w14:paraId="793D77B8">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3.农业源污染管控：新建、改建、扩建规模化畜禽养殖场(小区)要实施雨污分流和粪便污水资源化利用。</w:t>
                  </w:r>
                </w:p>
                <w:p w14:paraId="0DCD8DCA">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4.控制温室气体排放：调整优化能源结构，打造低碳产业布局。</w:t>
                  </w:r>
                </w:p>
                <w:p w14:paraId="5144F1EF">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5.固体废物污染防治：推动以尾矿、粉煤灰、冶炼渣、工业副产品石膏等大宗工业固体废物为重点的综合利用。</w:t>
                  </w:r>
                </w:p>
                <w:p w14:paraId="15068510">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6.工业源污染治理：持续推进工业污染源减排，完成全市钢铁、建材等行业超低排放改造，规范金属矿采选、非金属矿物制品等行业颗粒物排放管理。</w:t>
                  </w:r>
                </w:p>
                <w:p w14:paraId="29082656">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7.新建“两高”项目应依据区域环境质量改善目标，落实区域削减要求。</w:t>
                  </w:r>
                </w:p>
              </w:tc>
              <w:tc>
                <w:tcPr>
                  <w:tcW w:w="1241" w:type="pct"/>
                  <w:gridSpan w:val="5"/>
                  <w:tcBorders>
                    <w:tl2br w:val="nil"/>
                    <w:tr2bl w:val="nil"/>
                  </w:tcBorders>
                  <w:noWrap w:val="0"/>
                  <w:vAlign w:val="center"/>
                </w:tcPr>
                <w:p w14:paraId="5F319828">
                  <w:pPr>
                    <w:pStyle w:val="68"/>
                    <w:snapToGrid/>
                    <w:jc w:val="both"/>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本项目为农村生活污水处理建设项目</w:t>
                  </w:r>
                  <w:r>
                    <w:rPr>
                      <w:rFonts w:hint="eastAsia" w:ascii="Times New Roman" w:hAnsi="Times New Roman" w:cs="Times New Roman"/>
                      <w:b w:val="0"/>
                      <w:color w:val="auto"/>
                      <w:kern w:val="2"/>
                      <w:sz w:val="21"/>
                      <w:szCs w:val="24"/>
                      <w:highlight w:val="none"/>
                      <w:lang w:val="en-US" w:eastAsia="zh-CN" w:bidi="ar-SA"/>
                    </w:rPr>
                    <w:t>，</w:t>
                  </w:r>
                  <w:r>
                    <w:rPr>
                      <w:rFonts w:hint="default" w:ascii="Times New Roman" w:hAnsi="Times New Roman" w:eastAsia="宋体" w:cs="Times New Roman"/>
                      <w:b w:val="0"/>
                      <w:color w:val="auto"/>
                      <w:kern w:val="2"/>
                      <w:sz w:val="21"/>
                      <w:szCs w:val="24"/>
                      <w:highlight w:val="none"/>
                      <w:lang w:val="en-US" w:eastAsia="zh-CN" w:bidi="ar-SA"/>
                    </w:rPr>
                    <w:t>不属于“两高”行业，施工期废气、废水、噪声以及固废均采取对应的污染防治措施。</w:t>
                  </w:r>
                </w:p>
              </w:tc>
              <w:tc>
                <w:tcPr>
                  <w:tcW w:w="714" w:type="pct"/>
                  <w:gridSpan w:val="3"/>
                  <w:tcBorders>
                    <w:tl2br w:val="nil"/>
                    <w:tr2bl w:val="nil"/>
                  </w:tcBorders>
                  <w:noWrap w:val="0"/>
                  <w:vAlign w:val="center"/>
                </w:tcPr>
                <w:p w14:paraId="33DE97FF">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符合</w:t>
                  </w:r>
                </w:p>
              </w:tc>
            </w:tr>
            <w:tr w14:paraId="10D2BD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6" w:type="pct"/>
                <w:trHeight w:val="300" w:hRule="atLeast"/>
                <w:jc w:val="center"/>
              </w:trPr>
              <w:tc>
                <w:tcPr>
                  <w:tcW w:w="755" w:type="pct"/>
                  <w:gridSpan w:val="2"/>
                  <w:tcBorders>
                    <w:tl2br w:val="nil"/>
                    <w:tr2bl w:val="nil"/>
                  </w:tcBorders>
                  <w:noWrap w:val="0"/>
                  <w:vAlign w:val="center"/>
                </w:tcPr>
                <w:p w14:paraId="6A363D4A">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管控单元</w:t>
                  </w:r>
                </w:p>
              </w:tc>
              <w:tc>
                <w:tcPr>
                  <w:tcW w:w="1694" w:type="pct"/>
                  <w:gridSpan w:val="4"/>
                  <w:tcBorders>
                    <w:tl2br w:val="nil"/>
                    <w:tr2bl w:val="nil"/>
                  </w:tcBorders>
                  <w:noWrap w:val="0"/>
                  <w:vAlign w:val="center"/>
                </w:tcPr>
                <w:p w14:paraId="16A2FCAA">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管控要求</w:t>
                  </w:r>
                </w:p>
              </w:tc>
              <w:tc>
                <w:tcPr>
                  <w:tcW w:w="1199" w:type="pct"/>
                  <w:gridSpan w:val="3"/>
                  <w:tcBorders>
                    <w:tl2br w:val="nil"/>
                    <w:tr2bl w:val="nil"/>
                  </w:tcBorders>
                  <w:noWrap w:val="0"/>
                  <w:vAlign w:val="center"/>
                </w:tcPr>
                <w:p w14:paraId="4AD5B7B5">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本项目情况</w:t>
                  </w:r>
                </w:p>
              </w:tc>
              <w:tc>
                <w:tcPr>
                  <w:tcW w:w="635" w:type="pct"/>
                  <w:gridSpan w:val="2"/>
                  <w:tcBorders>
                    <w:right w:val="single" w:color="auto" w:sz="4" w:space="0"/>
                    <w:tl2br w:val="nil"/>
                    <w:tr2bl w:val="nil"/>
                  </w:tcBorders>
                  <w:noWrap w:val="0"/>
                  <w:vAlign w:val="center"/>
                </w:tcPr>
                <w:p w14:paraId="7CEBD812">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符合性</w:t>
                  </w:r>
                </w:p>
                <w:p w14:paraId="51A3BAD4">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分析</w:t>
                  </w:r>
                </w:p>
              </w:tc>
              <w:tc>
                <w:tcPr>
                  <w:tcW w:w="697" w:type="pct"/>
                  <w:gridSpan w:val="3"/>
                  <w:tcBorders>
                    <w:left w:val="single" w:color="auto" w:sz="4" w:space="0"/>
                    <w:tl2br w:val="nil"/>
                    <w:tr2bl w:val="nil"/>
                  </w:tcBorders>
                  <w:noWrap w:val="0"/>
                  <w:vAlign w:val="center"/>
                </w:tcPr>
                <w:p w14:paraId="1CA665CC">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占地</w:t>
                  </w:r>
                </w:p>
                <w:p w14:paraId="69621A2D">
                  <w:pPr>
                    <w:pStyle w:val="68"/>
                    <w:snapToGrid/>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面积</w:t>
                  </w:r>
                </w:p>
              </w:tc>
            </w:tr>
            <w:tr w14:paraId="518532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2"/>
                <w:wAfter w:w="20" w:type="pct"/>
                <w:trHeight w:val="1667" w:hRule="atLeast"/>
                <w:jc w:val="center"/>
              </w:trPr>
              <w:tc>
                <w:tcPr>
                  <w:tcW w:w="755" w:type="pct"/>
                  <w:gridSpan w:val="2"/>
                  <w:vMerge w:val="restart"/>
                  <w:tcBorders>
                    <w:tl2br w:val="nil"/>
                    <w:tr2bl w:val="nil"/>
                  </w:tcBorders>
                  <w:noWrap w:val="0"/>
                  <w:vAlign w:val="center"/>
                </w:tcPr>
                <w:p w14:paraId="2D69A2F3">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洋县重点管控单元1—大气环境布局敏感区</w:t>
                  </w:r>
                </w:p>
              </w:tc>
              <w:tc>
                <w:tcPr>
                  <w:tcW w:w="308" w:type="pct"/>
                  <w:gridSpan w:val="2"/>
                  <w:tcBorders>
                    <w:right w:val="single" w:color="auto" w:sz="4" w:space="0"/>
                    <w:tl2br w:val="nil"/>
                    <w:tr2bl w:val="nil"/>
                  </w:tcBorders>
                  <w:shd w:val="clear" w:color="auto" w:fill="auto"/>
                  <w:noWrap w:val="0"/>
                  <w:vAlign w:val="center"/>
                </w:tcPr>
                <w:p w14:paraId="19674E8A">
                  <w:pPr>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空间布局约束</w:t>
                  </w:r>
                </w:p>
              </w:tc>
              <w:tc>
                <w:tcPr>
                  <w:tcW w:w="1383" w:type="pct"/>
                  <w:tcBorders>
                    <w:left w:val="single" w:color="auto" w:sz="4" w:space="0"/>
                    <w:bottom w:val="single" w:color="auto" w:sz="4" w:space="0"/>
                    <w:tl2br w:val="nil"/>
                    <w:tr2bl w:val="nil"/>
                  </w:tcBorders>
                  <w:shd w:val="clear" w:color="auto" w:fill="auto"/>
                  <w:noWrap w:val="0"/>
                  <w:vAlign w:val="center"/>
                </w:tcPr>
                <w:p w14:paraId="672D6914">
                  <w:pPr>
                    <w:tabs>
                      <w:tab w:val="left" w:pos="265"/>
                    </w:tabs>
                    <w:autoSpaceDE w:val="0"/>
                    <w:autoSpaceDN w:val="0"/>
                    <w:snapToGrid w:val="0"/>
                    <w:ind w:right="96" w:rightChars="0"/>
                    <w:rPr>
                      <w:rFonts w:hint="eastAsia" w:ascii="宋体" w:hAnsi="宋体" w:eastAsia="宋体" w:cs="宋体"/>
                      <w:color w:val="auto"/>
                      <w:sz w:val="21"/>
                      <w:szCs w:val="21"/>
                      <w:highlight w:val="none"/>
                    </w:rPr>
                  </w:pPr>
                  <w:r>
                    <w:rPr>
                      <w:rFonts w:hint="default" w:ascii="Times New Roman" w:hAnsi="Times New Roman" w:eastAsia="宋体" w:cs="Times New Roman"/>
                      <w:color w:val="auto"/>
                      <w:spacing w:val="-3"/>
                      <w:kern w:val="0"/>
                      <w:sz w:val="21"/>
                      <w:szCs w:val="21"/>
                      <w:highlight w:val="none"/>
                      <w:lang w:bidi="zh-CN"/>
                    </w:rPr>
                    <w:t>1.严格控制新增煤电、石化、化工、钢铁、有色金属冶炼、建材等“两高”行业项目（民生等项目除外，后续对“两高”范围国家如有新规定的，从其规定）。</w:t>
                  </w:r>
                </w:p>
              </w:tc>
              <w:tc>
                <w:tcPr>
                  <w:tcW w:w="1200" w:type="pct"/>
                  <w:gridSpan w:val="3"/>
                  <w:tcBorders>
                    <w:bottom w:val="single" w:color="auto" w:sz="4" w:space="0"/>
                    <w:tl2br w:val="nil"/>
                    <w:tr2bl w:val="nil"/>
                  </w:tcBorders>
                  <w:shd w:val="clear" w:color="auto" w:fill="auto"/>
                  <w:noWrap w:val="0"/>
                  <w:vAlign w:val="center"/>
                </w:tcPr>
                <w:p w14:paraId="4294FAB3">
                  <w:pPr>
                    <w:tabs>
                      <w:tab w:val="left" w:pos="265"/>
                    </w:tabs>
                    <w:autoSpaceDE w:val="0"/>
                    <w:autoSpaceDN w:val="0"/>
                    <w:snapToGrid w:val="0"/>
                    <w:ind w:right="96" w:rightChars="0"/>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本项目不属于“两高”行业。</w:t>
                  </w:r>
                </w:p>
              </w:tc>
              <w:tc>
                <w:tcPr>
                  <w:tcW w:w="636" w:type="pct"/>
                  <w:gridSpan w:val="2"/>
                  <w:tcBorders>
                    <w:bottom w:val="single" w:color="auto" w:sz="4" w:space="0"/>
                    <w:right w:val="single" w:color="auto" w:sz="4" w:space="0"/>
                    <w:tl2br w:val="nil"/>
                    <w:tr2bl w:val="nil"/>
                  </w:tcBorders>
                  <w:noWrap w:val="0"/>
                  <w:vAlign w:val="center"/>
                </w:tcPr>
                <w:p w14:paraId="01111DD8">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符合</w:t>
                  </w:r>
                </w:p>
              </w:tc>
              <w:tc>
                <w:tcPr>
                  <w:tcW w:w="694" w:type="pct"/>
                  <w:gridSpan w:val="3"/>
                  <w:vMerge w:val="restart"/>
                  <w:tcBorders>
                    <w:left w:val="single" w:color="auto" w:sz="4" w:space="0"/>
                    <w:tl2br w:val="nil"/>
                    <w:tr2bl w:val="nil"/>
                  </w:tcBorders>
                  <w:noWrap w:val="0"/>
                  <w:vAlign w:val="center"/>
                </w:tcPr>
                <w:p w14:paraId="279DEEB6">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 w:val="0"/>
                      <w:color w:val="auto"/>
                      <w:kern w:val="2"/>
                      <w:sz w:val="21"/>
                      <w:szCs w:val="24"/>
                      <w:highlight w:val="none"/>
                      <w:lang w:val="en-US" w:eastAsia="zh-CN" w:bidi="ar-SA"/>
                    </w:rPr>
                  </w:pPr>
                  <w:r>
                    <w:rPr>
                      <w:rFonts w:hint="eastAsia" w:ascii="Times New Roman" w:hAnsi="Times New Roman" w:cs="Times New Roman"/>
                      <w:b w:val="0"/>
                      <w:color w:val="auto"/>
                      <w:kern w:val="2"/>
                      <w:sz w:val="21"/>
                      <w:szCs w:val="24"/>
                      <w:highlight w:val="none"/>
                      <w:lang w:val="en-US" w:eastAsia="zh-CN" w:bidi="ar-SA"/>
                    </w:rPr>
                    <w:t>4753m</w:t>
                  </w:r>
                  <w:r>
                    <w:rPr>
                      <w:rFonts w:hint="eastAsia" w:ascii="Times New Roman" w:hAnsi="Times New Roman" w:cs="Times New Roman"/>
                      <w:b w:val="0"/>
                      <w:color w:val="auto"/>
                      <w:kern w:val="2"/>
                      <w:sz w:val="21"/>
                      <w:szCs w:val="24"/>
                      <w:highlight w:val="none"/>
                      <w:vertAlign w:val="superscript"/>
                      <w:lang w:val="en-US" w:eastAsia="zh-CN" w:bidi="ar-SA"/>
                    </w:rPr>
                    <w:t>2</w:t>
                  </w:r>
                </w:p>
              </w:tc>
            </w:tr>
            <w:tr w14:paraId="4196FB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2"/>
                <w:wAfter w:w="20" w:type="pct"/>
                <w:trHeight w:val="953" w:hRule="atLeast"/>
                <w:jc w:val="center"/>
              </w:trPr>
              <w:tc>
                <w:tcPr>
                  <w:tcW w:w="755" w:type="pct"/>
                  <w:gridSpan w:val="2"/>
                  <w:vMerge w:val="continue"/>
                </w:tcPr>
                <w:p w14:paraId="0EDEF8A1">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 w:val="0"/>
                      <w:color w:val="auto"/>
                      <w:kern w:val="2"/>
                      <w:sz w:val="21"/>
                      <w:szCs w:val="24"/>
                      <w:highlight w:val="none"/>
                      <w:lang w:val="en-US" w:eastAsia="zh-CN" w:bidi="ar-SA"/>
                    </w:rPr>
                  </w:pPr>
                </w:p>
              </w:tc>
              <w:tc>
                <w:tcPr>
                  <w:tcW w:w="308" w:type="pct"/>
                  <w:gridSpan w:val="2"/>
                  <w:tcBorders>
                    <w:right w:val="single" w:color="auto" w:sz="4" w:space="0"/>
                  </w:tcBorders>
                  <w:shd w:val="clear" w:color="auto" w:fill="auto"/>
                  <w:vAlign w:val="center"/>
                </w:tcPr>
                <w:p w14:paraId="65D99492">
                  <w:pPr>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污染物排放管控</w:t>
                  </w:r>
                </w:p>
              </w:tc>
              <w:tc>
                <w:tcPr>
                  <w:tcW w:w="1383" w:type="pct"/>
                  <w:tcBorders>
                    <w:top w:val="single" w:color="auto" w:sz="4" w:space="0"/>
                    <w:left w:val="single" w:color="auto" w:sz="4" w:space="0"/>
                  </w:tcBorders>
                  <w:shd w:val="clear" w:color="auto" w:fill="auto"/>
                  <w:vAlign w:val="center"/>
                </w:tcPr>
                <w:p w14:paraId="0219F5CC">
                  <w:pPr>
                    <w:tabs>
                      <w:tab w:val="left" w:pos="265"/>
                    </w:tabs>
                    <w:autoSpaceDE w:val="0"/>
                    <w:autoSpaceDN w:val="0"/>
                    <w:snapToGrid w:val="0"/>
                    <w:ind w:right="96"/>
                    <w:rPr>
                      <w:rFonts w:hint="default" w:ascii="Times New Roman" w:hAnsi="Times New Roman" w:eastAsia="宋体" w:cs="Times New Roman"/>
                      <w:color w:val="auto"/>
                      <w:spacing w:val="-3"/>
                      <w:kern w:val="0"/>
                      <w:sz w:val="21"/>
                      <w:szCs w:val="21"/>
                      <w:highlight w:val="none"/>
                      <w:lang w:bidi="zh-CN"/>
                    </w:rPr>
                  </w:pPr>
                  <w:r>
                    <w:rPr>
                      <w:rFonts w:hint="default" w:ascii="Times New Roman" w:hAnsi="Times New Roman" w:eastAsia="宋体" w:cs="Times New Roman"/>
                      <w:color w:val="auto"/>
                      <w:spacing w:val="-3"/>
                      <w:kern w:val="0"/>
                      <w:sz w:val="21"/>
                      <w:szCs w:val="21"/>
                      <w:highlight w:val="none"/>
                      <w:lang w:bidi="zh-CN"/>
                    </w:rPr>
                    <w:t>1.区域内保留企业采用先进生产工艺、严格落实污染治理设施，污染物执行超低排放或特别排放限值。</w:t>
                  </w:r>
                </w:p>
                <w:p w14:paraId="7BF37E78">
                  <w:pPr>
                    <w:tabs>
                      <w:tab w:val="left" w:pos="265"/>
                    </w:tabs>
                    <w:autoSpaceDE w:val="0"/>
                    <w:autoSpaceDN w:val="0"/>
                    <w:snapToGrid w:val="0"/>
                    <w:ind w:right="96" w:rightChars="0"/>
                    <w:rPr>
                      <w:rFonts w:hint="eastAsia" w:ascii="宋体" w:hAnsi="宋体" w:eastAsia="宋体" w:cs="宋体"/>
                      <w:color w:val="auto"/>
                      <w:sz w:val="21"/>
                      <w:szCs w:val="21"/>
                      <w:highlight w:val="none"/>
                    </w:rPr>
                  </w:pPr>
                  <w:r>
                    <w:rPr>
                      <w:rFonts w:hint="default" w:ascii="Times New Roman" w:hAnsi="Times New Roman" w:eastAsia="宋体" w:cs="Times New Roman"/>
                      <w:color w:val="auto"/>
                      <w:spacing w:val="-3"/>
                      <w:kern w:val="0"/>
                      <w:sz w:val="21"/>
                      <w:szCs w:val="21"/>
                      <w:highlight w:val="none"/>
                      <w:lang w:bidi="zh-CN"/>
                    </w:rPr>
                    <w:t>2.鼓励将老旧车辆和非道路移动机械替换为清洁能源车辆。</w:t>
                  </w:r>
                </w:p>
              </w:tc>
              <w:tc>
                <w:tcPr>
                  <w:tcW w:w="1200" w:type="pct"/>
                  <w:gridSpan w:val="3"/>
                  <w:tcBorders>
                    <w:top w:val="single" w:color="auto" w:sz="4" w:space="0"/>
                  </w:tcBorders>
                  <w:shd w:val="clear" w:color="auto" w:fill="auto"/>
                  <w:vAlign w:val="center"/>
                </w:tcPr>
                <w:p w14:paraId="6D222C2B">
                  <w:pPr>
                    <w:tabs>
                      <w:tab w:val="left" w:pos="265"/>
                    </w:tabs>
                    <w:autoSpaceDE w:val="0"/>
                    <w:autoSpaceDN w:val="0"/>
                    <w:snapToGrid w:val="0"/>
                    <w:ind w:right="96" w:rightChars="0"/>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本项目污水处理采用目前行业内成熟的工艺，严格落实报告中提出的各项污染防治措施，确保尾水水质满足</w:t>
                  </w:r>
                  <w:r>
                    <w:rPr>
                      <w:rFonts w:hint="eastAsia" w:cs="Times New Roman"/>
                      <w:color w:val="auto"/>
                      <w:kern w:val="2"/>
                      <w:sz w:val="21"/>
                      <w:szCs w:val="21"/>
                      <w:highlight w:val="none"/>
                      <w:lang w:val="en-US" w:eastAsia="zh-CN" w:bidi="ar-SA"/>
                    </w:rPr>
                    <w:t>《城镇污水处理厂污染物排放标准》（GB18918-2002）表1中一级A标准和2025年修改单表4中瞬时值标准。</w:t>
                  </w:r>
                </w:p>
              </w:tc>
              <w:tc>
                <w:tcPr>
                  <w:tcW w:w="636" w:type="pct"/>
                  <w:gridSpan w:val="2"/>
                  <w:tcBorders>
                    <w:top w:val="single" w:color="auto" w:sz="4" w:space="0"/>
                    <w:right w:val="single" w:color="auto" w:sz="4" w:space="0"/>
                  </w:tcBorders>
                  <w:vAlign w:val="center"/>
                </w:tcPr>
                <w:p w14:paraId="3E81F982">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eastAsia="宋体" w:cs="Times New Roman"/>
                      <w:b w:val="0"/>
                      <w:color w:val="auto"/>
                      <w:kern w:val="2"/>
                      <w:sz w:val="21"/>
                      <w:szCs w:val="24"/>
                      <w:highlight w:val="none"/>
                      <w:lang w:val="en-US" w:eastAsia="zh-CN" w:bidi="ar-SA"/>
                    </w:rPr>
                    <w:t>符合</w:t>
                  </w:r>
                </w:p>
              </w:tc>
              <w:tc>
                <w:tcPr>
                  <w:tcW w:w="694" w:type="pct"/>
                  <w:gridSpan w:val="3"/>
                  <w:vMerge w:val="continue"/>
                  <w:tcBorders>
                    <w:left w:val="single" w:color="auto" w:sz="4" w:space="0"/>
                  </w:tcBorders>
                </w:tcPr>
                <w:p w14:paraId="5810250A">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 w:val="0"/>
                      <w:color w:val="auto"/>
                      <w:kern w:val="2"/>
                      <w:sz w:val="21"/>
                      <w:szCs w:val="24"/>
                      <w:highlight w:val="none"/>
                      <w:lang w:val="en-US" w:eastAsia="zh-CN" w:bidi="ar-SA"/>
                    </w:rPr>
                  </w:pPr>
                </w:p>
              </w:tc>
            </w:tr>
          </w:tbl>
          <w:p w14:paraId="5560BCC7">
            <w:pPr>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宋体" w:hAnsi="宋体" w:eastAsia="宋体" w:cs="宋体"/>
                <w:color w:val="auto"/>
                <w:kern w:val="0"/>
                <w:sz w:val="24"/>
                <w:highlight w:val="none"/>
                <w:lang w:val="en-US" w:eastAsia="zh-CN"/>
              </w:rPr>
              <w:t>③</w:t>
            </w:r>
            <w:r>
              <w:rPr>
                <w:rFonts w:hint="default" w:ascii="Times New Roman" w:hAnsi="Times New Roman" w:eastAsia="宋体" w:cs="Times New Roman"/>
                <w:color w:val="auto"/>
                <w:kern w:val="0"/>
                <w:sz w:val="24"/>
                <w:highlight w:val="none"/>
                <w:lang w:val="en-US" w:eastAsia="zh-CN"/>
              </w:rPr>
              <w:t>一说明：</w:t>
            </w:r>
          </w:p>
          <w:p w14:paraId="40C0A3A2">
            <w:pPr>
              <w:pStyle w:val="81"/>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val="0"/>
                <w:color w:val="auto"/>
                <w:kern w:val="0"/>
                <w:sz w:val="24"/>
                <w:szCs w:val="24"/>
                <w:highlight w:val="none"/>
                <w:lang w:val="en-US" w:eastAsia="zh-CN" w:bidi="ar-SA"/>
              </w:rPr>
            </w:pPr>
            <w:r>
              <w:rPr>
                <w:rFonts w:hint="default" w:ascii="Times New Roman" w:hAnsi="Times New Roman" w:eastAsia="宋体" w:cs="Times New Roman"/>
                <w:bCs w:val="0"/>
                <w:color w:val="auto"/>
                <w:kern w:val="0"/>
                <w:sz w:val="24"/>
                <w:szCs w:val="24"/>
                <w:highlight w:val="none"/>
                <w:lang w:val="en-US" w:eastAsia="zh-CN" w:bidi="ar-SA"/>
              </w:rPr>
              <w:t>根据</w:t>
            </w:r>
            <w:r>
              <w:rPr>
                <w:rFonts w:hint="default" w:ascii="Times New Roman" w:hAnsi="Times New Roman" w:eastAsia="宋体" w:cs="Times New Roman"/>
                <w:bCs w:val="0"/>
                <w:color w:val="auto"/>
                <w:kern w:val="0"/>
                <w:sz w:val="24"/>
                <w:szCs w:val="24"/>
                <w:highlight w:val="none"/>
                <w:lang w:val="en-US" w:eastAsia="zh-CN" w:bidi="ar-SA"/>
              </w:rPr>
              <w:t>图1-1和表1-</w:t>
            </w:r>
            <w:r>
              <w:rPr>
                <w:rFonts w:hint="eastAsia" w:hAnsi="Times New Roman" w:cs="Times New Roman"/>
                <w:bCs w:val="0"/>
                <w:color w:val="auto"/>
                <w:kern w:val="0"/>
                <w:sz w:val="24"/>
                <w:szCs w:val="24"/>
                <w:highlight w:val="none"/>
                <w:lang w:val="en-US" w:eastAsia="zh-CN" w:bidi="ar-SA"/>
              </w:rPr>
              <w:t>1</w:t>
            </w:r>
            <w:r>
              <w:rPr>
                <w:rFonts w:hint="default" w:ascii="Times New Roman" w:hAnsi="Times New Roman" w:eastAsia="宋体" w:cs="Times New Roman"/>
                <w:bCs w:val="0"/>
                <w:color w:val="auto"/>
                <w:kern w:val="0"/>
                <w:sz w:val="24"/>
                <w:szCs w:val="24"/>
                <w:highlight w:val="none"/>
                <w:lang w:val="en-US" w:eastAsia="zh-CN" w:bidi="ar-SA"/>
              </w:rPr>
              <w:t>中对比结果可知，本项目符合汉中市生态环境管控单元中相关要求。</w:t>
            </w:r>
          </w:p>
          <w:p w14:paraId="1E80D35E">
            <w:pPr>
              <w:autoSpaceDE w:val="0"/>
              <w:autoSpaceDN w:val="0"/>
              <w:adjustRightInd w:val="0"/>
              <w:snapToGrid w:val="0"/>
              <w:spacing w:line="360" w:lineRule="auto"/>
              <w:ind w:firstLine="482" w:firstLineChars="200"/>
              <w:rPr>
                <w:rFonts w:hint="default" w:ascii="Times New Roman" w:hAnsi="Times New Roman" w:eastAsia="宋体" w:cs="Times New Roman"/>
                <w:b/>
                <w:color w:val="auto"/>
                <w:sz w:val="24"/>
                <w:highlight w:val="none"/>
              </w:rPr>
            </w:pPr>
            <w:r>
              <w:rPr>
                <w:rFonts w:hint="eastAsia"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bookmarkStart w:id="19" w:name="_Toc12288"/>
            <w:bookmarkStart w:id="20" w:name="_Toc103326509"/>
            <w:bookmarkStart w:id="21" w:name="_Toc9930"/>
            <w:bookmarkStart w:id="22" w:name="_Toc23919"/>
            <w:bookmarkStart w:id="23" w:name="_Toc5593"/>
            <w:bookmarkStart w:id="24" w:name="_Toc471"/>
            <w:bookmarkStart w:id="25" w:name="_Toc12294"/>
            <w:r>
              <w:rPr>
                <w:rFonts w:hint="default" w:ascii="Times New Roman" w:hAnsi="Times New Roman" w:eastAsia="宋体" w:cs="Times New Roman"/>
                <w:b/>
                <w:color w:val="auto"/>
                <w:sz w:val="24"/>
                <w:highlight w:val="none"/>
              </w:rPr>
              <w:t>与相关规划</w:t>
            </w:r>
            <w:r>
              <w:rPr>
                <w:rFonts w:hint="eastAsia" w:cs="Times New Roman"/>
                <w:b/>
                <w:color w:val="auto"/>
                <w:sz w:val="24"/>
                <w:highlight w:val="none"/>
                <w:lang w:eastAsia="zh-CN"/>
              </w:rPr>
              <w:t>及政策的</w:t>
            </w:r>
            <w:r>
              <w:rPr>
                <w:rFonts w:hint="default" w:ascii="Times New Roman" w:hAnsi="Times New Roman" w:eastAsia="宋体" w:cs="Times New Roman"/>
                <w:b/>
                <w:color w:val="auto"/>
                <w:sz w:val="24"/>
                <w:highlight w:val="none"/>
              </w:rPr>
              <w:t>符合性分析</w:t>
            </w:r>
            <w:bookmarkEnd w:id="19"/>
            <w:bookmarkEnd w:id="20"/>
            <w:bookmarkEnd w:id="21"/>
            <w:bookmarkEnd w:id="22"/>
            <w:bookmarkEnd w:id="23"/>
            <w:bookmarkEnd w:id="24"/>
            <w:bookmarkEnd w:id="25"/>
          </w:p>
          <w:p w14:paraId="2870AA34">
            <w:pPr>
              <w:pStyle w:val="101"/>
              <w:keepNext w:val="0"/>
              <w:keepLines w:val="0"/>
              <w:pageBreakBefore w:val="0"/>
              <w:widowControl w:val="0"/>
              <w:kinsoku w:val="0"/>
              <w:wordWrap/>
              <w:overflowPunct w:val="0"/>
              <w:topLinePunct w:val="0"/>
              <w:autoSpaceDE w:val="0"/>
              <w:autoSpaceDN w:val="0"/>
              <w:bidi w:val="0"/>
              <w:adjustRightInd w:val="0"/>
              <w:snapToGrid w:val="0"/>
              <w:ind w:firstLine="480"/>
              <w:textAlignment w:val="auto"/>
              <w:rPr>
                <w:rFonts w:hint="default" w:ascii="Times New Roman" w:hAnsi="Times New Roman" w:cs="Times New Roman"/>
                <w:b/>
                <w:bCs/>
                <w:color w:val="auto"/>
                <w:sz w:val="21"/>
                <w:szCs w:val="21"/>
                <w:highlight w:val="none"/>
              </w:rPr>
            </w:pPr>
            <w:r>
              <w:rPr>
                <w:rFonts w:hint="default" w:ascii="Times New Roman" w:hAnsi="Times New Roman" w:eastAsia="宋体" w:cs="Times New Roman"/>
                <w:color w:val="auto"/>
                <w:kern w:val="2"/>
                <w:sz w:val="24"/>
                <w:szCs w:val="32"/>
                <w:highlight w:val="none"/>
                <w:lang w:val="en-US" w:eastAsia="zh-CN" w:bidi="ar-SA"/>
              </w:rPr>
              <w:t>项目与有关规划</w:t>
            </w:r>
            <w:r>
              <w:rPr>
                <w:rFonts w:hint="eastAsia" w:cs="Times New Roman"/>
                <w:color w:val="auto"/>
                <w:kern w:val="2"/>
                <w:sz w:val="24"/>
                <w:szCs w:val="32"/>
                <w:highlight w:val="none"/>
                <w:lang w:val="en-US" w:eastAsia="zh-CN" w:bidi="ar-SA"/>
              </w:rPr>
              <w:t>及政策</w:t>
            </w:r>
            <w:r>
              <w:rPr>
                <w:rFonts w:hint="default" w:ascii="Times New Roman" w:hAnsi="Times New Roman" w:eastAsia="宋体" w:cs="Times New Roman"/>
                <w:color w:val="auto"/>
                <w:kern w:val="2"/>
                <w:sz w:val="24"/>
                <w:szCs w:val="32"/>
                <w:highlight w:val="none"/>
                <w:lang w:val="en-US" w:eastAsia="zh-CN" w:bidi="ar-SA"/>
              </w:rPr>
              <w:t>的符合性分析详见表1-</w:t>
            </w:r>
            <w:r>
              <w:rPr>
                <w:rFonts w:hint="eastAsia" w:cs="Times New Roman"/>
                <w:color w:val="auto"/>
                <w:kern w:val="2"/>
                <w:sz w:val="24"/>
                <w:szCs w:val="32"/>
                <w:highlight w:val="none"/>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w:t>
            </w:r>
          </w:p>
          <w:p w14:paraId="1898F514">
            <w:pPr>
              <w:pStyle w:val="102"/>
              <w:keepNext w:val="0"/>
              <w:keepLines w:val="0"/>
              <w:pageBreakBefore w:val="0"/>
              <w:widowControl w:val="0"/>
              <w:kinsoku w:val="0"/>
              <w:wordWrap/>
              <w:overflowPunct w:val="0"/>
              <w:topLinePunct w:val="0"/>
              <w:autoSpaceDE w:val="0"/>
              <w:autoSpaceDN w:val="0"/>
              <w:bidi w:val="0"/>
              <w:adjustRightInd w:val="0"/>
              <w:snapToGrid w:val="0"/>
              <w:spacing w:before="0" w:line="240" w:lineRule="auto"/>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1-</w:t>
            </w:r>
            <w:r>
              <w:rPr>
                <w:rFonts w:hint="eastAsia" w:ascii="Times New Roman"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本项目与相关规划</w:t>
            </w:r>
            <w:r>
              <w:rPr>
                <w:rFonts w:hint="eastAsia" w:ascii="Times New Roman" w:cs="Times New Roman"/>
                <w:b/>
                <w:bCs/>
                <w:color w:val="auto"/>
                <w:sz w:val="21"/>
                <w:szCs w:val="21"/>
                <w:highlight w:val="none"/>
                <w:lang w:eastAsia="zh-CN"/>
              </w:rPr>
              <w:t>及政策</w:t>
            </w:r>
            <w:r>
              <w:rPr>
                <w:rFonts w:hint="default" w:ascii="Times New Roman" w:hAnsi="Times New Roman" w:cs="Times New Roman"/>
                <w:b/>
                <w:bCs/>
                <w:color w:val="auto"/>
                <w:sz w:val="21"/>
                <w:szCs w:val="21"/>
                <w:highlight w:val="none"/>
              </w:rPr>
              <w:t>符合性分析表</w:t>
            </w:r>
          </w:p>
          <w:tbl>
            <w:tblPr>
              <w:tblStyle w:val="31"/>
              <w:tblW w:w="754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3367"/>
              <w:gridCol w:w="2050"/>
              <w:gridCol w:w="683"/>
            </w:tblGrid>
            <w:tr w14:paraId="00331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6896197E">
                  <w:pPr>
                    <w:widowControl/>
                    <w:autoSpaceDE w:val="0"/>
                    <w:snapToGrid w:val="0"/>
                    <w:jc w:val="center"/>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文件</w:t>
                  </w:r>
                  <w:r>
                    <w:rPr>
                      <w:rFonts w:hint="default" w:ascii="Times New Roman" w:hAnsi="Times New Roman" w:eastAsia="宋体" w:cs="Times New Roman"/>
                      <w:color w:val="auto"/>
                      <w:szCs w:val="21"/>
                      <w:highlight w:val="none"/>
                      <w:lang w:eastAsia="zh-CN"/>
                    </w:rPr>
                    <w:t>名称</w:t>
                  </w:r>
                </w:p>
              </w:tc>
              <w:tc>
                <w:tcPr>
                  <w:tcW w:w="2230" w:type="pct"/>
                  <w:tcBorders>
                    <w:tl2br w:val="nil"/>
                    <w:tr2bl w:val="nil"/>
                  </w:tcBorders>
                  <w:noWrap w:val="0"/>
                  <w:vAlign w:val="center"/>
                </w:tcPr>
                <w:p w14:paraId="442B88F9">
                  <w:pPr>
                    <w:widowControl/>
                    <w:autoSpaceDE w:val="0"/>
                    <w:snapToGrid w:val="0"/>
                    <w:jc w:val="center"/>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相关</w:t>
                  </w:r>
                  <w:r>
                    <w:rPr>
                      <w:rFonts w:hint="default" w:ascii="Times New Roman" w:hAnsi="Times New Roman" w:eastAsia="宋体" w:cs="Times New Roman"/>
                      <w:color w:val="auto"/>
                      <w:szCs w:val="21"/>
                      <w:highlight w:val="none"/>
                      <w:lang w:eastAsia="zh-CN"/>
                    </w:rPr>
                    <w:t>内容</w:t>
                  </w:r>
                </w:p>
              </w:tc>
              <w:tc>
                <w:tcPr>
                  <w:tcW w:w="1357" w:type="pct"/>
                  <w:tcBorders>
                    <w:tl2br w:val="nil"/>
                    <w:tr2bl w:val="nil"/>
                  </w:tcBorders>
                  <w:noWrap w:val="0"/>
                  <w:vAlign w:val="center"/>
                </w:tcPr>
                <w:p w14:paraId="4CD9A706">
                  <w:pPr>
                    <w:widowControl/>
                    <w:autoSpaceDE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本项目</w:t>
                  </w:r>
                  <w:r>
                    <w:rPr>
                      <w:rFonts w:hint="eastAsia" w:cs="Times New Roman"/>
                      <w:color w:val="auto"/>
                      <w:szCs w:val="21"/>
                      <w:highlight w:val="none"/>
                      <w:lang w:eastAsia="zh-CN"/>
                    </w:rPr>
                    <w:t>情况</w:t>
                  </w:r>
                </w:p>
              </w:tc>
              <w:tc>
                <w:tcPr>
                  <w:tcW w:w="452" w:type="pct"/>
                  <w:tcBorders>
                    <w:tl2br w:val="nil"/>
                    <w:tr2bl w:val="nil"/>
                  </w:tcBorders>
                  <w:noWrap w:val="0"/>
                  <w:vAlign w:val="center"/>
                </w:tcPr>
                <w:p w14:paraId="7C548B47">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eastAsia="宋体" w:cs="Times New Roman"/>
                      <w:bCs/>
                      <w:color w:val="auto"/>
                      <w:szCs w:val="21"/>
                      <w:highlight w:val="none"/>
                      <w:lang w:eastAsia="zh-CN"/>
                    </w:rPr>
                  </w:pPr>
                  <w:r>
                    <w:rPr>
                      <w:rFonts w:hint="default" w:ascii="Times New Roman" w:hAnsi="Times New Roman" w:cs="Times New Roman"/>
                      <w:color w:val="auto"/>
                      <w:szCs w:val="21"/>
                      <w:highlight w:val="none"/>
                      <w:lang w:eastAsia="zh-CN"/>
                    </w:rPr>
                    <w:t>结论</w:t>
                  </w:r>
                </w:p>
              </w:tc>
            </w:tr>
            <w:tr w14:paraId="3B8A31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59" w:type="pct"/>
                  <w:vMerge w:val="restart"/>
                  <w:tcBorders>
                    <w:tl2br w:val="nil"/>
                    <w:tr2bl w:val="nil"/>
                  </w:tcBorders>
                  <w:noWrap w:val="0"/>
                  <w:vAlign w:val="center"/>
                </w:tcPr>
                <w:p w14:paraId="062A6A22">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293A5255">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55484D04">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38C8E4AB">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78730488">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21180DD0">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785E47E6">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7C9F55F3">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7C4BC023">
                  <w:pPr>
                    <w:autoSpaceDE w:val="0"/>
                    <w:autoSpaceDN w:val="0"/>
                    <w:adjustRightInd w:val="0"/>
                    <w:jc w:val="center"/>
                    <w:rPr>
                      <w:rFonts w:hint="default" w:ascii="Times New Roman" w:hAnsi="Times New Roman" w:cs="Times New Roman"/>
                      <w:color w:val="auto"/>
                      <w:kern w:val="0"/>
                      <w:szCs w:val="21"/>
                      <w:highlight w:val="none"/>
                      <w:lang w:val="en-US" w:eastAsia="zh-CN"/>
                    </w:rPr>
                  </w:pPr>
                </w:p>
                <w:p w14:paraId="63F0BBED">
                  <w:pPr>
                    <w:autoSpaceDE w:val="0"/>
                    <w:autoSpaceDN w:val="0"/>
                    <w:adjustRightIn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《陕西省“十四五”生态环境保护规划》（陕政办发[2021]25号）</w:t>
                  </w:r>
                </w:p>
              </w:tc>
              <w:tc>
                <w:tcPr>
                  <w:tcW w:w="2230" w:type="pct"/>
                  <w:tcBorders>
                    <w:tl2br w:val="nil"/>
                    <w:tr2bl w:val="nil"/>
                  </w:tcBorders>
                  <w:shd w:val="clear" w:color="auto" w:fill="auto"/>
                  <w:noWrap w:val="0"/>
                  <w:vAlign w:val="center"/>
                </w:tcPr>
                <w:p w14:paraId="35B6F878">
                  <w:pPr>
                    <w:keepNext w:val="0"/>
                    <w:keepLines w:val="0"/>
                    <w:pageBreakBefore w:val="0"/>
                    <w:widowControl w:val="0"/>
                    <w:kinsoku w:val="0"/>
                    <w:wordWrap/>
                    <w:overflowPunct w:val="0"/>
                    <w:topLinePunct w:val="0"/>
                    <w:autoSpaceDE w:val="0"/>
                    <w:autoSpaceDN w:val="0"/>
                    <w:bidi w:val="0"/>
                    <w:adjustRightInd w:val="0"/>
                    <w:snapToGrid w:val="0"/>
                    <w:jc w:val="left"/>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垃圾、污水集中式污染处理设施等加大密闭收集力度，因地制宜采取除臭措施</w:t>
                  </w:r>
                </w:p>
              </w:tc>
              <w:tc>
                <w:tcPr>
                  <w:tcW w:w="1357" w:type="pct"/>
                  <w:vMerge w:val="restart"/>
                  <w:tcBorders>
                    <w:tl2br w:val="nil"/>
                    <w:tr2bl w:val="nil"/>
                  </w:tcBorders>
                  <w:noWrap w:val="0"/>
                  <w:vAlign w:val="center"/>
                </w:tcPr>
                <w:p w14:paraId="78EA9489">
                  <w:pPr>
                    <w:autoSpaceDE w:val="0"/>
                    <w:autoSpaceDN w:val="0"/>
                    <w:adjustRightInd w:val="0"/>
                    <w:rPr>
                      <w:rFonts w:hint="default" w:ascii="Times New Roman" w:hAnsi="Times New Roman" w:cs="Times New Roman"/>
                      <w:color w:val="auto"/>
                      <w:kern w:val="0"/>
                      <w:szCs w:val="21"/>
                      <w:highlight w:val="none"/>
                      <w:lang w:val="en-US" w:eastAsia="zh-CN"/>
                    </w:rPr>
                  </w:pPr>
                </w:p>
                <w:p w14:paraId="3F9C42E5">
                  <w:pPr>
                    <w:autoSpaceDE w:val="0"/>
                    <w:autoSpaceDN w:val="0"/>
                    <w:adjustRightInd w:val="0"/>
                    <w:rPr>
                      <w:rFonts w:hint="default" w:ascii="Times New Roman" w:hAnsi="Times New Roman" w:cs="Times New Roman"/>
                      <w:color w:val="auto"/>
                      <w:kern w:val="0"/>
                      <w:szCs w:val="21"/>
                      <w:highlight w:val="none"/>
                      <w:lang w:val="en-US" w:eastAsia="zh-CN"/>
                    </w:rPr>
                  </w:pPr>
                </w:p>
                <w:p w14:paraId="76D87B95">
                  <w:pPr>
                    <w:autoSpaceDE w:val="0"/>
                    <w:autoSpaceDN w:val="0"/>
                    <w:adjustRightInd w:val="0"/>
                    <w:rPr>
                      <w:rFonts w:hint="default" w:ascii="Times New Roman" w:hAnsi="Times New Roman" w:cs="Times New Roman"/>
                      <w:color w:val="auto"/>
                      <w:kern w:val="0"/>
                      <w:szCs w:val="21"/>
                      <w:highlight w:val="none"/>
                      <w:lang w:val="en-US" w:eastAsia="zh-CN"/>
                    </w:rPr>
                  </w:pPr>
                </w:p>
                <w:p w14:paraId="35FE470D">
                  <w:pPr>
                    <w:autoSpaceDE w:val="0"/>
                    <w:autoSpaceDN w:val="0"/>
                    <w:adjustRightInd w:val="0"/>
                    <w:rPr>
                      <w:rFonts w:hint="default" w:ascii="Times New Roman" w:hAnsi="Times New Roman" w:cs="Times New Roman"/>
                      <w:color w:val="auto"/>
                      <w:kern w:val="0"/>
                      <w:szCs w:val="21"/>
                      <w:highlight w:val="none"/>
                      <w:lang w:val="en-US" w:eastAsia="zh-CN"/>
                    </w:rPr>
                  </w:pPr>
                </w:p>
                <w:p w14:paraId="6F33DC80">
                  <w:pPr>
                    <w:autoSpaceDE w:val="0"/>
                    <w:autoSpaceDN w:val="0"/>
                    <w:adjustRightInd w:val="0"/>
                    <w:rPr>
                      <w:rFonts w:hint="default" w:ascii="Times New Roman" w:hAnsi="Times New Roman" w:cs="Times New Roman"/>
                      <w:color w:val="auto"/>
                      <w:kern w:val="0"/>
                      <w:szCs w:val="21"/>
                      <w:highlight w:val="none"/>
                      <w:lang w:val="en-US" w:eastAsia="zh-CN"/>
                    </w:rPr>
                  </w:pPr>
                </w:p>
                <w:p w14:paraId="5DB94008">
                  <w:pPr>
                    <w:autoSpaceDE w:val="0"/>
                    <w:autoSpaceDN w:val="0"/>
                    <w:adjustRightInd w:val="0"/>
                    <w:rPr>
                      <w:rFonts w:hint="default" w:ascii="Times New Roman" w:hAnsi="Times New Roman" w:cs="Times New Roman"/>
                      <w:color w:val="auto"/>
                      <w:kern w:val="0"/>
                      <w:szCs w:val="21"/>
                      <w:highlight w:val="none"/>
                      <w:lang w:val="en-US" w:eastAsia="zh-CN"/>
                    </w:rPr>
                  </w:pPr>
                </w:p>
                <w:p w14:paraId="4101EFAC">
                  <w:pPr>
                    <w:autoSpaceDE w:val="0"/>
                    <w:autoSpaceDN w:val="0"/>
                    <w:adjustRightInd w:val="0"/>
                    <w:rPr>
                      <w:rFonts w:hint="default" w:ascii="Times New Roman" w:hAnsi="Times New Roman" w:cs="Times New Roman"/>
                      <w:color w:val="auto"/>
                      <w:kern w:val="0"/>
                      <w:szCs w:val="21"/>
                      <w:highlight w:val="none"/>
                      <w:lang w:val="en-US" w:eastAsia="zh-CN"/>
                    </w:rPr>
                  </w:pPr>
                </w:p>
                <w:p w14:paraId="292D6D91">
                  <w:pPr>
                    <w:autoSpaceDE w:val="0"/>
                    <w:autoSpaceDN w:val="0"/>
                    <w:adjustRightInd w:val="0"/>
                    <w:rPr>
                      <w:rFonts w:hint="default" w:ascii="Times New Roman" w:hAnsi="Times New Roman" w:cs="Times New Roman"/>
                      <w:color w:val="auto"/>
                      <w:kern w:val="0"/>
                      <w:szCs w:val="21"/>
                      <w:highlight w:val="none"/>
                      <w:lang w:val="en-US" w:eastAsia="zh-CN"/>
                    </w:rPr>
                  </w:pPr>
                </w:p>
                <w:p w14:paraId="5B794027">
                  <w:pPr>
                    <w:autoSpaceDE w:val="0"/>
                    <w:autoSpaceDN w:val="0"/>
                    <w:adjustRightInd w:val="0"/>
                    <w:rPr>
                      <w:rFonts w:hint="default" w:ascii="Times New Roman" w:hAnsi="Times New Roman" w:cs="Times New Roman"/>
                      <w:color w:val="auto"/>
                      <w:kern w:val="0"/>
                      <w:szCs w:val="21"/>
                      <w:highlight w:val="none"/>
                      <w:lang w:val="en-US" w:eastAsia="zh-CN"/>
                    </w:rPr>
                  </w:pPr>
                </w:p>
                <w:p w14:paraId="11E013C6">
                  <w:pPr>
                    <w:autoSpaceDE w:val="0"/>
                    <w:autoSpaceDN w:val="0"/>
                    <w:adjustRightInd w:val="0"/>
                    <w:rPr>
                      <w:rFonts w:hint="default" w:ascii="Times New Roman" w:hAnsi="Times New Roman" w:cs="Times New Roman"/>
                      <w:color w:val="auto"/>
                      <w:kern w:val="0"/>
                      <w:szCs w:val="21"/>
                      <w:highlight w:val="none"/>
                      <w:lang w:val="en-US" w:eastAsia="zh-CN"/>
                    </w:rPr>
                  </w:pPr>
                </w:p>
                <w:p w14:paraId="20DADC41">
                  <w:pPr>
                    <w:autoSpaceDE w:val="0"/>
                    <w:autoSpaceDN w:val="0"/>
                    <w:adjustRightInd w:val="0"/>
                    <w:rPr>
                      <w:rFonts w:hint="default" w:ascii="Times New Roman" w:hAnsi="Times New Roman" w:cs="Times New Roman"/>
                      <w:color w:val="auto"/>
                      <w:kern w:val="0"/>
                      <w:szCs w:val="21"/>
                      <w:highlight w:val="none"/>
                      <w:lang w:val="en-US" w:eastAsia="zh-CN"/>
                    </w:rPr>
                  </w:pPr>
                </w:p>
                <w:p w14:paraId="59F3D105">
                  <w:pPr>
                    <w:autoSpaceDE w:val="0"/>
                    <w:autoSpaceDN w:val="0"/>
                    <w:adjustRightInd w:val="0"/>
                    <w:rPr>
                      <w:rFonts w:hint="default" w:ascii="Times New Roman" w:hAnsi="Times New Roman" w:cs="Times New Roman"/>
                      <w:color w:val="auto"/>
                      <w:kern w:val="0"/>
                      <w:szCs w:val="21"/>
                      <w:highlight w:val="none"/>
                      <w:lang w:val="en-US" w:eastAsia="zh-CN"/>
                    </w:rPr>
                  </w:pPr>
                </w:p>
                <w:p w14:paraId="5A9C893D">
                  <w:pPr>
                    <w:autoSpaceDE w:val="0"/>
                    <w:autoSpaceDN w:val="0"/>
                    <w:adjustRightInd w:val="0"/>
                    <w:rPr>
                      <w:rFonts w:hint="default" w:ascii="Times New Roman" w:hAnsi="Times New Roman" w:cs="Times New Roman"/>
                      <w:color w:val="auto"/>
                      <w:kern w:val="0"/>
                      <w:szCs w:val="21"/>
                      <w:highlight w:val="none"/>
                      <w:lang w:val="en-US" w:eastAsia="zh-CN"/>
                    </w:rPr>
                  </w:pPr>
                </w:p>
                <w:p w14:paraId="63B408E5">
                  <w:pPr>
                    <w:autoSpaceDE w:val="0"/>
                    <w:autoSpaceDN w:val="0"/>
                    <w:adjustRightInd w:val="0"/>
                    <w:rPr>
                      <w:rFonts w:hint="default" w:ascii="Times New Roman" w:hAnsi="Times New Roman" w:cs="Times New Roman"/>
                      <w:color w:val="auto"/>
                      <w:kern w:val="0"/>
                      <w:szCs w:val="21"/>
                      <w:highlight w:val="none"/>
                      <w:lang w:val="en-US" w:eastAsia="zh-CN"/>
                    </w:rPr>
                  </w:pPr>
                </w:p>
                <w:p w14:paraId="0328E040">
                  <w:pPr>
                    <w:autoSpaceDE w:val="0"/>
                    <w:autoSpaceDN w:val="0"/>
                    <w:adjustRightInd w:val="0"/>
                    <w:rPr>
                      <w:rFonts w:hint="default" w:ascii="Times New Roman" w:hAnsi="Times New Roman" w:cs="Times New Roman"/>
                      <w:color w:val="auto"/>
                      <w:kern w:val="0"/>
                      <w:szCs w:val="21"/>
                      <w:highlight w:val="none"/>
                      <w:lang w:val="en-US" w:eastAsia="zh-CN"/>
                    </w:rPr>
                  </w:pPr>
                </w:p>
                <w:p w14:paraId="63825DA9">
                  <w:pPr>
                    <w:autoSpaceDE w:val="0"/>
                    <w:autoSpaceDN w:val="0"/>
                    <w:adjustRightInd w:val="0"/>
                    <w:rPr>
                      <w:rFonts w:hint="default" w:ascii="Times New Roman" w:hAnsi="Times New Roman" w:cs="Times New Roman"/>
                      <w:color w:val="auto"/>
                      <w:kern w:val="0"/>
                      <w:szCs w:val="21"/>
                      <w:highlight w:val="none"/>
                      <w:lang w:val="en-US" w:eastAsia="zh-CN"/>
                    </w:rPr>
                  </w:pPr>
                </w:p>
                <w:p w14:paraId="6D134722">
                  <w:pPr>
                    <w:autoSpaceDE w:val="0"/>
                    <w:autoSpaceDN w:val="0"/>
                    <w:adjustRightInd w:val="0"/>
                    <w:rPr>
                      <w:rFonts w:hint="default" w:ascii="Times New Roman" w:hAnsi="Times New Roman" w:cs="Times New Roman"/>
                      <w:color w:val="auto"/>
                      <w:kern w:val="0"/>
                      <w:szCs w:val="21"/>
                      <w:highlight w:val="none"/>
                      <w:lang w:val="en-US" w:eastAsia="zh-CN"/>
                    </w:rPr>
                  </w:pPr>
                </w:p>
                <w:p w14:paraId="7F1A6985">
                  <w:pPr>
                    <w:autoSpaceDE w:val="0"/>
                    <w:autoSpaceDN w:val="0"/>
                    <w:adjustRightInd w:val="0"/>
                    <w:rPr>
                      <w:rFonts w:hint="default" w:ascii="Times New Roman" w:hAnsi="Times New Roman" w:cs="Times New Roman"/>
                      <w:color w:val="auto"/>
                      <w:kern w:val="0"/>
                      <w:szCs w:val="21"/>
                      <w:highlight w:val="none"/>
                      <w:lang w:val="en-US" w:eastAsia="zh-CN"/>
                    </w:rPr>
                  </w:pPr>
                </w:p>
                <w:p w14:paraId="0312A8BC">
                  <w:pPr>
                    <w:autoSpaceDE w:val="0"/>
                    <w:autoSpaceDN w:val="0"/>
                    <w:adjustRightInd w:val="0"/>
                    <w:rPr>
                      <w:rFonts w:hint="default" w:ascii="Times New Roman" w:hAnsi="Times New Roman" w:cs="Times New Roman"/>
                      <w:color w:val="auto"/>
                      <w:kern w:val="0"/>
                      <w:szCs w:val="21"/>
                      <w:highlight w:val="none"/>
                      <w:lang w:val="en-US" w:eastAsia="zh-CN"/>
                    </w:rPr>
                  </w:pPr>
                </w:p>
                <w:p w14:paraId="721A04A4">
                  <w:pPr>
                    <w:autoSpaceDE w:val="0"/>
                    <w:autoSpaceDN w:val="0"/>
                    <w:adjustRightInd w:val="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本项目为农村</w:t>
                  </w:r>
                  <w:r>
                    <w:rPr>
                      <w:rFonts w:hint="eastAsia" w:cs="Times New Roman"/>
                      <w:color w:val="auto"/>
                      <w:kern w:val="0"/>
                      <w:szCs w:val="21"/>
                      <w:highlight w:val="none"/>
                      <w:lang w:val="en-US" w:eastAsia="zh-CN"/>
                    </w:rPr>
                    <w:t>生活</w:t>
                  </w:r>
                  <w:r>
                    <w:rPr>
                      <w:rFonts w:hint="default" w:ascii="Times New Roman" w:hAnsi="Times New Roman" w:cs="Times New Roman"/>
                      <w:color w:val="auto"/>
                      <w:kern w:val="0"/>
                      <w:szCs w:val="21"/>
                      <w:highlight w:val="none"/>
                      <w:lang w:val="en-US" w:eastAsia="zh-CN"/>
                    </w:rPr>
                    <w:t>污水收集处理设施建设，</w:t>
                  </w:r>
                  <w:r>
                    <w:rPr>
                      <w:rFonts w:hint="default" w:ascii="Times New Roman" w:hAnsi="Times New Roman" w:eastAsia="宋体" w:cs="Times New Roman"/>
                      <w:color w:val="auto"/>
                      <w:kern w:val="2"/>
                      <w:sz w:val="21"/>
                      <w:szCs w:val="21"/>
                      <w:highlight w:val="none"/>
                      <w:lang w:val="en-US" w:eastAsia="zh-CN" w:bidi="ar-SA"/>
                    </w:rPr>
                    <w:t>产臭单元均加盖密闭</w:t>
                  </w:r>
                  <w:r>
                    <w:rPr>
                      <w:rFonts w:hint="eastAsia" w:cs="Times New Roman"/>
                      <w:color w:val="auto"/>
                      <w:kern w:val="2"/>
                      <w:sz w:val="21"/>
                      <w:szCs w:val="21"/>
                      <w:highlight w:val="none"/>
                      <w:lang w:val="en-US" w:eastAsia="zh-CN" w:bidi="ar-SA"/>
                    </w:rPr>
                    <w:t>，</w:t>
                  </w:r>
                  <w:r>
                    <w:rPr>
                      <w:rFonts w:hint="eastAsia" w:cs="Times New Roman"/>
                      <w:color w:val="auto"/>
                      <w:highlight w:val="none"/>
                      <w:lang w:eastAsia="zh-CN"/>
                    </w:rPr>
                    <w:t>恶臭采取</w:t>
                  </w:r>
                  <w:r>
                    <w:rPr>
                      <w:rFonts w:hint="eastAsia" w:cs="Times New Roman"/>
                      <w:color w:val="auto"/>
                      <w:highlight w:val="none"/>
                      <w:lang w:val="en-US" w:eastAsia="zh-CN"/>
                    </w:rPr>
                    <w:t>管道负压收集+活性氧离子法处理达标后，通过15m高排气筒排放</w:t>
                  </w:r>
                  <w:r>
                    <w:rPr>
                      <w:rFonts w:hint="eastAsia" w:cs="Times New Roman"/>
                      <w:color w:val="auto"/>
                      <w:kern w:val="2"/>
                      <w:sz w:val="21"/>
                      <w:szCs w:val="21"/>
                      <w:highlight w:val="none"/>
                      <w:lang w:val="en-US" w:eastAsia="zh-CN" w:bidi="ar-SA"/>
                    </w:rPr>
                    <w:t>；项目</w:t>
                  </w:r>
                  <w:r>
                    <w:rPr>
                      <w:rFonts w:hint="default" w:ascii="Times New Roman" w:hAnsi="Times New Roman" w:cs="Times New Roman"/>
                      <w:color w:val="auto"/>
                      <w:kern w:val="0"/>
                      <w:szCs w:val="21"/>
                      <w:highlight w:val="none"/>
                      <w:lang w:val="en-US" w:eastAsia="zh-CN"/>
                    </w:rPr>
                    <w:t>实施可有效</w:t>
                  </w:r>
                  <w:r>
                    <w:rPr>
                      <w:rFonts w:hint="eastAsia" w:cs="Times New Roman"/>
                      <w:color w:val="auto"/>
                      <w:kern w:val="0"/>
                      <w:szCs w:val="21"/>
                      <w:highlight w:val="none"/>
                      <w:lang w:val="en-US" w:eastAsia="zh-CN"/>
                    </w:rPr>
                    <w:t>促进</w:t>
                  </w:r>
                  <w:r>
                    <w:rPr>
                      <w:rFonts w:hint="default" w:ascii="Times New Roman" w:hAnsi="Times New Roman" w:cs="Times New Roman"/>
                      <w:color w:val="auto"/>
                      <w:kern w:val="0"/>
                      <w:szCs w:val="21"/>
                      <w:highlight w:val="none"/>
                      <w:lang w:val="en-US" w:eastAsia="zh-CN"/>
                    </w:rPr>
                    <w:t>农村生活污水治理，有效减少农村污水直排现象。</w:t>
                  </w:r>
                </w:p>
              </w:tc>
              <w:tc>
                <w:tcPr>
                  <w:tcW w:w="452" w:type="pct"/>
                  <w:vMerge w:val="restart"/>
                  <w:tcBorders>
                    <w:tl2br w:val="nil"/>
                    <w:tr2bl w:val="nil"/>
                  </w:tcBorders>
                  <w:noWrap w:val="0"/>
                  <w:vAlign w:val="center"/>
                </w:tcPr>
                <w:p w14:paraId="79BD44B3">
                  <w:pPr>
                    <w:autoSpaceDE w:val="0"/>
                    <w:autoSpaceDN w:val="0"/>
                    <w:adjustRightInd w:val="0"/>
                    <w:jc w:val="center"/>
                    <w:rPr>
                      <w:rFonts w:hint="default" w:ascii="Times New Roman" w:hAnsi="Times New Roman" w:cs="Times New Roman"/>
                      <w:color w:val="auto"/>
                      <w:kern w:val="0"/>
                      <w:szCs w:val="21"/>
                      <w:highlight w:val="none"/>
                    </w:rPr>
                  </w:pPr>
                </w:p>
                <w:p w14:paraId="40ED17C2">
                  <w:pPr>
                    <w:autoSpaceDE w:val="0"/>
                    <w:autoSpaceDN w:val="0"/>
                    <w:adjustRightInd w:val="0"/>
                    <w:jc w:val="center"/>
                    <w:rPr>
                      <w:rFonts w:hint="default" w:ascii="Times New Roman" w:hAnsi="Times New Roman" w:cs="Times New Roman"/>
                      <w:color w:val="auto"/>
                      <w:kern w:val="0"/>
                      <w:szCs w:val="21"/>
                      <w:highlight w:val="none"/>
                    </w:rPr>
                  </w:pPr>
                </w:p>
                <w:p w14:paraId="49C0D37F">
                  <w:pPr>
                    <w:autoSpaceDE w:val="0"/>
                    <w:autoSpaceDN w:val="0"/>
                    <w:adjustRightInd w:val="0"/>
                    <w:jc w:val="center"/>
                    <w:rPr>
                      <w:rFonts w:hint="default" w:ascii="Times New Roman" w:hAnsi="Times New Roman" w:cs="Times New Roman"/>
                      <w:color w:val="auto"/>
                      <w:kern w:val="0"/>
                      <w:szCs w:val="21"/>
                      <w:highlight w:val="none"/>
                    </w:rPr>
                  </w:pPr>
                </w:p>
                <w:p w14:paraId="67C18F85">
                  <w:pPr>
                    <w:autoSpaceDE w:val="0"/>
                    <w:autoSpaceDN w:val="0"/>
                    <w:adjustRightInd w:val="0"/>
                    <w:jc w:val="center"/>
                    <w:rPr>
                      <w:rFonts w:hint="default" w:ascii="Times New Roman" w:hAnsi="Times New Roman" w:cs="Times New Roman"/>
                      <w:color w:val="auto"/>
                      <w:kern w:val="0"/>
                      <w:szCs w:val="21"/>
                      <w:highlight w:val="none"/>
                    </w:rPr>
                  </w:pPr>
                </w:p>
                <w:p w14:paraId="2E9A878F">
                  <w:pPr>
                    <w:autoSpaceDE w:val="0"/>
                    <w:autoSpaceDN w:val="0"/>
                    <w:adjustRightInd w:val="0"/>
                    <w:jc w:val="center"/>
                    <w:rPr>
                      <w:rFonts w:hint="default" w:ascii="Times New Roman" w:hAnsi="Times New Roman" w:cs="Times New Roman"/>
                      <w:color w:val="auto"/>
                      <w:kern w:val="0"/>
                      <w:szCs w:val="21"/>
                      <w:highlight w:val="none"/>
                    </w:rPr>
                  </w:pPr>
                </w:p>
                <w:p w14:paraId="6AB86071">
                  <w:pPr>
                    <w:autoSpaceDE w:val="0"/>
                    <w:autoSpaceDN w:val="0"/>
                    <w:adjustRightInd w:val="0"/>
                    <w:jc w:val="center"/>
                    <w:rPr>
                      <w:rFonts w:hint="default" w:ascii="Times New Roman" w:hAnsi="Times New Roman" w:cs="Times New Roman"/>
                      <w:color w:val="auto"/>
                      <w:kern w:val="0"/>
                      <w:szCs w:val="21"/>
                      <w:highlight w:val="none"/>
                    </w:rPr>
                  </w:pPr>
                </w:p>
                <w:p w14:paraId="5289370E">
                  <w:pPr>
                    <w:autoSpaceDE w:val="0"/>
                    <w:autoSpaceDN w:val="0"/>
                    <w:adjustRightInd w:val="0"/>
                    <w:jc w:val="center"/>
                    <w:rPr>
                      <w:rFonts w:hint="default" w:ascii="Times New Roman" w:hAnsi="Times New Roman" w:cs="Times New Roman"/>
                      <w:color w:val="auto"/>
                      <w:kern w:val="0"/>
                      <w:szCs w:val="21"/>
                      <w:highlight w:val="none"/>
                    </w:rPr>
                  </w:pPr>
                </w:p>
                <w:p w14:paraId="66C7DBA9">
                  <w:pPr>
                    <w:autoSpaceDE w:val="0"/>
                    <w:autoSpaceDN w:val="0"/>
                    <w:adjustRightInd w:val="0"/>
                    <w:jc w:val="center"/>
                    <w:rPr>
                      <w:rFonts w:hint="default" w:ascii="Times New Roman" w:hAnsi="Times New Roman" w:cs="Times New Roman"/>
                      <w:color w:val="auto"/>
                      <w:kern w:val="0"/>
                      <w:szCs w:val="21"/>
                      <w:highlight w:val="none"/>
                    </w:rPr>
                  </w:pPr>
                </w:p>
                <w:p w14:paraId="13AA3351">
                  <w:pPr>
                    <w:autoSpaceDE w:val="0"/>
                    <w:autoSpaceDN w:val="0"/>
                    <w:adjustRightInd w:val="0"/>
                    <w:jc w:val="center"/>
                    <w:rPr>
                      <w:rFonts w:hint="default" w:ascii="Times New Roman" w:hAnsi="Times New Roman" w:cs="Times New Roman"/>
                      <w:color w:val="auto"/>
                      <w:kern w:val="0"/>
                      <w:szCs w:val="21"/>
                      <w:highlight w:val="none"/>
                    </w:rPr>
                  </w:pPr>
                </w:p>
                <w:p w14:paraId="02003C54">
                  <w:pPr>
                    <w:autoSpaceDE w:val="0"/>
                    <w:autoSpaceDN w:val="0"/>
                    <w:adjustRightInd w:val="0"/>
                    <w:jc w:val="center"/>
                    <w:rPr>
                      <w:rFonts w:hint="default" w:ascii="Times New Roman" w:hAnsi="Times New Roman" w:cs="Times New Roman"/>
                      <w:color w:val="auto"/>
                      <w:kern w:val="0"/>
                      <w:szCs w:val="21"/>
                      <w:highlight w:val="none"/>
                    </w:rPr>
                  </w:pPr>
                </w:p>
                <w:p w14:paraId="45CD2E3D">
                  <w:pPr>
                    <w:autoSpaceDE w:val="0"/>
                    <w:autoSpaceDN w:val="0"/>
                    <w:adjustRightInd w:val="0"/>
                    <w:jc w:val="center"/>
                    <w:rPr>
                      <w:rFonts w:hint="default" w:ascii="Times New Roman" w:hAnsi="Times New Roman" w:cs="Times New Roman"/>
                      <w:color w:val="auto"/>
                      <w:kern w:val="0"/>
                      <w:szCs w:val="21"/>
                      <w:highlight w:val="none"/>
                    </w:rPr>
                  </w:pPr>
                </w:p>
                <w:p w14:paraId="478625B2">
                  <w:pPr>
                    <w:autoSpaceDE w:val="0"/>
                    <w:autoSpaceDN w:val="0"/>
                    <w:adjustRightInd w:val="0"/>
                    <w:jc w:val="center"/>
                    <w:rPr>
                      <w:rFonts w:hint="default" w:ascii="Times New Roman" w:hAnsi="Times New Roman" w:cs="Times New Roman"/>
                      <w:color w:val="auto"/>
                      <w:kern w:val="0"/>
                      <w:szCs w:val="21"/>
                      <w:highlight w:val="none"/>
                    </w:rPr>
                  </w:pPr>
                </w:p>
                <w:p w14:paraId="46EE0894">
                  <w:pPr>
                    <w:autoSpaceDE w:val="0"/>
                    <w:autoSpaceDN w:val="0"/>
                    <w:adjustRightInd w:val="0"/>
                    <w:jc w:val="center"/>
                    <w:rPr>
                      <w:rFonts w:hint="default" w:ascii="Times New Roman" w:hAnsi="Times New Roman" w:cs="Times New Roman"/>
                      <w:color w:val="auto"/>
                      <w:kern w:val="0"/>
                      <w:szCs w:val="21"/>
                      <w:highlight w:val="none"/>
                    </w:rPr>
                  </w:pPr>
                </w:p>
                <w:p w14:paraId="7745F707">
                  <w:pPr>
                    <w:autoSpaceDE w:val="0"/>
                    <w:autoSpaceDN w:val="0"/>
                    <w:adjustRightInd w:val="0"/>
                    <w:jc w:val="center"/>
                    <w:rPr>
                      <w:rFonts w:hint="default" w:ascii="Times New Roman" w:hAnsi="Times New Roman" w:cs="Times New Roman"/>
                      <w:color w:val="auto"/>
                      <w:kern w:val="0"/>
                      <w:szCs w:val="21"/>
                      <w:highlight w:val="none"/>
                    </w:rPr>
                  </w:pPr>
                </w:p>
                <w:p w14:paraId="433A277C">
                  <w:pPr>
                    <w:autoSpaceDE w:val="0"/>
                    <w:autoSpaceDN w:val="0"/>
                    <w:adjustRightInd w:val="0"/>
                    <w:jc w:val="center"/>
                    <w:rPr>
                      <w:rFonts w:hint="default" w:ascii="Times New Roman" w:hAnsi="Times New Roman" w:cs="Times New Roman"/>
                      <w:color w:val="auto"/>
                      <w:kern w:val="0"/>
                      <w:szCs w:val="21"/>
                      <w:highlight w:val="none"/>
                    </w:rPr>
                  </w:pPr>
                </w:p>
                <w:p w14:paraId="263B9F44">
                  <w:pPr>
                    <w:autoSpaceDE w:val="0"/>
                    <w:autoSpaceDN w:val="0"/>
                    <w:adjustRightInd w:val="0"/>
                    <w:jc w:val="center"/>
                    <w:rPr>
                      <w:rFonts w:hint="default" w:ascii="Times New Roman" w:hAnsi="Times New Roman" w:cs="Times New Roman"/>
                      <w:color w:val="auto"/>
                      <w:kern w:val="0"/>
                      <w:szCs w:val="21"/>
                      <w:highlight w:val="none"/>
                    </w:rPr>
                  </w:pPr>
                </w:p>
                <w:p w14:paraId="4940CB16">
                  <w:pPr>
                    <w:autoSpaceDE w:val="0"/>
                    <w:autoSpaceDN w:val="0"/>
                    <w:adjustRightInd w:val="0"/>
                    <w:jc w:val="center"/>
                    <w:rPr>
                      <w:rFonts w:hint="default" w:ascii="Times New Roman" w:hAnsi="Times New Roman" w:cs="Times New Roman"/>
                      <w:color w:val="auto"/>
                      <w:kern w:val="0"/>
                      <w:szCs w:val="21"/>
                      <w:highlight w:val="none"/>
                    </w:rPr>
                  </w:pPr>
                </w:p>
                <w:p w14:paraId="41D2AFFE">
                  <w:pPr>
                    <w:autoSpaceDE w:val="0"/>
                    <w:autoSpaceDN w:val="0"/>
                    <w:adjustRightInd w:val="0"/>
                    <w:jc w:val="center"/>
                    <w:rPr>
                      <w:rFonts w:hint="default" w:ascii="Times New Roman" w:hAnsi="Times New Roman" w:cs="Times New Roman"/>
                      <w:color w:val="auto"/>
                      <w:kern w:val="0"/>
                      <w:szCs w:val="21"/>
                      <w:highlight w:val="none"/>
                    </w:rPr>
                  </w:pPr>
                </w:p>
                <w:p w14:paraId="78CF161B">
                  <w:pPr>
                    <w:autoSpaceDE w:val="0"/>
                    <w:autoSpaceDN w:val="0"/>
                    <w:adjustRightInd w:val="0"/>
                    <w:jc w:val="center"/>
                    <w:rPr>
                      <w:rFonts w:hint="default" w:ascii="Times New Roman" w:hAnsi="Times New Roman" w:cs="Times New Roman"/>
                      <w:color w:val="auto"/>
                      <w:kern w:val="0"/>
                      <w:szCs w:val="21"/>
                      <w:highlight w:val="none"/>
                    </w:rPr>
                  </w:pPr>
                </w:p>
                <w:p w14:paraId="7F231DD0">
                  <w:pPr>
                    <w:autoSpaceDE w:val="0"/>
                    <w:autoSpaceDN w:val="0"/>
                    <w:adjustRightInd w:val="0"/>
                    <w:jc w:val="center"/>
                    <w:rPr>
                      <w:rFonts w:hint="default" w:ascii="Times New Roman" w:hAnsi="Times New Roman" w:cs="Times New Roman"/>
                      <w:color w:val="auto"/>
                      <w:kern w:val="0"/>
                      <w:szCs w:val="21"/>
                      <w:highlight w:val="none"/>
                    </w:rPr>
                  </w:pPr>
                </w:p>
                <w:p w14:paraId="183E0D6D">
                  <w:pPr>
                    <w:autoSpaceDE w:val="0"/>
                    <w:autoSpaceDN w:val="0"/>
                    <w:adjustRightInd w:val="0"/>
                    <w:jc w:val="center"/>
                    <w:rPr>
                      <w:rFonts w:hint="default" w:ascii="Times New Roman" w:hAnsi="Times New Roman" w:cs="Times New Roman"/>
                      <w:color w:val="auto"/>
                      <w:kern w:val="0"/>
                      <w:szCs w:val="21"/>
                      <w:highlight w:val="none"/>
                    </w:rPr>
                  </w:pPr>
                </w:p>
                <w:p w14:paraId="50BF4499">
                  <w:pPr>
                    <w:autoSpaceDE w:val="0"/>
                    <w:autoSpaceDN w:val="0"/>
                    <w:adjustRightInd w:val="0"/>
                    <w:jc w:val="center"/>
                    <w:rPr>
                      <w:rFonts w:hint="default" w:ascii="Times New Roman" w:hAnsi="Times New Roman" w:cs="Times New Roman"/>
                      <w:color w:val="auto"/>
                      <w:kern w:val="0"/>
                      <w:szCs w:val="21"/>
                      <w:highlight w:val="none"/>
                    </w:rPr>
                  </w:pPr>
                </w:p>
                <w:p w14:paraId="44CE503B">
                  <w:pPr>
                    <w:autoSpaceDE w:val="0"/>
                    <w:autoSpaceDN w:val="0"/>
                    <w:adjustRightInd w:val="0"/>
                    <w:jc w:val="center"/>
                    <w:rPr>
                      <w:rFonts w:hint="default" w:ascii="Times New Roman" w:hAnsi="Times New Roman" w:cs="Times New Roman"/>
                      <w:color w:val="auto"/>
                      <w:kern w:val="0"/>
                      <w:szCs w:val="21"/>
                      <w:highlight w:val="none"/>
                    </w:rPr>
                  </w:pPr>
                </w:p>
                <w:p w14:paraId="06609318">
                  <w:pPr>
                    <w:autoSpaceDE w:val="0"/>
                    <w:autoSpaceDN w:val="0"/>
                    <w:adjustRightInd w:val="0"/>
                    <w:jc w:val="center"/>
                    <w:rPr>
                      <w:rFonts w:hint="default" w:ascii="Times New Roman" w:hAnsi="Times New Roman" w:cs="Times New Roman"/>
                      <w:color w:val="auto"/>
                      <w:kern w:val="0"/>
                      <w:szCs w:val="21"/>
                      <w:highlight w:val="none"/>
                    </w:rPr>
                  </w:pPr>
                </w:p>
                <w:p w14:paraId="6665E153">
                  <w:pPr>
                    <w:autoSpaceDE w:val="0"/>
                    <w:autoSpaceDN w:val="0"/>
                    <w:adjustRightInd w:val="0"/>
                    <w:jc w:val="center"/>
                    <w:rPr>
                      <w:rFonts w:hint="default" w:ascii="Times New Roman" w:hAnsi="Times New Roman" w:cs="Times New Roman"/>
                      <w:color w:val="auto"/>
                      <w:kern w:val="0"/>
                      <w:szCs w:val="21"/>
                      <w:highlight w:val="none"/>
                    </w:rPr>
                  </w:pPr>
                </w:p>
                <w:p w14:paraId="24C2C49A">
                  <w:pPr>
                    <w:autoSpaceDE w:val="0"/>
                    <w:autoSpaceDN w:val="0"/>
                    <w:adjustRightInd w:val="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kern w:val="0"/>
                      <w:szCs w:val="21"/>
                      <w:highlight w:val="none"/>
                    </w:rPr>
                    <w:t>符合</w:t>
                  </w:r>
                </w:p>
              </w:tc>
            </w:tr>
            <w:tr w14:paraId="66659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959" w:type="pct"/>
                  <w:vMerge w:val="continue"/>
                  <w:tcBorders>
                    <w:tl2br w:val="nil"/>
                    <w:tr2bl w:val="nil"/>
                  </w:tcBorders>
                  <w:noWrap w:val="0"/>
                  <w:vAlign w:val="center"/>
                </w:tcPr>
                <w:p w14:paraId="12B9AAD6">
                  <w:pPr>
                    <w:autoSpaceDE w:val="0"/>
                    <w:autoSpaceDN w:val="0"/>
                    <w:adjustRightInd w:val="0"/>
                    <w:jc w:val="center"/>
                    <w:rPr>
                      <w:rFonts w:hint="default" w:ascii="Times New Roman" w:hAnsi="Times New Roman" w:cs="Times New Roman"/>
                      <w:color w:val="auto"/>
                      <w:kern w:val="0"/>
                      <w:szCs w:val="21"/>
                      <w:highlight w:val="none"/>
                      <w:lang w:val="en-US" w:eastAsia="zh-CN"/>
                    </w:rPr>
                  </w:pPr>
                </w:p>
              </w:tc>
              <w:tc>
                <w:tcPr>
                  <w:tcW w:w="2230" w:type="pct"/>
                  <w:tcBorders>
                    <w:tl2br w:val="nil"/>
                    <w:tr2bl w:val="nil"/>
                  </w:tcBorders>
                  <w:shd w:val="clear" w:color="auto" w:fill="auto"/>
                  <w:noWrap w:val="0"/>
                  <w:vAlign w:val="center"/>
                </w:tcPr>
                <w:p w14:paraId="2AD23562">
                  <w:pPr>
                    <w:autoSpaceDE w:val="0"/>
                    <w:autoSpaceDN w:val="0"/>
                    <w:adjustRightInd w:val="0"/>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第六章  第三节</w:t>
                  </w:r>
                </w:p>
                <w:p w14:paraId="02F737BF">
                  <w:pPr>
                    <w:autoSpaceDE w:val="0"/>
                    <w:autoSpaceDN w:val="0"/>
                    <w:adjustRightInd w:val="0"/>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持续深化水污染治理</w:t>
                  </w:r>
                </w:p>
                <w:p w14:paraId="787B8BC3">
                  <w:pPr>
                    <w:keepNext w:val="0"/>
                    <w:keepLines w:val="0"/>
                    <w:pageBreakBefore w:val="0"/>
                    <w:widowControl w:val="0"/>
                    <w:kinsoku w:val="0"/>
                    <w:wordWrap/>
                    <w:overflowPunct w:val="0"/>
                    <w:topLinePunct w:val="0"/>
                    <w:autoSpaceDE w:val="0"/>
                    <w:autoSpaceDN w:val="0"/>
                    <w:bidi w:val="0"/>
                    <w:adjustRightInd w:val="0"/>
                    <w:snapToGrid w:val="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全面推进城镇生活污水治理。加强城镇污水收集处理设施建设与提标改造，完善城镇污水处理厂运营管理机制，新建污水处理设施配套管网应同步设计、同步建设、同步投运，积极探索“厂网一体化”运营机制。大力实施污水管网补短板工程，对进水浓度明显偏低的污水处理站开展收水范围内管网排查，实施管网混错接改造、破损修复。到2025年，城市、县城污水处理率分别达到95%、93%。</w:t>
                  </w:r>
                </w:p>
              </w:tc>
              <w:tc>
                <w:tcPr>
                  <w:tcW w:w="1357" w:type="pct"/>
                  <w:vMerge w:val="continue"/>
                  <w:tcBorders>
                    <w:tl2br w:val="nil"/>
                    <w:tr2bl w:val="nil"/>
                  </w:tcBorders>
                  <w:noWrap w:val="0"/>
                  <w:vAlign w:val="center"/>
                </w:tcPr>
                <w:p w14:paraId="58346ED4">
                  <w:pPr>
                    <w:widowControl/>
                    <w:autoSpaceDE w:val="0"/>
                    <w:snapToGrid w:val="0"/>
                    <w:jc w:val="center"/>
                    <w:rPr>
                      <w:rFonts w:hint="default" w:ascii="Times New Roman" w:hAnsi="Times New Roman" w:eastAsia="宋体" w:cs="Times New Roman"/>
                      <w:color w:val="auto"/>
                      <w:szCs w:val="21"/>
                      <w:highlight w:val="none"/>
                      <w:lang w:eastAsia="zh-CN"/>
                    </w:rPr>
                  </w:pPr>
                </w:p>
              </w:tc>
              <w:tc>
                <w:tcPr>
                  <w:tcW w:w="452" w:type="pct"/>
                  <w:vMerge w:val="continue"/>
                  <w:tcBorders>
                    <w:tl2br w:val="nil"/>
                    <w:tr2bl w:val="nil"/>
                  </w:tcBorders>
                  <w:noWrap w:val="0"/>
                  <w:vAlign w:val="center"/>
                </w:tcPr>
                <w:p w14:paraId="2FE59C03">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lang w:eastAsia="zh-CN"/>
                    </w:rPr>
                  </w:pPr>
                </w:p>
              </w:tc>
            </w:tr>
            <w:tr w14:paraId="4D959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959" w:type="pct"/>
                  <w:vMerge w:val="restart"/>
                  <w:tcBorders>
                    <w:tl2br w:val="nil"/>
                    <w:tr2bl w:val="nil"/>
                  </w:tcBorders>
                  <w:noWrap w:val="0"/>
                  <w:vAlign w:val="center"/>
                </w:tcPr>
                <w:p w14:paraId="0B848C6B">
                  <w:pPr>
                    <w:autoSpaceDE w:val="0"/>
                    <w:autoSpaceDN w:val="0"/>
                    <w:adjustRightIn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《汉中市“十四五”生态环境保护规划》（汉政办发[2021]54号）</w:t>
                  </w:r>
                </w:p>
              </w:tc>
              <w:tc>
                <w:tcPr>
                  <w:tcW w:w="2230" w:type="pct"/>
                  <w:tcBorders>
                    <w:tl2br w:val="nil"/>
                    <w:tr2bl w:val="nil"/>
                  </w:tcBorders>
                  <w:shd w:val="clear" w:color="auto" w:fill="auto"/>
                  <w:noWrap w:val="0"/>
                  <w:vAlign w:val="center"/>
                </w:tcPr>
                <w:p w14:paraId="24CC7B29">
                  <w:pPr>
                    <w:autoSpaceDE w:val="0"/>
                    <w:autoSpaceDN w:val="0"/>
                    <w:adjustRightIn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垃圾、污水集中式污染处理设施等加大密闭收集力度，因地制宜采取除臭措施</w:t>
                  </w:r>
                </w:p>
              </w:tc>
              <w:tc>
                <w:tcPr>
                  <w:tcW w:w="1357" w:type="pct"/>
                  <w:vMerge w:val="continue"/>
                  <w:tcBorders>
                    <w:tl2br w:val="nil"/>
                    <w:tr2bl w:val="nil"/>
                  </w:tcBorders>
                  <w:noWrap w:val="0"/>
                  <w:vAlign w:val="center"/>
                </w:tcPr>
                <w:p w14:paraId="782BF751">
                  <w:pPr>
                    <w:widowControl/>
                    <w:autoSpaceDE w:val="0"/>
                    <w:snapToGrid w:val="0"/>
                    <w:jc w:val="center"/>
                    <w:rPr>
                      <w:rFonts w:hint="default" w:ascii="Times New Roman" w:hAnsi="Times New Roman" w:eastAsia="宋体" w:cs="Times New Roman"/>
                      <w:color w:val="auto"/>
                      <w:szCs w:val="21"/>
                      <w:highlight w:val="none"/>
                      <w:lang w:eastAsia="zh-CN"/>
                    </w:rPr>
                  </w:pPr>
                </w:p>
              </w:tc>
              <w:tc>
                <w:tcPr>
                  <w:tcW w:w="452" w:type="pct"/>
                  <w:vMerge w:val="continue"/>
                  <w:tcBorders>
                    <w:tl2br w:val="nil"/>
                    <w:tr2bl w:val="nil"/>
                  </w:tcBorders>
                  <w:noWrap w:val="0"/>
                  <w:vAlign w:val="center"/>
                </w:tcPr>
                <w:p w14:paraId="4C25A006">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lang w:eastAsia="zh-CN"/>
                    </w:rPr>
                  </w:pPr>
                </w:p>
              </w:tc>
            </w:tr>
            <w:tr w14:paraId="0362B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959" w:type="pct"/>
                  <w:vMerge w:val="continue"/>
                  <w:tcBorders>
                    <w:tl2br w:val="nil"/>
                    <w:tr2bl w:val="nil"/>
                  </w:tcBorders>
                  <w:noWrap w:val="0"/>
                  <w:vAlign w:val="center"/>
                </w:tcPr>
                <w:p w14:paraId="16329E36">
                  <w:pPr>
                    <w:autoSpaceDE w:val="0"/>
                    <w:autoSpaceDN w:val="0"/>
                    <w:adjustRightInd w:val="0"/>
                    <w:jc w:val="center"/>
                    <w:rPr>
                      <w:rFonts w:hint="default" w:ascii="Times New Roman" w:hAnsi="Times New Roman" w:cs="Times New Roman"/>
                      <w:color w:val="auto"/>
                      <w:kern w:val="0"/>
                      <w:szCs w:val="21"/>
                      <w:highlight w:val="none"/>
                      <w:lang w:val="en-US" w:eastAsia="zh-CN"/>
                    </w:rPr>
                  </w:pPr>
                </w:p>
              </w:tc>
              <w:tc>
                <w:tcPr>
                  <w:tcW w:w="2230" w:type="pct"/>
                  <w:tcBorders>
                    <w:tl2br w:val="nil"/>
                    <w:tr2bl w:val="nil"/>
                  </w:tcBorders>
                  <w:shd w:val="clear" w:color="auto" w:fill="auto"/>
                  <w:noWrap w:val="0"/>
                  <w:vAlign w:val="center"/>
                </w:tcPr>
                <w:p w14:paraId="7A704A08">
                  <w:pPr>
                    <w:autoSpaceDE w:val="0"/>
                    <w:autoSpaceDN w:val="0"/>
                    <w:adjustRightInd w:val="0"/>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第六章  第三节</w:t>
                  </w:r>
                </w:p>
                <w:p w14:paraId="55265738">
                  <w:pPr>
                    <w:autoSpaceDE w:val="0"/>
                    <w:autoSpaceDN w:val="0"/>
                    <w:adjustRightInd w:val="0"/>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持续深化水污染治理</w:t>
                  </w:r>
                </w:p>
                <w:p w14:paraId="58979EDC">
                  <w:pPr>
                    <w:autoSpaceDE w:val="0"/>
                    <w:autoSpaceDN w:val="0"/>
                    <w:adjustRightInd w:val="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val="en-US" w:eastAsia="zh-CN"/>
                    </w:rPr>
                    <w:t>全面推进城镇生活污水治理。加强城镇污水收集处理设施建设与提标改造，完善城镇污水处理厂运营管理机制，新建污水处理设施配套管网应同步设计、同步建设、同步投运，积极探索“厂网一体化”运营机制。大力实施污水管网补短板工程，对进水浓度明显偏低的污水处理站开展收水范围内管网排查，实施管网混错接改造、破损修复。到2025年，城市、县城污水处理率分别达到95%、93%。</w:t>
                  </w:r>
                </w:p>
              </w:tc>
              <w:tc>
                <w:tcPr>
                  <w:tcW w:w="1357" w:type="pct"/>
                  <w:vMerge w:val="continue"/>
                  <w:tcBorders>
                    <w:tl2br w:val="nil"/>
                    <w:tr2bl w:val="nil"/>
                  </w:tcBorders>
                  <w:noWrap w:val="0"/>
                  <w:vAlign w:val="center"/>
                </w:tcPr>
                <w:p w14:paraId="6762469F">
                  <w:pPr>
                    <w:widowControl/>
                    <w:autoSpaceDE w:val="0"/>
                    <w:snapToGrid w:val="0"/>
                    <w:jc w:val="center"/>
                    <w:rPr>
                      <w:rFonts w:hint="default" w:ascii="Times New Roman" w:hAnsi="Times New Roman" w:eastAsia="宋体" w:cs="Times New Roman"/>
                      <w:color w:val="auto"/>
                      <w:szCs w:val="21"/>
                      <w:highlight w:val="none"/>
                      <w:lang w:eastAsia="zh-CN"/>
                    </w:rPr>
                  </w:pPr>
                </w:p>
              </w:tc>
              <w:tc>
                <w:tcPr>
                  <w:tcW w:w="452" w:type="pct"/>
                  <w:vMerge w:val="continue"/>
                  <w:tcBorders>
                    <w:tl2br w:val="nil"/>
                    <w:tr2bl w:val="nil"/>
                  </w:tcBorders>
                  <w:noWrap w:val="0"/>
                  <w:vAlign w:val="center"/>
                </w:tcPr>
                <w:p w14:paraId="71975B8F">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lang w:eastAsia="zh-CN"/>
                    </w:rPr>
                  </w:pPr>
                </w:p>
              </w:tc>
            </w:tr>
            <w:tr w14:paraId="55F8B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00212494">
                  <w:pPr>
                    <w:autoSpaceDE w:val="0"/>
                    <w:autoSpaceDN w:val="0"/>
                    <w:adjustRightIn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w:t>
                  </w:r>
                  <w:r>
                    <w:rPr>
                      <w:rFonts w:hint="eastAsia" w:cs="Times New Roman"/>
                      <w:color w:val="auto"/>
                      <w:kern w:val="0"/>
                      <w:szCs w:val="21"/>
                      <w:highlight w:val="none"/>
                      <w:lang w:val="en-US" w:eastAsia="zh-CN"/>
                    </w:rPr>
                    <w:t>洋</w:t>
                  </w:r>
                  <w:r>
                    <w:rPr>
                      <w:rFonts w:hint="default" w:ascii="Times New Roman" w:hAnsi="Times New Roman" w:cs="Times New Roman"/>
                      <w:color w:val="auto"/>
                      <w:kern w:val="0"/>
                      <w:szCs w:val="21"/>
                      <w:highlight w:val="none"/>
                      <w:lang w:val="en-US" w:eastAsia="zh-CN"/>
                    </w:rPr>
                    <w:t>县生态环境保护“十四五”规划》</w:t>
                  </w:r>
                </w:p>
              </w:tc>
              <w:tc>
                <w:tcPr>
                  <w:tcW w:w="2230" w:type="pct"/>
                  <w:tcBorders>
                    <w:tl2br w:val="nil"/>
                    <w:tr2bl w:val="nil"/>
                  </w:tcBorders>
                  <w:noWrap w:val="0"/>
                  <w:vAlign w:val="center"/>
                </w:tcPr>
                <w:p w14:paraId="675CA22B">
                  <w:pPr>
                    <w:autoSpaceDE w:val="0"/>
                    <w:autoSpaceDN w:val="0"/>
                    <w:adjustRightInd w:val="0"/>
                    <w:jc w:val="both"/>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第五章  第三节</w:t>
                  </w:r>
                </w:p>
                <w:p w14:paraId="2DE8EDF8">
                  <w:pPr>
                    <w:widowControl/>
                    <w:autoSpaceDE w:val="0"/>
                    <w:snapToGrid w:val="0"/>
                    <w:jc w:val="both"/>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强化农村生活污水处理。以县城为单位，以《农村生活污水治理规划》为统领，以经济发展水平、农民生活习惯和意愿为导向，强力推进农村生活污水治理。加强污水治理与改厕有机衔接，做到改厕完成一批，污水治理一批，有效减少农村污水直排现象。</w:t>
                  </w:r>
                </w:p>
              </w:tc>
              <w:tc>
                <w:tcPr>
                  <w:tcW w:w="1357" w:type="pct"/>
                  <w:vMerge w:val="continue"/>
                  <w:tcBorders>
                    <w:tl2br w:val="nil"/>
                    <w:tr2bl w:val="nil"/>
                  </w:tcBorders>
                  <w:noWrap w:val="0"/>
                  <w:vAlign w:val="center"/>
                </w:tcPr>
                <w:p w14:paraId="462DDDAC">
                  <w:pPr>
                    <w:widowControl/>
                    <w:autoSpaceDE w:val="0"/>
                    <w:snapToGrid w:val="0"/>
                    <w:jc w:val="center"/>
                    <w:rPr>
                      <w:rFonts w:hint="default" w:ascii="Times New Roman" w:hAnsi="Times New Roman" w:eastAsia="宋体" w:cs="Times New Roman"/>
                      <w:color w:val="auto"/>
                      <w:szCs w:val="21"/>
                      <w:highlight w:val="none"/>
                      <w:lang w:eastAsia="zh-CN"/>
                    </w:rPr>
                  </w:pPr>
                </w:p>
              </w:tc>
              <w:tc>
                <w:tcPr>
                  <w:tcW w:w="452" w:type="pct"/>
                  <w:vMerge w:val="continue"/>
                  <w:tcBorders>
                    <w:tl2br w:val="nil"/>
                    <w:tr2bl w:val="nil"/>
                  </w:tcBorders>
                  <w:noWrap w:val="0"/>
                  <w:vAlign w:val="center"/>
                </w:tcPr>
                <w:p w14:paraId="74C37C02">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lang w:eastAsia="zh-CN"/>
                    </w:rPr>
                  </w:pPr>
                </w:p>
              </w:tc>
            </w:tr>
            <w:tr w14:paraId="578876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9" w:hRule="atLeast"/>
                <w:jc w:val="center"/>
              </w:trPr>
              <w:tc>
                <w:tcPr>
                  <w:tcW w:w="959" w:type="pct"/>
                  <w:tcBorders>
                    <w:tl2br w:val="nil"/>
                    <w:tr2bl w:val="nil"/>
                  </w:tcBorders>
                  <w:noWrap w:val="0"/>
                  <w:vAlign w:val="center"/>
                </w:tcPr>
                <w:p w14:paraId="3AF6E30E">
                  <w:pPr>
                    <w:autoSpaceDE w:val="0"/>
                    <w:autoSpaceDN w:val="0"/>
                    <w:adjustRightIn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《美丽中国建设“十五五”规划》（国发</w:t>
                  </w:r>
                  <w:r>
                    <w:rPr>
                      <w:rFonts w:hint="eastAsia"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2026</w:t>
                  </w:r>
                  <w:r>
                    <w:rPr>
                      <w:rFonts w:hint="eastAsia"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20号）</w:t>
                  </w:r>
                </w:p>
              </w:tc>
              <w:tc>
                <w:tcPr>
                  <w:tcW w:w="2230" w:type="pct"/>
                  <w:tcBorders>
                    <w:tl2br w:val="nil"/>
                    <w:tr2bl w:val="nil"/>
                  </w:tcBorders>
                  <w:noWrap w:val="0"/>
                  <w:vAlign w:val="center"/>
                </w:tcPr>
                <w:p w14:paraId="1EC144D9">
                  <w:pPr>
                    <w:widowControl/>
                    <w:autoSpaceDE w:val="0"/>
                    <w:snapToGrid w:val="0"/>
                    <w:jc w:val="both"/>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加快城镇污水收集处理设施建设改造，持续巩固入河排污口排查整治成果，基本完成重点流域入河排污口排查整治</w:t>
                  </w:r>
                  <w:r>
                    <w:rPr>
                      <w:rFonts w:hint="eastAsia" w:cs="Times New Roman"/>
                      <w:color w:val="auto"/>
                      <w:kern w:val="0"/>
                      <w:szCs w:val="21"/>
                      <w:highlight w:val="none"/>
                      <w:lang w:val="en-US" w:eastAsia="zh-CN"/>
                    </w:rPr>
                    <w:t>。</w:t>
                  </w:r>
                </w:p>
              </w:tc>
              <w:tc>
                <w:tcPr>
                  <w:tcW w:w="1357" w:type="pct"/>
                  <w:tcBorders>
                    <w:tl2br w:val="nil"/>
                    <w:tr2bl w:val="nil"/>
                  </w:tcBorders>
                  <w:noWrap w:val="0"/>
                  <w:vAlign w:val="center"/>
                </w:tcPr>
                <w:p w14:paraId="4E51AA6C">
                  <w:pPr>
                    <w:widowControl/>
                    <w:autoSpaceDE w:val="0"/>
                    <w:snapToGrid w:val="0"/>
                    <w:jc w:val="both"/>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本项目排污口汇入河流为溢水河（汉江支流），目前已完成了入河排污口排查工作，入河排污口论证报告目前处于审批状态。此外，本项目的建设有利于区域完善污水处理及处理设施现状。</w:t>
                  </w:r>
                </w:p>
              </w:tc>
              <w:tc>
                <w:tcPr>
                  <w:tcW w:w="452" w:type="pct"/>
                  <w:tcBorders>
                    <w:tl2br w:val="nil"/>
                    <w:tr2bl w:val="nil"/>
                  </w:tcBorders>
                  <w:noWrap w:val="0"/>
                  <w:vAlign w:val="center"/>
                </w:tcPr>
                <w:p w14:paraId="69A00915">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lang w:eastAsia="zh-CN"/>
                    </w:rPr>
                  </w:pPr>
                  <w:r>
                    <w:rPr>
                      <w:rFonts w:hint="default" w:ascii="Times New Roman" w:hAnsi="Times New Roman" w:cs="Times New Roman"/>
                      <w:color w:val="auto"/>
                      <w:kern w:val="0"/>
                      <w:szCs w:val="21"/>
                      <w:highlight w:val="none"/>
                    </w:rPr>
                    <w:t>符合</w:t>
                  </w:r>
                </w:p>
              </w:tc>
            </w:tr>
            <w:tr w14:paraId="48886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5614DF9B">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《固体废物污染防治“十五五”规划》</w:t>
                  </w:r>
                  <w:r>
                    <w:rPr>
                      <w:rFonts w:hint="eastAsia" w:ascii="Times New Roman" w:hAnsi="Times New Roman" w:eastAsia="宋体" w:cs="Times New Roman"/>
                      <w:color w:val="auto"/>
                      <w:szCs w:val="21"/>
                      <w:highlight w:val="none"/>
                      <w:lang w:val="en-US" w:eastAsia="zh-CN"/>
                    </w:rPr>
                    <w:t>（环固体[2026]39号）</w:t>
                  </w:r>
                </w:p>
              </w:tc>
              <w:tc>
                <w:tcPr>
                  <w:tcW w:w="2230" w:type="pct"/>
                  <w:tcBorders>
                    <w:tl2br w:val="nil"/>
                    <w:tr2bl w:val="nil"/>
                  </w:tcBorders>
                  <w:noWrap w:val="0"/>
                  <w:vAlign w:val="center"/>
                </w:tcPr>
                <w:p w14:paraId="02782743">
                  <w:pPr>
                    <w:widowControl/>
                    <w:autoSpaceDE w:val="0"/>
                    <w:snapToGrid w:val="0"/>
                    <w:jc w:val="both"/>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（十一）</w:t>
                  </w:r>
                  <w:r>
                    <w:rPr>
                      <w:rFonts w:hint="default" w:ascii="Times New Roman" w:hAnsi="Times New Roman" w:eastAsia="宋体" w:cs="Times New Roman"/>
                      <w:color w:val="auto"/>
                      <w:szCs w:val="21"/>
                      <w:highlight w:val="none"/>
                      <w:lang w:val="en-US" w:eastAsia="zh-CN"/>
                    </w:rPr>
                    <w:t>加强市政污泥污染防治。加强城镇污水处理厂污泥全过程管理，因地制宜推动污泥综合利用及协同处置，逐步减少填埋量。加强污泥处理处置过程管理，强化运输储存监管，落实污泥转运联单跟踪制度。</w:t>
                  </w:r>
                </w:p>
              </w:tc>
              <w:tc>
                <w:tcPr>
                  <w:tcW w:w="1357" w:type="pct"/>
                  <w:tcBorders>
                    <w:tl2br w:val="nil"/>
                    <w:tr2bl w:val="nil"/>
                  </w:tcBorders>
                  <w:noWrap w:val="0"/>
                  <w:vAlign w:val="center"/>
                </w:tcPr>
                <w:p w14:paraId="564B6414">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本项目污水处理厂污泥脱水后煤渣、粉煤灰、黏土等协同处置制砖，可减少填埋量；运输过程加强监管并落实转移联单制度。</w:t>
                  </w:r>
                </w:p>
              </w:tc>
              <w:tc>
                <w:tcPr>
                  <w:tcW w:w="452" w:type="pct"/>
                  <w:tcBorders>
                    <w:tl2br w:val="nil"/>
                    <w:tr2bl w:val="nil"/>
                  </w:tcBorders>
                  <w:noWrap w:val="0"/>
                  <w:vAlign w:val="center"/>
                </w:tcPr>
                <w:p w14:paraId="3BDAF7F1">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符合</w:t>
                  </w:r>
                </w:p>
              </w:tc>
            </w:tr>
            <w:tr w14:paraId="4F23E5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749DB214">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《生态保护“十五五”规划》</w:t>
                  </w:r>
                </w:p>
              </w:tc>
              <w:tc>
                <w:tcPr>
                  <w:tcW w:w="2230" w:type="pct"/>
                  <w:tcBorders>
                    <w:tl2br w:val="nil"/>
                    <w:tr2bl w:val="nil"/>
                  </w:tcBorders>
                  <w:noWrap w:val="0"/>
                  <w:vAlign w:val="center"/>
                </w:tcPr>
                <w:p w14:paraId="01FB063F">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三)提升城乡生态宜居品质。完善城市绿地系统，推动公园绿地开放共享。加强城市湿地生态和水环境修复。推进美丽河湖、幸福河湖建设。持续整治提升农村人居环境。加强农村小微水体水环境治理。保护乡村山体田园、河湖湿地原生风貌。深入实施乡村绿化美化，优先采用乡土树种。</w:t>
                  </w:r>
                </w:p>
              </w:tc>
              <w:tc>
                <w:tcPr>
                  <w:tcW w:w="1357" w:type="pct"/>
                  <w:tcBorders>
                    <w:tl2br w:val="nil"/>
                    <w:tr2bl w:val="nil"/>
                  </w:tcBorders>
                  <w:noWrap w:val="0"/>
                  <w:vAlign w:val="center"/>
                </w:tcPr>
                <w:p w14:paraId="43471859">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本项目的建设及运营，改善了区域生活污水收集及处理方式，同时提升了周边住户的人居环境质量。</w:t>
                  </w:r>
                </w:p>
              </w:tc>
              <w:tc>
                <w:tcPr>
                  <w:tcW w:w="452" w:type="pct"/>
                  <w:tcBorders>
                    <w:tl2br w:val="nil"/>
                    <w:tr2bl w:val="nil"/>
                  </w:tcBorders>
                  <w:noWrap w:val="0"/>
                  <w:vAlign w:val="center"/>
                </w:tcPr>
                <w:p w14:paraId="47675FCF">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符合</w:t>
                  </w:r>
                </w:p>
              </w:tc>
            </w:tr>
            <w:tr w14:paraId="2784A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31B3405C">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《陕西省国民经济和社会发展第十五个五年规划纲要》</w:t>
                  </w:r>
                  <w:r>
                    <w:rPr>
                      <w:rFonts w:hint="eastAsia" w:ascii="Times New Roman" w:hAnsi="Times New Roman" w:eastAsia="宋体" w:cs="Times New Roman"/>
                      <w:color w:val="auto"/>
                      <w:szCs w:val="21"/>
                      <w:highlight w:val="none"/>
                      <w:lang w:val="en-US" w:eastAsia="zh-CN"/>
                    </w:rPr>
                    <w:t>（陕政发[2026]4号）</w:t>
                  </w:r>
                </w:p>
              </w:tc>
              <w:tc>
                <w:tcPr>
                  <w:tcW w:w="2230" w:type="pct"/>
                  <w:tcBorders>
                    <w:tl2br w:val="nil"/>
                    <w:tr2bl w:val="nil"/>
                  </w:tcBorders>
                  <w:noWrap w:val="0"/>
                  <w:vAlign w:val="center"/>
                </w:tcPr>
                <w:p w14:paraId="6BB3BAB3">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提升农村人居环境。深入实施整县推进美丽乡村建设行动，统筹推进农村厕所革命与生活污水、黑臭水体一体化治理，动态消除黑臭水体。健全农村改厕实施机制，引导农民开展户内改厕，加快普及农村卫生厕所。提高生活垃圾治理水平，完善收运处置体系。开展乡村绿化美化行动和村庄清洁行动，不断提升村容村貌。</w:t>
                  </w:r>
                </w:p>
              </w:tc>
              <w:tc>
                <w:tcPr>
                  <w:tcW w:w="1357" w:type="pct"/>
                  <w:vMerge w:val="restart"/>
                  <w:tcBorders>
                    <w:tl2br w:val="nil"/>
                    <w:tr2bl w:val="nil"/>
                  </w:tcBorders>
                  <w:noWrap w:val="0"/>
                  <w:vAlign w:val="center"/>
                </w:tcPr>
                <w:p w14:paraId="63DB899B">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本项目的建设及运营，改善了区域生活污水收集及处理方式，且现有生活垃圾收集、转运及处置制度完善，可提升周边住户的人居环境质量。</w:t>
                  </w:r>
                </w:p>
              </w:tc>
              <w:tc>
                <w:tcPr>
                  <w:tcW w:w="452" w:type="pct"/>
                  <w:tcBorders>
                    <w:tl2br w:val="nil"/>
                    <w:tr2bl w:val="nil"/>
                  </w:tcBorders>
                  <w:noWrap w:val="0"/>
                  <w:vAlign w:val="center"/>
                </w:tcPr>
                <w:p w14:paraId="228BEEE0">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符合</w:t>
                  </w:r>
                </w:p>
              </w:tc>
            </w:tr>
            <w:tr w14:paraId="42FC0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1B8EBD6B">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《汉中市国民经济和社会发展第十五个五年规划纲要》</w:t>
                  </w:r>
                  <w:r>
                    <w:rPr>
                      <w:rFonts w:hint="eastAsia" w:ascii="Times New Roman" w:hAnsi="Times New Roman" w:eastAsia="宋体" w:cs="Times New Roman"/>
                      <w:color w:val="auto"/>
                      <w:szCs w:val="21"/>
                      <w:highlight w:val="none"/>
                      <w:lang w:val="en-US" w:eastAsia="zh-CN"/>
                    </w:rPr>
                    <w:t>（2026.3.1）</w:t>
                  </w:r>
                </w:p>
              </w:tc>
              <w:tc>
                <w:tcPr>
                  <w:tcW w:w="2230" w:type="pct"/>
                  <w:tcBorders>
                    <w:tl2br w:val="nil"/>
                    <w:tr2bl w:val="nil"/>
                  </w:tcBorders>
                  <w:noWrap w:val="0"/>
                  <w:vAlign w:val="center"/>
                </w:tcPr>
                <w:p w14:paraId="73975413">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第一节 提高农村人居环境舒适度</w:t>
                  </w:r>
                </w:p>
                <w:p w14:paraId="3F307734">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持续开展农村人居环境整治提升行动，深入实施改厕、垃圾、污水"三大革命"，推动村容村貌全面提升。因地制宜扎实推进农村厕所革命，引导农民开展户内改厕，完善农村厕所建设管理制度。统筹推进厕污共治，推进农村厕所革命与生活污水治理有机衔接，鼓励联户、联村、村镇一体处理。分类开展生活污水治理，以镇政府驻地和中心村为重点批次推进实施，基本消除较大面积黑臭水体。提高生活垃圾治理水平，推进源头分类减量，就地就近处理和资源化利用，完善收运处置，提升有毒有害垃圾处置能力。</w:t>
                  </w:r>
                </w:p>
              </w:tc>
              <w:tc>
                <w:tcPr>
                  <w:tcW w:w="1357" w:type="pct"/>
                  <w:vMerge w:val="continue"/>
                  <w:tcBorders>
                    <w:tl2br w:val="nil"/>
                    <w:tr2bl w:val="nil"/>
                  </w:tcBorders>
                  <w:noWrap w:val="0"/>
                  <w:vAlign w:val="center"/>
                </w:tcPr>
                <w:p w14:paraId="2D43A6B7">
                  <w:pPr>
                    <w:widowControl/>
                    <w:autoSpaceDE w:val="0"/>
                    <w:snapToGrid w:val="0"/>
                    <w:jc w:val="both"/>
                    <w:rPr>
                      <w:rFonts w:hint="eastAsia" w:ascii="Times New Roman" w:hAnsi="Times New Roman" w:eastAsia="宋体" w:cs="Times New Roman"/>
                      <w:color w:val="auto"/>
                      <w:szCs w:val="21"/>
                      <w:highlight w:val="none"/>
                      <w:lang w:val="en-US" w:eastAsia="zh-CN"/>
                    </w:rPr>
                  </w:pPr>
                </w:p>
              </w:tc>
              <w:tc>
                <w:tcPr>
                  <w:tcW w:w="452" w:type="pct"/>
                  <w:tcBorders>
                    <w:tl2br w:val="nil"/>
                    <w:tr2bl w:val="nil"/>
                  </w:tcBorders>
                  <w:noWrap w:val="0"/>
                  <w:vAlign w:val="center"/>
                </w:tcPr>
                <w:p w14:paraId="5E46D11B">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符合</w:t>
                  </w:r>
                </w:p>
              </w:tc>
            </w:tr>
            <w:tr w14:paraId="0AE99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59" w:type="pct"/>
                  <w:tcBorders>
                    <w:tl2br w:val="nil"/>
                    <w:tr2bl w:val="nil"/>
                  </w:tcBorders>
                  <w:noWrap w:val="0"/>
                  <w:vAlign w:val="center"/>
                </w:tcPr>
                <w:p w14:paraId="7CA6E806">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《洋县国民经济和社会发展第十五个五年规划纲要》</w:t>
                  </w:r>
                  <w:r>
                    <w:rPr>
                      <w:rFonts w:hint="eastAsia" w:ascii="Times New Roman" w:hAnsi="Times New Roman" w:eastAsia="宋体" w:cs="Times New Roman"/>
                      <w:color w:val="auto"/>
                      <w:szCs w:val="21"/>
                      <w:highlight w:val="none"/>
                      <w:lang w:val="en-US" w:eastAsia="zh-CN"/>
                    </w:rPr>
                    <w:t>（洋政发[2026]9号）</w:t>
                  </w:r>
                </w:p>
              </w:tc>
              <w:tc>
                <w:tcPr>
                  <w:tcW w:w="2230" w:type="pct"/>
                  <w:tcBorders>
                    <w:tl2br w:val="nil"/>
                    <w:tr2bl w:val="nil"/>
                  </w:tcBorders>
                  <w:noWrap w:val="0"/>
                  <w:vAlign w:val="center"/>
                </w:tcPr>
                <w:p w14:paraId="38B67BB1">
                  <w:pPr>
                    <w:widowControl/>
                    <w:autoSpaceDE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第四节 构建人水和谐生态空间</w:t>
                  </w:r>
                </w:p>
                <w:p w14:paraId="701BC123">
                  <w:pPr>
                    <w:widowControl/>
                    <w:autoSpaceDE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坚持“山水林田湖草沙是一个生命共同体”的发展理念，以提升生态系统质量和稳定性为核心，坚持系统治理、综合治理、源头治理。</w:t>
                  </w:r>
                </w:p>
              </w:tc>
              <w:tc>
                <w:tcPr>
                  <w:tcW w:w="1357" w:type="pct"/>
                  <w:tcBorders>
                    <w:tl2br w:val="nil"/>
                    <w:tr2bl w:val="nil"/>
                  </w:tcBorders>
                  <w:noWrap w:val="0"/>
                  <w:vAlign w:val="center"/>
                </w:tcPr>
                <w:p w14:paraId="12FA09B8">
                  <w:pPr>
                    <w:widowControl/>
                    <w:autoSpaceDE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本项目对谢村镇四〇五社区（居）民聚集区生活污水集中收集处理，完善了区域污水处理设施，有利于改善农村水环境现状。</w:t>
                  </w:r>
                </w:p>
              </w:tc>
              <w:tc>
                <w:tcPr>
                  <w:tcW w:w="452" w:type="pct"/>
                  <w:tcBorders>
                    <w:tl2br w:val="nil"/>
                    <w:tr2bl w:val="nil"/>
                  </w:tcBorders>
                  <w:noWrap w:val="0"/>
                  <w:vAlign w:val="center"/>
                </w:tcPr>
                <w:p w14:paraId="26F52099">
                  <w:pPr>
                    <w:widowControl/>
                    <w:autoSpaceDE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符合</w:t>
                  </w:r>
                </w:p>
              </w:tc>
            </w:tr>
            <w:tr w14:paraId="4FBCF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9" w:type="pct"/>
                  <w:tcBorders>
                    <w:tl2br w:val="nil"/>
                    <w:tr2bl w:val="nil"/>
                  </w:tcBorders>
                  <w:noWrap w:val="0"/>
                  <w:vAlign w:val="center"/>
                </w:tcPr>
                <w:p w14:paraId="7B32DF3B">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《陕西省汉江丹江流域水污染防治条例》（2023年修正）</w:t>
                  </w:r>
                </w:p>
              </w:tc>
              <w:tc>
                <w:tcPr>
                  <w:tcW w:w="2230" w:type="pct"/>
                  <w:tcBorders>
                    <w:tl2br w:val="nil"/>
                    <w:tr2bl w:val="nil"/>
                  </w:tcBorders>
                  <w:noWrap w:val="0"/>
                  <w:vAlign w:val="center"/>
                </w:tcPr>
                <w:p w14:paraId="396BB98F">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第二十二 城镇污水集中处理设施的运营单位，也应当取得排污许可证。排污单位排放水污染物不得超过国家和地方规定的标准，不得超过排污许可证许可的排放浓度和排放量。</w:t>
                  </w:r>
                </w:p>
              </w:tc>
              <w:tc>
                <w:tcPr>
                  <w:tcW w:w="1357" w:type="pct"/>
                  <w:tcBorders>
                    <w:tl2br w:val="nil"/>
                    <w:tr2bl w:val="nil"/>
                  </w:tcBorders>
                  <w:noWrap w:val="0"/>
                  <w:vAlign w:val="center"/>
                </w:tcPr>
                <w:p w14:paraId="28E32FD9">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w:t>
                  </w:r>
                  <w:r>
                    <w:rPr>
                      <w:rFonts w:hint="eastAsia" w:cs="Times New Roman"/>
                      <w:color w:val="auto"/>
                      <w:szCs w:val="21"/>
                      <w:highlight w:val="none"/>
                      <w:lang w:eastAsia="zh-CN"/>
                    </w:rPr>
                    <w:t>入河排污口论证报告目前处于审批状态</w:t>
                  </w:r>
                  <w:r>
                    <w:rPr>
                      <w:rFonts w:hint="eastAsia" w:cs="Times New Roman"/>
                      <w:color w:val="auto"/>
                      <w:kern w:val="2"/>
                      <w:sz w:val="21"/>
                      <w:szCs w:val="21"/>
                      <w:highlight w:val="none"/>
                      <w:lang w:val="en-US" w:eastAsia="zh-CN" w:bidi="ar-SA"/>
                    </w:rPr>
                    <w:t>，运营期</w:t>
                  </w:r>
                  <w:r>
                    <w:rPr>
                      <w:rFonts w:hint="default" w:ascii="Times New Roman" w:hAnsi="Times New Roman" w:eastAsia="宋体" w:cs="Times New Roman"/>
                      <w:color w:val="auto"/>
                      <w:kern w:val="2"/>
                      <w:sz w:val="21"/>
                      <w:szCs w:val="21"/>
                      <w:highlight w:val="none"/>
                      <w:lang w:val="en-US" w:eastAsia="zh-CN" w:bidi="ar-SA"/>
                    </w:rPr>
                    <w:t>尾水</w:t>
                  </w:r>
                  <w:r>
                    <w:rPr>
                      <w:rFonts w:hint="eastAsia" w:cs="Times New Roman"/>
                      <w:color w:val="auto"/>
                      <w:kern w:val="2"/>
                      <w:sz w:val="21"/>
                      <w:szCs w:val="21"/>
                      <w:highlight w:val="none"/>
                      <w:lang w:val="en-US" w:eastAsia="zh-CN" w:bidi="ar-SA"/>
                    </w:rPr>
                    <w:t>满足《城镇污水处理厂污染物排放标准》（GB18918-2002）》</w:t>
                  </w:r>
                  <w:r>
                    <w:rPr>
                      <w:rFonts w:hint="eastAsia" w:cs="Times New Roman"/>
                      <w:color w:val="auto"/>
                      <w:kern w:val="2"/>
                      <w:sz w:val="21"/>
                      <w:szCs w:val="21"/>
                      <w:highlight w:val="none"/>
                      <w:lang w:val="en-US" w:eastAsia="zh-CN" w:bidi="ar-SA"/>
                    </w:rPr>
                    <w:t>表1中一级A标准和2025年修改单表4中瞬时值标准。</w:t>
                  </w:r>
                </w:p>
              </w:tc>
              <w:tc>
                <w:tcPr>
                  <w:tcW w:w="452" w:type="pct"/>
                  <w:tcBorders>
                    <w:tl2br w:val="nil"/>
                    <w:tr2bl w:val="nil"/>
                  </w:tcBorders>
                  <w:noWrap w:val="0"/>
                  <w:vAlign w:val="center"/>
                </w:tcPr>
                <w:p w14:paraId="2A32A802">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57647B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959" w:type="pct"/>
                  <w:tcBorders>
                    <w:tl2br w:val="nil"/>
                    <w:tr2bl w:val="nil"/>
                  </w:tcBorders>
                  <w:noWrap w:val="0"/>
                  <w:vAlign w:val="center"/>
                </w:tcPr>
                <w:p w14:paraId="40B29FB5">
                  <w:pPr>
                    <w:widowControl/>
                    <w:autoSpaceDE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《陕西省水生态环境保护规划》</w:t>
                  </w:r>
                </w:p>
              </w:tc>
              <w:tc>
                <w:tcPr>
                  <w:tcW w:w="2230" w:type="pct"/>
                  <w:tcBorders>
                    <w:tl2br w:val="nil"/>
                    <w:tr2bl w:val="nil"/>
                  </w:tcBorders>
                  <w:noWrap w:val="0"/>
                  <w:vAlign w:val="center"/>
                </w:tcPr>
                <w:p w14:paraId="6F714C9E">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第三章  构建水生态环境保护新格局</w:t>
                  </w:r>
                </w:p>
                <w:p w14:paraId="513E5465">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继续做好点源污染防治。推进城镇污水处理设施建设及管网改造，提升陕南市、县以及乡镇生活污水收集率与处理达标率，严格杜绝散乱污直排。</w:t>
                  </w:r>
                </w:p>
                <w:p w14:paraId="727B6187">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第七章  巩固深化水环境治理</w:t>
                  </w:r>
                </w:p>
                <w:p w14:paraId="193C0579">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提升农村生活污染治理水平。对于可形成径流，并进入自然水体的农村生活污水直排区域，按照分散与集中相结合的原则，有限开展农村生活污水资源化利用，因地制宜完善农村生活污水设施及管网建设。对因管网不配套导致农村生活污水处理设施未运行的，根据区域内农村生活污水排放分布及管网覆盖分析结果，加快开展配套污水收集管网建设。</w:t>
                  </w:r>
                </w:p>
              </w:tc>
              <w:tc>
                <w:tcPr>
                  <w:tcW w:w="1357" w:type="pct"/>
                  <w:tcBorders>
                    <w:tl2br w:val="nil"/>
                    <w:tr2bl w:val="nil"/>
                  </w:tcBorders>
                  <w:noWrap w:val="0"/>
                  <w:vAlign w:val="center"/>
                </w:tcPr>
                <w:p w14:paraId="4589778A">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本项目属于</w:t>
                  </w:r>
                  <w:r>
                    <w:rPr>
                      <w:rFonts w:hint="eastAsia" w:cs="Times New Roman"/>
                      <w:color w:val="auto"/>
                      <w:kern w:val="2"/>
                      <w:sz w:val="21"/>
                      <w:szCs w:val="21"/>
                      <w:highlight w:val="none"/>
                      <w:lang w:val="en-US" w:eastAsia="zh-CN" w:bidi="ar-SA"/>
                    </w:rPr>
                    <w:t>陕南地区乡镇</w:t>
                  </w:r>
                  <w:r>
                    <w:rPr>
                      <w:rFonts w:hint="eastAsia" w:eastAsia="宋体" w:cs="Times New Roman"/>
                      <w:color w:val="auto"/>
                      <w:kern w:val="2"/>
                      <w:sz w:val="21"/>
                      <w:szCs w:val="21"/>
                      <w:highlight w:val="none"/>
                      <w:lang w:val="en-US" w:eastAsia="zh-CN" w:bidi="ar-SA"/>
                    </w:rPr>
                    <w:t>农村生活</w:t>
                  </w:r>
                  <w:r>
                    <w:rPr>
                      <w:rFonts w:hint="default" w:ascii="Times New Roman" w:hAnsi="Times New Roman" w:eastAsia="宋体" w:cs="Times New Roman"/>
                      <w:color w:val="auto"/>
                      <w:kern w:val="2"/>
                      <w:sz w:val="21"/>
                      <w:szCs w:val="21"/>
                      <w:highlight w:val="none"/>
                      <w:lang w:val="en-US" w:eastAsia="zh-CN" w:bidi="ar-SA"/>
                    </w:rPr>
                    <w:t>污水处理设施建设</w:t>
                  </w:r>
                  <w:r>
                    <w:rPr>
                      <w:rFonts w:hint="eastAsia" w:ascii="Times New Roman" w:hAnsi="Times New Roman" w:eastAsia="宋体" w:cs="Times New Roman"/>
                      <w:color w:val="auto"/>
                      <w:kern w:val="2"/>
                      <w:sz w:val="21"/>
                      <w:szCs w:val="21"/>
                      <w:highlight w:val="none"/>
                      <w:lang w:val="en-US" w:eastAsia="zh-CN" w:bidi="ar-SA"/>
                    </w:rPr>
                    <w:t>，处理后的尾水</w:t>
                  </w:r>
                  <w:r>
                    <w:rPr>
                      <w:rFonts w:hint="eastAsia" w:cs="Times New Roman"/>
                      <w:color w:val="auto"/>
                      <w:kern w:val="2"/>
                      <w:sz w:val="21"/>
                      <w:szCs w:val="21"/>
                      <w:highlight w:val="none"/>
                      <w:lang w:val="en-US" w:eastAsia="zh-CN" w:bidi="ar-SA"/>
                    </w:rPr>
                    <w:t>满足《城镇污水处理厂污染物排放标准》（GB18918-2002）</w:t>
                  </w:r>
                  <w:r>
                    <w:rPr>
                      <w:rFonts w:hint="eastAsia" w:cs="Times New Roman"/>
                      <w:color w:val="auto"/>
                      <w:kern w:val="2"/>
                      <w:sz w:val="21"/>
                      <w:szCs w:val="21"/>
                      <w:highlight w:val="none"/>
                      <w:lang w:val="en-US" w:eastAsia="zh-CN" w:bidi="ar-SA"/>
                    </w:rPr>
                    <w:t>表1中一级A标准和2025年修改单表4中瞬时值标准</w:t>
                  </w:r>
                  <w:r>
                    <w:rPr>
                      <w:rFonts w:hint="eastAsia" w:cs="Times New Roman"/>
                      <w:color w:val="auto"/>
                      <w:kern w:val="2"/>
                      <w:sz w:val="21"/>
                      <w:szCs w:val="21"/>
                      <w:highlight w:val="none"/>
                      <w:lang w:val="en-US" w:eastAsia="zh-CN" w:bidi="ar-SA"/>
                    </w:rPr>
                    <w:t>后</w:t>
                  </w:r>
                  <w:r>
                    <w:rPr>
                      <w:rFonts w:hint="eastAsia" w:ascii="Times New Roman" w:hAnsi="Times New Roman" w:eastAsia="宋体" w:cs="Times New Roman"/>
                      <w:color w:val="auto"/>
                      <w:kern w:val="2"/>
                      <w:sz w:val="21"/>
                      <w:szCs w:val="21"/>
                      <w:highlight w:val="none"/>
                      <w:lang w:val="en-US" w:eastAsia="zh-CN" w:bidi="ar-SA"/>
                    </w:rPr>
                    <w:t>排入</w:t>
                  </w:r>
                  <w:r>
                    <w:rPr>
                      <w:rFonts w:hint="eastAsia" w:cs="Times New Roman"/>
                      <w:color w:val="auto"/>
                      <w:szCs w:val="21"/>
                      <w:highlight w:val="none"/>
                      <w:lang w:val="en-US" w:eastAsia="zh-CN"/>
                    </w:rPr>
                    <w:t>溢</w:t>
                  </w:r>
                  <w:r>
                    <w:rPr>
                      <w:rFonts w:hint="eastAsia" w:cs="Times New Roman"/>
                      <w:color w:val="auto"/>
                      <w:kern w:val="2"/>
                      <w:sz w:val="21"/>
                      <w:szCs w:val="21"/>
                      <w:highlight w:val="none"/>
                      <w:lang w:val="en-US" w:eastAsia="zh-CN" w:bidi="ar-SA"/>
                    </w:rPr>
                    <w:t>水</w:t>
                  </w:r>
                  <w:r>
                    <w:rPr>
                      <w:rFonts w:hint="eastAsia" w:ascii="Times New Roman" w:hAnsi="Times New Roman" w:eastAsia="宋体" w:cs="Times New Roman"/>
                      <w:color w:val="auto"/>
                      <w:kern w:val="2"/>
                      <w:sz w:val="21"/>
                      <w:szCs w:val="21"/>
                      <w:highlight w:val="none"/>
                      <w:lang w:val="en-US" w:eastAsia="zh-CN" w:bidi="ar-SA"/>
                    </w:rPr>
                    <w:t>河。项目的建设解决了纳污范围内生活污水未经处理直排的问题，改善了村镇的居住环境</w:t>
                  </w:r>
                  <w:r>
                    <w:rPr>
                      <w:rFonts w:hint="eastAsia" w:cs="Times New Roman"/>
                      <w:color w:val="auto"/>
                      <w:kern w:val="2"/>
                      <w:sz w:val="21"/>
                      <w:szCs w:val="21"/>
                      <w:highlight w:val="none"/>
                      <w:lang w:val="en-US" w:eastAsia="zh-CN" w:bidi="ar-SA"/>
                    </w:rPr>
                    <w:t>。</w:t>
                  </w:r>
                </w:p>
              </w:tc>
              <w:tc>
                <w:tcPr>
                  <w:tcW w:w="452" w:type="pct"/>
                  <w:tcBorders>
                    <w:tl2br w:val="nil"/>
                    <w:tr2bl w:val="nil"/>
                  </w:tcBorders>
                  <w:noWrap w:val="0"/>
                  <w:vAlign w:val="center"/>
                </w:tcPr>
                <w:p w14:paraId="281F4B8C">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符合</w:t>
                  </w:r>
                </w:p>
              </w:tc>
            </w:tr>
            <w:tr w14:paraId="20F719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59" w:type="pct"/>
                  <w:tcBorders>
                    <w:tl2br w:val="nil"/>
                    <w:tr2bl w:val="nil"/>
                  </w:tcBorders>
                  <w:noWrap w:val="0"/>
                  <w:vAlign w:val="center"/>
                </w:tcPr>
                <w:p w14:paraId="58E2B557">
                  <w:pPr>
                    <w:widowControl/>
                    <w:autoSpaceDE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汉中市汉江水质保护条例</w:t>
                  </w:r>
                  <w:r>
                    <w:rPr>
                      <w:rFonts w:hint="default" w:ascii="Times New Roman" w:hAnsi="Times New Roman" w:eastAsia="宋体" w:cs="Times New Roman"/>
                      <w:color w:val="auto"/>
                      <w:kern w:val="2"/>
                      <w:sz w:val="21"/>
                      <w:szCs w:val="21"/>
                      <w:highlight w:val="none"/>
                      <w:lang w:val="en-US" w:eastAsia="zh-CN" w:bidi="ar-SA"/>
                    </w:rPr>
                    <w:t>》</w:t>
                  </w:r>
                  <w:r>
                    <w:rPr>
                      <w:rFonts w:hint="eastAsia" w:cs="Times New Roman"/>
                      <w:color w:val="auto"/>
                      <w:kern w:val="2"/>
                      <w:sz w:val="21"/>
                      <w:szCs w:val="21"/>
                      <w:highlight w:val="none"/>
                      <w:lang w:val="en-US" w:eastAsia="zh-CN" w:bidi="ar-SA"/>
                    </w:rPr>
                    <w:t>（2026年修正）</w:t>
                  </w:r>
                </w:p>
              </w:tc>
              <w:tc>
                <w:tcPr>
                  <w:tcW w:w="2230" w:type="pct"/>
                  <w:tcBorders>
                    <w:tl2br w:val="nil"/>
                    <w:tr2bl w:val="nil"/>
                  </w:tcBorders>
                  <w:noWrap w:val="0"/>
                  <w:vAlign w:val="center"/>
                </w:tcPr>
                <w:p w14:paraId="3AE89EF9">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第三十条 市、县（区）、镇人民政府、街道办事处应当加强农村水环境保护工作，推广应用污水净化处理技术，对村（居）民聚集区生活污水集中收集处理，对分散的村（居）民生活污水综合利用，改善农村水环境。</w:t>
                  </w:r>
                </w:p>
              </w:tc>
              <w:tc>
                <w:tcPr>
                  <w:tcW w:w="1357" w:type="pct"/>
                  <w:tcBorders>
                    <w:tl2br w:val="nil"/>
                    <w:tr2bl w:val="nil"/>
                  </w:tcBorders>
                  <w:noWrap w:val="0"/>
                  <w:vAlign w:val="center"/>
                </w:tcPr>
                <w:p w14:paraId="0C20A434">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本项目对</w:t>
                  </w:r>
                  <w:r>
                    <w:rPr>
                      <w:rFonts w:hint="eastAsia" w:cs="Times New Roman"/>
                      <w:color w:val="auto"/>
                      <w:kern w:val="2"/>
                      <w:sz w:val="21"/>
                      <w:szCs w:val="21"/>
                      <w:highlight w:val="none"/>
                      <w:lang w:val="en-US" w:eastAsia="zh-CN" w:bidi="ar-SA"/>
                    </w:rPr>
                    <w:t>谢村镇四〇五社区</w:t>
                  </w:r>
                  <w:r>
                    <w:rPr>
                      <w:rFonts w:hint="eastAsia" w:ascii="Times New Roman" w:hAnsi="Times New Roman" w:eastAsia="宋体" w:cs="Times New Roman"/>
                      <w:color w:val="auto"/>
                      <w:kern w:val="2"/>
                      <w:sz w:val="21"/>
                      <w:szCs w:val="21"/>
                      <w:highlight w:val="none"/>
                      <w:lang w:val="en-US" w:eastAsia="zh-CN" w:bidi="ar-SA"/>
                    </w:rPr>
                    <w:t>（居）民聚集区生活污水集中收集处理，为农村生活污水处理项目，项目的建设完善了区域污水处理设施</w:t>
                  </w:r>
                  <w:r>
                    <w:rPr>
                      <w:rFonts w:hint="eastAsia" w:cs="Times New Roman"/>
                      <w:color w:val="auto"/>
                      <w:kern w:val="2"/>
                      <w:sz w:val="21"/>
                      <w:szCs w:val="21"/>
                      <w:highlight w:val="none"/>
                      <w:lang w:val="en-US" w:eastAsia="zh-CN" w:bidi="ar-SA"/>
                    </w:rPr>
                    <w:t>，有利于改善农村水环境现状。</w:t>
                  </w:r>
                </w:p>
              </w:tc>
              <w:tc>
                <w:tcPr>
                  <w:tcW w:w="452" w:type="pct"/>
                  <w:tcBorders>
                    <w:tl2br w:val="nil"/>
                    <w:tr2bl w:val="nil"/>
                  </w:tcBorders>
                  <w:noWrap w:val="0"/>
                  <w:vAlign w:val="center"/>
                </w:tcPr>
                <w:p w14:paraId="02946E55">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Cs/>
                      <w:color w:val="auto"/>
                      <w:szCs w:val="21"/>
                      <w:highlight w:val="none"/>
                    </w:rPr>
                  </w:pPr>
                  <w:r>
                    <w:rPr>
                      <w:rFonts w:ascii="Times New Roman" w:hAnsi="Times New Roman" w:cs="Times New Roman"/>
                      <w:bCs/>
                      <w:color w:val="auto"/>
                      <w:szCs w:val="21"/>
                      <w:highlight w:val="none"/>
                    </w:rPr>
                    <w:t>符合</w:t>
                  </w:r>
                </w:p>
              </w:tc>
            </w:tr>
            <w:tr w14:paraId="2AE608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959" w:type="pct"/>
                  <w:vMerge w:val="restart"/>
                  <w:tcBorders>
                    <w:tl2br w:val="nil"/>
                    <w:tr2bl w:val="nil"/>
                  </w:tcBorders>
                  <w:noWrap w:val="0"/>
                  <w:vAlign w:val="center"/>
                </w:tcPr>
                <w:p w14:paraId="3FDF7942">
                  <w:pPr>
                    <w:widowControl/>
                    <w:autoSpaceDE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《汉中市水污染防治工作方案》</w:t>
                  </w:r>
                  <w:r>
                    <w:rPr>
                      <w:rFonts w:hint="eastAsia" w:cs="Times New Roman"/>
                      <w:color w:val="auto"/>
                      <w:kern w:val="2"/>
                      <w:sz w:val="21"/>
                      <w:szCs w:val="21"/>
                      <w:highlight w:val="none"/>
                      <w:lang w:val="en-US" w:eastAsia="zh-CN" w:bidi="ar-SA"/>
                    </w:rPr>
                    <w:t>（汉政发[2016]17号）</w:t>
                  </w:r>
                </w:p>
              </w:tc>
              <w:tc>
                <w:tcPr>
                  <w:tcW w:w="2230" w:type="pct"/>
                  <w:tcBorders>
                    <w:tl2br w:val="nil"/>
                    <w:tr2bl w:val="nil"/>
                  </w:tcBorders>
                  <w:noWrap w:val="0"/>
                  <w:vAlign w:val="center"/>
                </w:tcPr>
                <w:p w14:paraId="27FB1DA9">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加快完善城镇污水处理设施建设、运营与改造，现有城镇污水处理设施要因地制宜进行改造，生活污水全面收集处理，达到相应的排放标准或再生利用要求。</w:t>
                  </w:r>
                </w:p>
              </w:tc>
              <w:tc>
                <w:tcPr>
                  <w:tcW w:w="1357" w:type="pct"/>
                  <w:tcBorders>
                    <w:tl2br w:val="nil"/>
                    <w:tr2bl w:val="nil"/>
                  </w:tcBorders>
                  <w:noWrap w:val="0"/>
                  <w:vAlign w:val="center"/>
                </w:tcPr>
                <w:p w14:paraId="1D2C78DE">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本项目为污水处理</w:t>
                  </w:r>
                  <w:r>
                    <w:rPr>
                      <w:rFonts w:hint="eastAsia" w:cs="Times New Roman"/>
                      <w:color w:val="auto"/>
                      <w:kern w:val="2"/>
                      <w:sz w:val="21"/>
                      <w:szCs w:val="21"/>
                      <w:highlight w:val="none"/>
                      <w:lang w:val="en-US" w:eastAsia="zh-CN" w:bidi="ar-SA"/>
                    </w:rPr>
                    <w:t>设施建设</w:t>
                  </w:r>
                  <w:r>
                    <w:rPr>
                      <w:rFonts w:hint="default" w:ascii="Times New Roman" w:hAnsi="Times New Roman" w:eastAsia="宋体" w:cs="Times New Roman"/>
                      <w:color w:val="auto"/>
                      <w:kern w:val="2"/>
                      <w:sz w:val="21"/>
                      <w:szCs w:val="21"/>
                      <w:highlight w:val="none"/>
                      <w:lang w:val="en-US" w:eastAsia="zh-CN" w:bidi="ar-SA"/>
                    </w:rPr>
                    <w:t>项目</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项目的建设完善了区域</w:t>
                  </w:r>
                  <w:r>
                    <w:rPr>
                      <w:rFonts w:hint="eastAsia" w:cs="Times New Roman"/>
                      <w:color w:val="auto"/>
                      <w:kern w:val="2"/>
                      <w:sz w:val="21"/>
                      <w:szCs w:val="21"/>
                      <w:highlight w:val="none"/>
                      <w:lang w:val="en-US" w:eastAsia="zh-CN" w:bidi="ar-SA"/>
                    </w:rPr>
                    <w:t>生活污水收集、处理</w:t>
                  </w:r>
                  <w:r>
                    <w:rPr>
                      <w:rFonts w:hint="default" w:ascii="Times New Roman" w:hAnsi="Times New Roman" w:eastAsia="宋体" w:cs="Times New Roman"/>
                      <w:color w:val="auto"/>
                      <w:kern w:val="2"/>
                      <w:sz w:val="21"/>
                      <w:szCs w:val="21"/>
                      <w:highlight w:val="none"/>
                      <w:lang w:val="en-US" w:eastAsia="zh-CN" w:bidi="ar-SA"/>
                    </w:rPr>
                    <w:t>处理</w:t>
                  </w:r>
                  <w:r>
                    <w:rPr>
                      <w:rFonts w:hint="eastAsia" w:cs="Times New Roman"/>
                      <w:color w:val="auto"/>
                      <w:kern w:val="2"/>
                      <w:sz w:val="21"/>
                      <w:szCs w:val="21"/>
                      <w:highlight w:val="none"/>
                      <w:lang w:val="en-US" w:eastAsia="zh-CN" w:bidi="ar-SA"/>
                    </w:rPr>
                    <w:t>系统</w:t>
                  </w:r>
                  <w:r>
                    <w:rPr>
                      <w:rFonts w:hint="default" w:ascii="Times New Roman" w:hAnsi="Times New Roman" w:eastAsia="宋体" w:cs="Times New Roman"/>
                      <w:color w:val="auto"/>
                      <w:kern w:val="2"/>
                      <w:sz w:val="21"/>
                      <w:szCs w:val="21"/>
                      <w:highlight w:val="none"/>
                      <w:lang w:val="en-US" w:eastAsia="zh-CN" w:bidi="ar-SA"/>
                    </w:rPr>
                    <w:t>，出水水质可达到《城镇污水处理厂污染物排放标准》（GB 18918-2002）</w:t>
                  </w:r>
                  <w:r>
                    <w:rPr>
                      <w:rFonts w:hint="eastAsia" w:cs="Times New Roman"/>
                      <w:color w:val="auto"/>
                      <w:kern w:val="2"/>
                      <w:sz w:val="21"/>
                      <w:szCs w:val="21"/>
                      <w:highlight w:val="none"/>
                      <w:lang w:val="en-US" w:eastAsia="zh-CN" w:bidi="ar-SA"/>
                    </w:rPr>
                    <w:t>表1中一级A标准和2025年修改单表4中瞬时值标准</w:t>
                  </w:r>
                  <w:r>
                    <w:rPr>
                      <w:rFonts w:hint="eastAsia" w:cs="Times New Roman"/>
                      <w:color w:val="auto"/>
                      <w:kern w:val="2"/>
                      <w:sz w:val="21"/>
                      <w:szCs w:val="21"/>
                      <w:highlight w:val="none"/>
                      <w:lang w:val="en-US" w:eastAsia="zh-CN" w:bidi="ar-SA"/>
                    </w:rPr>
                    <w:t>。</w:t>
                  </w:r>
                </w:p>
              </w:tc>
              <w:tc>
                <w:tcPr>
                  <w:tcW w:w="452" w:type="pct"/>
                  <w:vMerge w:val="restart"/>
                  <w:tcBorders>
                    <w:tl2br w:val="nil"/>
                    <w:tr2bl w:val="nil"/>
                  </w:tcBorders>
                  <w:noWrap w:val="0"/>
                  <w:vAlign w:val="center"/>
                </w:tcPr>
                <w:p w14:paraId="20601551">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58EC8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959" w:type="pct"/>
                  <w:vMerge w:val="continue"/>
                  <w:tcBorders>
                    <w:tl2br w:val="nil"/>
                    <w:tr2bl w:val="nil"/>
                  </w:tcBorders>
                  <w:noWrap w:val="0"/>
                  <w:vAlign w:val="center"/>
                </w:tcPr>
                <w:p w14:paraId="64C874FF">
                  <w:pPr>
                    <w:widowControl/>
                    <w:autoSpaceDE w:val="0"/>
                    <w:snapToGrid w:val="0"/>
                    <w:jc w:val="both"/>
                    <w:rPr>
                      <w:rFonts w:hint="default" w:ascii="Times New Roman" w:hAnsi="Times New Roman" w:eastAsia="宋体" w:cs="Times New Roman"/>
                      <w:color w:val="auto"/>
                      <w:kern w:val="2"/>
                      <w:sz w:val="21"/>
                      <w:szCs w:val="21"/>
                      <w:highlight w:val="none"/>
                      <w:lang w:val="en-US" w:eastAsia="zh-CN" w:bidi="ar-SA"/>
                    </w:rPr>
                  </w:pPr>
                </w:p>
              </w:tc>
              <w:tc>
                <w:tcPr>
                  <w:tcW w:w="2230" w:type="pct"/>
                  <w:tcBorders>
                    <w:tl2br w:val="nil"/>
                    <w:tr2bl w:val="nil"/>
                  </w:tcBorders>
                  <w:noWrap w:val="0"/>
                  <w:vAlign w:val="center"/>
                </w:tcPr>
                <w:p w14:paraId="0520A07F">
                  <w:pPr>
                    <w:keepNext w:val="0"/>
                    <w:keepLines w:val="0"/>
                    <w:pageBreakBefore w:val="0"/>
                    <w:widowControl w:val="0"/>
                    <w:kinsoku w:val="0"/>
                    <w:wordWrap/>
                    <w:overflowPunct w:val="0"/>
                    <w:topLinePunct w:val="0"/>
                    <w:autoSpaceDE w:val="0"/>
                    <w:autoSpaceDN w:val="0"/>
                    <w:bidi w:val="0"/>
                    <w:adjustRightInd w:val="0"/>
                    <w:snapToGrid w:val="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全面加强配套管网建设。强化城中村、老旧城区和城乡接合部污水截流、收集。现有合流制排水系统应加快实施雨污分流改造，难以改造的，应采取截流、调蓄和治理等措施。新建污水处理设施配套管网应同步设计、同步建设、同步投运。</w:t>
                  </w:r>
                </w:p>
              </w:tc>
              <w:tc>
                <w:tcPr>
                  <w:tcW w:w="1357" w:type="pct"/>
                  <w:tcBorders>
                    <w:tl2br w:val="nil"/>
                    <w:tr2bl w:val="nil"/>
                  </w:tcBorders>
                  <w:noWrap w:val="0"/>
                  <w:vAlign w:val="center"/>
                </w:tcPr>
                <w:p w14:paraId="67C92959">
                  <w:pPr>
                    <w:keepNext w:val="0"/>
                    <w:keepLines w:val="0"/>
                    <w:pageBreakBefore w:val="0"/>
                    <w:widowControl w:val="0"/>
                    <w:kinsoku w:val="0"/>
                    <w:wordWrap/>
                    <w:overflowPunct w:val="0"/>
                    <w:topLinePunct w:val="0"/>
                    <w:autoSpaceDE w:val="0"/>
                    <w:autoSpaceDN w:val="0"/>
                    <w:bidi w:val="0"/>
                    <w:adjustRightInd w:val="0"/>
                    <w:snapToGrid w:val="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本项目</w:t>
                  </w:r>
                  <w:r>
                    <w:rPr>
                      <w:rFonts w:hint="default" w:ascii="Times New Roman" w:hAnsi="Times New Roman" w:eastAsia="宋体" w:cs="Times New Roman"/>
                      <w:color w:val="auto"/>
                      <w:kern w:val="2"/>
                      <w:sz w:val="21"/>
                      <w:szCs w:val="21"/>
                      <w:highlight w:val="none"/>
                      <w:lang w:val="en-US" w:eastAsia="zh-CN" w:bidi="ar-SA"/>
                    </w:rPr>
                    <w:t>污水处理</w:t>
                  </w:r>
                  <w:r>
                    <w:rPr>
                      <w:rFonts w:hint="eastAsia" w:cs="Times New Roman"/>
                      <w:color w:val="auto"/>
                      <w:kern w:val="2"/>
                      <w:sz w:val="21"/>
                      <w:szCs w:val="21"/>
                      <w:highlight w:val="none"/>
                      <w:lang w:val="en-US" w:eastAsia="zh-CN" w:bidi="ar-SA"/>
                    </w:rPr>
                    <w:t>厂</w:t>
                  </w:r>
                  <w:r>
                    <w:rPr>
                      <w:rFonts w:hint="default" w:ascii="Times New Roman" w:hAnsi="Times New Roman" w:eastAsia="宋体" w:cs="Times New Roman"/>
                      <w:color w:val="auto"/>
                      <w:kern w:val="2"/>
                      <w:sz w:val="21"/>
                      <w:szCs w:val="21"/>
                      <w:highlight w:val="none"/>
                      <w:lang w:val="en-US" w:eastAsia="zh-CN" w:bidi="ar-SA"/>
                    </w:rPr>
                    <w:t>配套污水管网同步设计、建设及投运，</w:t>
                  </w:r>
                  <w:r>
                    <w:rPr>
                      <w:rFonts w:hint="eastAsia" w:cs="Times New Roman"/>
                      <w:color w:val="auto"/>
                      <w:kern w:val="2"/>
                      <w:sz w:val="21"/>
                      <w:szCs w:val="21"/>
                      <w:highlight w:val="none"/>
                      <w:lang w:val="en-US" w:eastAsia="zh-CN" w:bidi="ar-SA"/>
                    </w:rPr>
                    <w:t>有利于</w:t>
                  </w:r>
                  <w:r>
                    <w:rPr>
                      <w:rFonts w:hint="default" w:ascii="Times New Roman" w:hAnsi="Times New Roman" w:eastAsia="宋体" w:cs="Times New Roman"/>
                      <w:color w:val="auto"/>
                      <w:kern w:val="2"/>
                      <w:sz w:val="21"/>
                      <w:szCs w:val="21"/>
                      <w:highlight w:val="none"/>
                      <w:lang w:val="en-US" w:eastAsia="zh-CN" w:bidi="ar-SA"/>
                    </w:rPr>
                    <w:t>加强区域</w:t>
                  </w:r>
                  <w:r>
                    <w:rPr>
                      <w:rFonts w:hint="eastAsia" w:cs="Times New Roman"/>
                      <w:color w:val="auto"/>
                      <w:kern w:val="2"/>
                      <w:sz w:val="21"/>
                      <w:szCs w:val="21"/>
                      <w:highlight w:val="none"/>
                      <w:lang w:val="en-US" w:eastAsia="zh-CN" w:bidi="ar-SA"/>
                    </w:rPr>
                    <w:t>生活</w:t>
                  </w:r>
                  <w:r>
                    <w:rPr>
                      <w:rFonts w:hint="default" w:ascii="Times New Roman" w:hAnsi="Times New Roman" w:eastAsia="宋体" w:cs="Times New Roman"/>
                      <w:color w:val="auto"/>
                      <w:kern w:val="2"/>
                      <w:sz w:val="21"/>
                      <w:szCs w:val="21"/>
                      <w:highlight w:val="none"/>
                      <w:lang w:val="en-US" w:eastAsia="zh-CN" w:bidi="ar-SA"/>
                    </w:rPr>
                    <w:t>污水的截留</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收集</w:t>
                  </w:r>
                  <w:r>
                    <w:rPr>
                      <w:rFonts w:hint="eastAsia" w:cs="Times New Roman"/>
                      <w:color w:val="auto"/>
                      <w:kern w:val="2"/>
                      <w:sz w:val="21"/>
                      <w:szCs w:val="21"/>
                      <w:highlight w:val="none"/>
                      <w:lang w:val="en-US" w:eastAsia="zh-CN" w:bidi="ar-SA"/>
                    </w:rPr>
                    <w:t>和</w:t>
                  </w:r>
                  <w:r>
                    <w:rPr>
                      <w:rFonts w:hint="default" w:ascii="Times New Roman" w:hAnsi="Times New Roman" w:eastAsia="宋体" w:cs="Times New Roman"/>
                      <w:color w:val="auto"/>
                      <w:kern w:val="2"/>
                      <w:sz w:val="21"/>
                      <w:szCs w:val="21"/>
                      <w:highlight w:val="none"/>
                      <w:lang w:val="en-US" w:eastAsia="zh-CN" w:bidi="ar-SA"/>
                    </w:rPr>
                    <w:t>处理</w:t>
                  </w:r>
                  <w:r>
                    <w:rPr>
                      <w:rFonts w:hint="eastAsia" w:cs="Times New Roman"/>
                      <w:color w:val="auto"/>
                      <w:kern w:val="2"/>
                      <w:sz w:val="21"/>
                      <w:szCs w:val="21"/>
                      <w:highlight w:val="none"/>
                      <w:lang w:val="en-US" w:eastAsia="zh-CN" w:bidi="ar-SA"/>
                    </w:rPr>
                    <w:t>。</w:t>
                  </w:r>
                </w:p>
              </w:tc>
              <w:tc>
                <w:tcPr>
                  <w:tcW w:w="452" w:type="pct"/>
                  <w:vMerge w:val="continue"/>
                  <w:tcBorders>
                    <w:tl2br w:val="nil"/>
                    <w:tr2bl w:val="nil"/>
                  </w:tcBorders>
                  <w:noWrap w:val="0"/>
                  <w:vAlign w:val="center"/>
                </w:tcPr>
                <w:p w14:paraId="1E722885">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Cs/>
                      <w:color w:val="auto"/>
                      <w:szCs w:val="21"/>
                      <w:highlight w:val="none"/>
                    </w:rPr>
                  </w:pPr>
                </w:p>
              </w:tc>
            </w:tr>
          </w:tbl>
          <w:p w14:paraId="0E1968AD">
            <w:pPr>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cs="Times New Roman"/>
                <w:b/>
                <w:bCs/>
                <w:color w:val="auto"/>
                <w:sz w:val="24"/>
                <w:highlight w:val="none"/>
              </w:rPr>
            </w:pPr>
            <w:r>
              <w:rPr>
                <w:rFonts w:hint="eastAsia"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cs="Times New Roman"/>
                <w:b/>
                <w:bCs/>
                <w:color w:val="auto"/>
                <w:sz w:val="24"/>
                <w:highlight w:val="none"/>
              </w:rPr>
              <w:t>选址符合性分析</w:t>
            </w:r>
          </w:p>
          <w:p w14:paraId="36D3E962">
            <w:pPr>
              <w:widowControl/>
              <w:snapToGrid w:val="0"/>
              <w:spacing w:line="360" w:lineRule="auto"/>
              <w:ind w:firstLine="480" w:firstLineChars="200"/>
              <w:rPr>
                <w:rFonts w:hint="default" w:ascii="Times New Roman" w:hAnsi="Times New Roman" w:cs="Times New Roman"/>
                <w:color w:val="auto"/>
                <w:sz w:val="24"/>
                <w:szCs w:val="32"/>
                <w:highlight w:val="none"/>
                <w:lang w:val="en-US" w:eastAsia="zh-CN"/>
              </w:rPr>
            </w:pPr>
            <w:r>
              <w:rPr>
                <w:rFonts w:hint="default" w:ascii="Times New Roman" w:hAnsi="Times New Roman" w:cs="Times New Roman"/>
                <w:color w:val="auto"/>
                <w:sz w:val="24"/>
                <w:szCs w:val="32"/>
                <w:highlight w:val="none"/>
              </w:rPr>
              <w:t>（1）</w:t>
            </w:r>
            <w:r>
              <w:rPr>
                <w:rFonts w:hint="eastAsia" w:cs="Times New Roman"/>
                <w:color w:val="auto"/>
                <w:sz w:val="24"/>
                <w:szCs w:val="32"/>
                <w:highlight w:val="none"/>
                <w:lang w:eastAsia="zh-CN"/>
              </w:rPr>
              <w:t>本项目污水处理厂</w:t>
            </w:r>
            <w:r>
              <w:rPr>
                <w:rFonts w:hint="eastAsia" w:cs="Times New Roman"/>
                <w:color w:val="auto"/>
                <w:sz w:val="24"/>
                <w:highlight w:val="none"/>
                <w:lang w:val="en-US" w:eastAsia="zh-CN"/>
              </w:rPr>
              <w:t>所在地块地势较低，便于辖区内生活污水收集；同时厂区东侧邻近溢水河，便于尾水排放。</w:t>
            </w:r>
          </w:p>
          <w:p w14:paraId="2011FDDE">
            <w:pPr>
              <w:widowControl/>
              <w:snapToGrid w:val="0"/>
              <w:spacing w:line="360" w:lineRule="auto"/>
              <w:ind w:firstLine="480" w:firstLineChars="200"/>
              <w:rPr>
                <w:rFonts w:hint="eastAsia" w:ascii="Times New Roman" w:hAnsi="Times New Roman" w:eastAsia="宋体" w:cs="Times New Roman"/>
                <w:color w:val="auto"/>
                <w:sz w:val="24"/>
                <w:szCs w:val="32"/>
                <w:highlight w:val="none"/>
                <w:lang w:val="en-US" w:eastAsia="zh-CN"/>
              </w:rPr>
            </w:pPr>
            <w:r>
              <w:rPr>
                <w:rFonts w:hint="default" w:ascii="Times New Roman" w:hAnsi="Times New Roman" w:cs="Times New Roman"/>
                <w:color w:val="auto"/>
                <w:sz w:val="24"/>
                <w:szCs w:val="32"/>
                <w:highlight w:val="none"/>
                <w:lang w:val="en-US" w:eastAsia="zh-CN"/>
              </w:rPr>
              <w:t>（2）</w:t>
            </w:r>
            <w:r>
              <w:rPr>
                <w:rFonts w:hint="eastAsia" w:cs="Times New Roman"/>
                <w:color w:val="auto"/>
                <w:sz w:val="24"/>
                <w:szCs w:val="32"/>
                <w:highlight w:val="none"/>
                <w:lang w:val="en-US" w:eastAsia="zh-CN"/>
              </w:rPr>
              <w:t>项目西北侧900m处为陕西汉中朱鹮国家级自然保护区实验区（对应位置关系见附图2），南侧约4.2km处为</w:t>
            </w:r>
            <w:r>
              <w:rPr>
                <w:rFonts w:hint="default" w:ascii="Times New Roman" w:hAnsi="Times New Roman" w:eastAsia="宋体" w:cs="Times New Roman"/>
                <w:color w:val="auto"/>
                <w:sz w:val="24"/>
                <w:szCs w:val="32"/>
                <w:highlight w:val="none"/>
                <w:lang w:val="en-US" w:eastAsia="zh-CN"/>
              </w:rPr>
              <w:t>陕西汉江重要湿地</w:t>
            </w:r>
            <w:r>
              <w:rPr>
                <w:rFonts w:hint="eastAsia"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除此之外，项目占地不涉及</w:t>
            </w:r>
            <w:r>
              <w:rPr>
                <w:rFonts w:hint="default" w:ascii="Times New Roman" w:hAnsi="Times New Roman" w:cs="Times New Roman"/>
                <w:color w:val="auto"/>
                <w:sz w:val="24"/>
                <w:szCs w:val="32"/>
                <w:highlight w:val="none"/>
                <w:lang w:val="en-US" w:eastAsia="zh-CN"/>
              </w:rPr>
              <w:t>风景名胜区、军事管理区、水源保护区等</w:t>
            </w:r>
            <w:r>
              <w:rPr>
                <w:rFonts w:hint="eastAsia" w:cs="Times New Roman"/>
                <w:color w:val="auto"/>
                <w:sz w:val="24"/>
                <w:szCs w:val="32"/>
                <w:highlight w:val="none"/>
                <w:lang w:val="en-US" w:eastAsia="zh-CN"/>
              </w:rPr>
              <w:t>其他</w:t>
            </w:r>
            <w:r>
              <w:rPr>
                <w:rFonts w:hint="default" w:ascii="Times New Roman" w:hAnsi="Times New Roman" w:cs="Times New Roman"/>
                <w:color w:val="auto"/>
                <w:sz w:val="24"/>
                <w:szCs w:val="32"/>
                <w:highlight w:val="none"/>
                <w:lang w:val="en-US" w:eastAsia="zh-CN"/>
              </w:rPr>
              <w:t>敏感区域，无重大环境制约因素</w:t>
            </w:r>
            <w:r>
              <w:rPr>
                <w:rFonts w:hint="eastAsia" w:ascii="Times New Roman" w:hAnsi="Times New Roman" w:eastAsia="宋体" w:cs="Times New Roman"/>
                <w:color w:val="auto"/>
                <w:sz w:val="24"/>
                <w:szCs w:val="32"/>
                <w:highlight w:val="none"/>
                <w:lang w:val="en-US" w:eastAsia="zh-CN"/>
              </w:rPr>
              <w:t>。</w:t>
            </w:r>
          </w:p>
          <w:p w14:paraId="22EA54CA">
            <w:pPr>
              <w:widowControl/>
              <w:snapToGrid w:val="0"/>
              <w:spacing w:line="360" w:lineRule="auto"/>
              <w:ind w:firstLine="480" w:firstLineChars="200"/>
              <w:rPr>
                <w:rFonts w:hint="default" w:cs="Times New Roman"/>
                <w:color w:val="auto"/>
                <w:sz w:val="24"/>
                <w:szCs w:val="32"/>
                <w:highlight w:val="none"/>
                <w:lang w:val="en-US" w:eastAsia="zh-CN"/>
              </w:rPr>
            </w:pPr>
            <w:r>
              <w:rPr>
                <w:rFonts w:hint="eastAsia" w:cs="Times New Roman"/>
                <w:color w:val="auto"/>
                <w:sz w:val="24"/>
                <w:szCs w:val="32"/>
                <w:highlight w:val="none"/>
                <w:lang w:val="en-US" w:eastAsia="zh-CN"/>
              </w:rPr>
              <w:t>（3）根据洋县自然资源局《关于洋县城镇生活污水治理建设项目用地规划选址情况的说明》（洋自然资函[2023]1号）可知，谢村镇四〇五社区污水处理厂选址不涉及永久基本农田和生态保护红线，拟纳入《洋县国土空间规划（2021-2035）》。此外，根据洋县人民政府《关于洋县城镇生活污水治理建设项目用地的批复》（洋土审发[2026]6号）可知：同意洋县住房和城乡建设管理局使用谢村镇下溢水村范围内国有建设用地0.4753公顷（折7.13亩），用于修建洋县城镇生活污水治理建设项目。</w:t>
            </w:r>
          </w:p>
          <w:p w14:paraId="4F8E6C5D">
            <w:pPr>
              <w:widowControl/>
              <w:snapToGrid w:val="0"/>
              <w:spacing w:line="360" w:lineRule="auto"/>
              <w:ind w:firstLine="480" w:firstLineChars="200"/>
              <w:rPr>
                <w:rFonts w:hint="default" w:ascii="Times New Roman" w:hAnsi="Times New Roman" w:cs="Times New Roman"/>
                <w:color w:val="auto"/>
                <w:sz w:val="24"/>
                <w:szCs w:val="32"/>
                <w:highlight w:val="none"/>
                <w:lang w:val="en-US" w:eastAsia="zh-CN"/>
              </w:rPr>
            </w:pPr>
            <w:r>
              <w:rPr>
                <w:rFonts w:hint="eastAsia" w:cs="Times New Roman"/>
                <w:color w:val="auto"/>
                <w:sz w:val="24"/>
                <w:szCs w:val="32"/>
                <w:highlight w:val="none"/>
                <w:lang w:val="en-US" w:eastAsia="zh-CN"/>
              </w:rPr>
              <w:t>（4）</w:t>
            </w:r>
            <w:r>
              <w:rPr>
                <w:rFonts w:hint="default" w:ascii="Times New Roman" w:hAnsi="Times New Roman" w:cs="Times New Roman"/>
                <w:color w:val="auto"/>
                <w:sz w:val="24"/>
                <w:szCs w:val="32"/>
                <w:highlight w:val="none"/>
                <w:lang w:val="en-US" w:eastAsia="zh-CN"/>
              </w:rPr>
              <w:t>本项目与《室外排水设计规范（GB50014-20</w:t>
            </w:r>
            <w:r>
              <w:rPr>
                <w:rFonts w:hint="eastAsia" w:cs="Times New Roman"/>
                <w:color w:val="auto"/>
                <w:sz w:val="24"/>
                <w:szCs w:val="32"/>
                <w:highlight w:val="none"/>
                <w:lang w:val="en-US" w:eastAsia="zh-CN"/>
              </w:rPr>
              <w:t>21</w:t>
            </w:r>
            <w:r>
              <w:rPr>
                <w:rFonts w:hint="default" w:ascii="Times New Roman" w:hAnsi="Times New Roman" w:cs="Times New Roman"/>
                <w:color w:val="auto"/>
                <w:sz w:val="24"/>
                <w:szCs w:val="32"/>
                <w:highlight w:val="none"/>
                <w:lang w:val="en-US" w:eastAsia="zh-CN"/>
              </w:rPr>
              <w:t>）》中污水处理</w:t>
            </w:r>
            <w:r>
              <w:rPr>
                <w:rFonts w:hint="eastAsia" w:cs="Times New Roman"/>
                <w:color w:val="auto"/>
                <w:sz w:val="24"/>
                <w:szCs w:val="32"/>
                <w:highlight w:val="none"/>
                <w:lang w:val="en-US" w:eastAsia="zh-CN"/>
              </w:rPr>
              <w:t>厂</w:t>
            </w:r>
            <w:r>
              <w:rPr>
                <w:rFonts w:hint="default" w:ascii="Times New Roman" w:hAnsi="Times New Roman" w:cs="Times New Roman"/>
                <w:color w:val="auto"/>
                <w:sz w:val="24"/>
                <w:szCs w:val="32"/>
                <w:highlight w:val="none"/>
                <w:lang w:val="en-US" w:eastAsia="zh-CN"/>
              </w:rPr>
              <w:t>建设选址要求</w:t>
            </w:r>
            <w:r>
              <w:rPr>
                <w:rFonts w:hint="eastAsia" w:ascii="Times New Roman" w:hAnsi="Times New Roman" w:cs="Times New Roman"/>
                <w:color w:val="auto"/>
                <w:sz w:val="24"/>
                <w:szCs w:val="32"/>
                <w:highlight w:val="none"/>
                <w:lang w:val="en-US" w:eastAsia="zh-CN"/>
              </w:rPr>
              <w:t>的</w:t>
            </w:r>
            <w:r>
              <w:rPr>
                <w:rFonts w:hint="default" w:ascii="Times New Roman" w:hAnsi="Times New Roman" w:cs="Times New Roman"/>
                <w:color w:val="auto"/>
                <w:sz w:val="24"/>
                <w:szCs w:val="32"/>
                <w:highlight w:val="none"/>
                <w:lang w:val="en-US" w:eastAsia="zh-CN"/>
              </w:rPr>
              <w:t>符合性</w:t>
            </w:r>
            <w:r>
              <w:rPr>
                <w:rFonts w:hint="eastAsia" w:ascii="Times New Roman" w:hAnsi="Times New Roman" w:cs="Times New Roman"/>
                <w:color w:val="auto"/>
                <w:sz w:val="24"/>
                <w:szCs w:val="32"/>
                <w:highlight w:val="none"/>
                <w:lang w:val="en-US" w:eastAsia="zh-CN"/>
              </w:rPr>
              <w:t>分析</w:t>
            </w:r>
            <w:r>
              <w:rPr>
                <w:rFonts w:hint="default" w:ascii="Times New Roman" w:hAnsi="Times New Roman" w:cs="Times New Roman"/>
                <w:color w:val="auto"/>
                <w:sz w:val="24"/>
                <w:szCs w:val="32"/>
                <w:highlight w:val="none"/>
                <w:lang w:val="en-US" w:eastAsia="zh-CN"/>
              </w:rPr>
              <w:t>如下：</w:t>
            </w:r>
          </w:p>
          <w:p w14:paraId="4F6EEB02">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表1</w:t>
            </w:r>
            <w:r>
              <w:rPr>
                <w:rFonts w:hint="default" w:ascii="Times New Roman" w:hAnsi="Times New Roman" w:cs="Times New Roman"/>
                <w:b/>
                <w:bCs/>
                <w:color w:val="auto"/>
                <w:szCs w:val="21"/>
                <w:highlight w:val="none"/>
                <w:lang w:val="en-US" w:eastAsia="zh-CN"/>
              </w:rPr>
              <w:t>-</w:t>
            </w:r>
            <w:r>
              <w:rPr>
                <w:rFonts w:hint="eastAsia" w:cs="Times New Roman"/>
                <w:b/>
                <w:bCs/>
                <w:color w:val="auto"/>
                <w:szCs w:val="21"/>
                <w:highlight w:val="none"/>
                <w:lang w:val="en-US" w:eastAsia="zh-CN"/>
              </w:rPr>
              <w:t>3</w:t>
            </w:r>
            <w:r>
              <w:rPr>
                <w:rFonts w:hint="default" w:ascii="Times New Roman" w:hAnsi="Times New Roman" w:cs="Times New Roman"/>
                <w:b/>
                <w:bCs/>
                <w:color w:val="auto"/>
                <w:szCs w:val="21"/>
                <w:highlight w:val="none"/>
              </w:rPr>
              <w:t xml:space="preserve">  本项目与《室外排水设计规范》相关要求符合性对比一览表</w:t>
            </w:r>
          </w:p>
          <w:tbl>
            <w:tblPr>
              <w:tblStyle w:val="31"/>
              <w:tblW w:w="742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1"/>
              <w:gridCol w:w="2600"/>
              <w:gridCol w:w="4167"/>
            </w:tblGrid>
            <w:tr w14:paraId="10DBD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40E81350">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2600" w:type="dxa"/>
                  <w:tcBorders>
                    <w:tl2br w:val="nil"/>
                    <w:tr2bl w:val="nil"/>
                  </w:tcBorders>
                  <w:noWrap w:val="0"/>
                  <w:vAlign w:val="center"/>
                </w:tcPr>
                <w:p w14:paraId="7FEFA9C9">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选址要求</w:t>
                  </w:r>
                </w:p>
              </w:tc>
              <w:tc>
                <w:tcPr>
                  <w:tcW w:w="4167" w:type="dxa"/>
                  <w:tcBorders>
                    <w:tl2br w:val="nil"/>
                    <w:tr2bl w:val="nil"/>
                  </w:tcBorders>
                  <w:noWrap w:val="0"/>
                  <w:vAlign w:val="center"/>
                </w:tcPr>
                <w:p w14:paraId="4EBFC67D">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w:t>
                  </w:r>
                  <w:r>
                    <w:rPr>
                      <w:rFonts w:hint="default" w:ascii="Times New Roman" w:hAnsi="Times New Roman" w:cs="Times New Roman"/>
                      <w:color w:val="auto"/>
                      <w:szCs w:val="21"/>
                      <w:highlight w:val="none"/>
                      <w:lang w:eastAsia="zh-CN"/>
                    </w:rPr>
                    <w:t>处理站</w:t>
                  </w:r>
                  <w:r>
                    <w:rPr>
                      <w:rFonts w:hint="default" w:ascii="Times New Roman" w:hAnsi="Times New Roman" w:cs="Times New Roman"/>
                      <w:color w:val="auto"/>
                      <w:szCs w:val="21"/>
                      <w:highlight w:val="none"/>
                      <w:lang w:val="en-US" w:eastAsia="zh-CN"/>
                    </w:rPr>
                    <w:t>建设</w:t>
                  </w:r>
                  <w:r>
                    <w:rPr>
                      <w:rFonts w:hint="default" w:ascii="Times New Roman" w:hAnsi="Times New Roman" w:cs="Times New Roman"/>
                      <w:color w:val="auto"/>
                      <w:szCs w:val="21"/>
                      <w:highlight w:val="none"/>
                    </w:rPr>
                    <w:t>地块情况</w:t>
                  </w:r>
                </w:p>
              </w:tc>
            </w:tr>
            <w:tr w14:paraId="75BC40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5F9031A2">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600" w:type="dxa"/>
                  <w:tcBorders>
                    <w:tl2br w:val="nil"/>
                    <w:tr2bl w:val="nil"/>
                  </w:tcBorders>
                  <w:noWrap w:val="0"/>
                  <w:vAlign w:val="center"/>
                </w:tcPr>
                <w:p w14:paraId="000CA611">
                  <w:pPr>
                    <w:kinsoku w:val="0"/>
                    <w:overflowPunct w:val="0"/>
                    <w:autoSpaceDE w:val="0"/>
                    <w:autoSpaceDN w:val="0"/>
                    <w:adjustRightInd w:val="0"/>
                    <w:snapToGrid w:val="0"/>
                    <w:rPr>
                      <w:rFonts w:hint="default" w:ascii="Times New Roman" w:hAnsi="Times New Roman" w:cs="Times New Roman"/>
                      <w:color w:val="auto"/>
                      <w:szCs w:val="21"/>
                      <w:highlight w:val="none"/>
                    </w:rPr>
                  </w:pPr>
                  <w:r>
                    <w:rPr>
                      <w:color w:val="auto"/>
                      <w:szCs w:val="21"/>
                      <w:highlight w:val="none"/>
                    </w:rPr>
                    <w:t>在城镇</w:t>
                  </w:r>
                  <w:r>
                    <w:rPr>
                      <w:rFonts w:hint="eastAsia"/>
                      <w:color w:val="auto"/>
                      <w:szCs w:val="21"/>
                      <w:highlight w:val="none"/>
                      <w:lang w:eastAsia="zh-CN"/>
                    </w:rPr>
                    <w:t>水体</w:t>
                  </w:r>
                  <w:r>
                    <w:rPr>
                      <w:color w:val="auto"/>
                      <w:szCs w:val="21"/>
                      <w:highlight w:val="none"/>
                    </w:rPr>
                    <w:t>下游</w:t>
                  </w:r>
                </w:p>
              </w:tc>
              <w:tc>
                <w:tcPr>
                  <w:tcW w:w="4167" w:type="dxa"/>
                  <w:tcBorders>
                    <w:tl2br w:val="nil"/>
                    <w:tr2bl w:val="nil"/>
                  </w:tcBorders>
                  <w:noWrap w:val="0"/>
                  <w:vAlign w:val="center"/>
                </w:tcPr>
                <w:p w14:paraId="4F4EAE96">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本项目</w:t>
                  </w:r>
                  <w:r>
                    <w:rPr>
                      <w:rFonts w:hint="eastAsia" w:cs="Times New Roman"/>
                      <w:color w:val="auto"/>
                      <w:szCs w:val="21"/>
                      <w:highlight w:val="none"/>
                      <w:lang w:eastAsia="zh-CN"/>
                    </w:rPr>
                    <w:t>为城镇污水处理厂项目，选址位于溢水河</w:t>
                  </w:r>
                  <w:r>
                    <w:rPr>
                      <w:rFonts w:hint="default" w:ascii="Times New Roman" w:hAnsi="Times New Roman" w:eastAsia="宋体" w:cs="Times New Roman"/>
                      <w:color w:val="auto"/>
                      <w:szCs w:val="21"/>
                      <w:highlight w:val="none"/>
                    </w:rPr>
                    <w:t>下游</w:t>
                  </w:r>
                  <w:r>
                    <w:rPr>
                      <w:rFonts w:hint="eastAsia" w:cs="Times New Roman"/>
                      <w:color w:val="auto"/>
                      <w:szCs w:val="21"/>
                      <w:highlight w:val="none"/>
                      <w:lang w:eastAsia="zh-CN"/>
                    </w:rPr>
                    <w:t>方向。</w:t>
                  </w:r>
                </w:p>
              </w:tc>
            </w:tr>
            <w:tr w14:paraId="0FE66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17AAC849">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600" w:type="dxa"/>
                  <w:tcBorders>
                    <w:tl2br w:val="nil"/>
                    <w:tr2bl w:val="nil"/>
                  </w:tcBorders>
                  <w:noWrap w:val="0"/>
                  <w:vAlign w:val="center"/>
                </w:tcPr>
                <w:p w14:paraId="37FCF8CA">
                  <w:pPr>
                    <w:kinsoku w:val="0"/>
                    <w:overflowPunct w:val="0"/>
                    <w:autoSpaceDE w:val="0"/>
                    <w:autoSpaceDN w:val="0"/>
                    <w:adjustRightInd w:val="0"/>
                    <w:snapToGrid w:val="0"/>
                    <w:rPr>
                      <w:rFonts w:hint="default" w:ascii="Times New Roman" w:hAnsi="Times New Roman" w:cs="Times New Roman"/>
                      <w:color w:val="auto"/>
                      <w:szCs w:val="21"/>
                      <w:highlight w:val="none"/>
                    </w:rPr>
                  </w:pPr>
                  <w:r>
                    <w:rPr>
                      <w:rFonts w:hint="eastAsia"/>
                      <w:color w:val="auto"/>
                      <w:szCs w:val="21"/>
                      <w:highlight w:val="none"/>
                    </w:rPr>
                    <w:t>便于污水收集和处理再生后回用和安全排放</w:t>
                  </w:r>
                </w:p>
              </w:tc>
              <w:tc>
                <w:tcPr>
                  <w:tcW w:w="4167" w:type="dxa"/>
                  <w:tcBorders>
                    <w:tl2br w:val="nil"/>
                    <w:tr2bl w:val="nil"/>
                  </w:tcBorders>
                  <w:noWrap w:val="0"/>
                  <w:vAlign w:val="center"/>
                </w:tcPr>
                <w:p w14:paraId="1B279BC4">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项目</w:t>
                  </w:r>
                  <w:r>
                    <w:rPr>
                      <w:rFonts w:hint="eastAsia" w:cs="Times New Roman"/>
                      <w:color w:val="auto"/>
                      <w:szCs w:val="21"/>
                      <w:highlight w:val="none"/>
                      <w:lang w:eastAsia="zh-CN"/>
                    </w:rPr>
                    <w:t>生活</w:t>
                  </w:r>
                  <w:r>
                    <w:rPr>
                      <w:rFonts w:hint="default" w:ascii="Times New Roman" w:hAnsi="Times New Roman" w:eastAsia="宋体" w:cs="Times New Roman"/>
                      <w:color w:val="auto"/>
                      <w:szCs w:val="21"/>
                      <w:highlight w:val="none"/>
                    </w:rPr>
                    <w:t>污水处理达标后</w:t>
                  </w:r>
                  <w:r>
                    <w:rPr>
                      <w:rFonts w:hint="default" w:ascii="Times New Roman" w:hAnsi="Times New Roman" w:eastAsia="宋体" w:cs="Times New Roman"/>
                      <w:color w:val="auto"/>
                      <w:szCs w:val="21"/>
                      <w:highlight w:val="none"/>
                      <w:lang w:eastAsia="zh-CN"/>
                    </w:rPr>
                    <w:t>经</w:t>
                  </w:r>
                  <w:r>
                    <w:rPr>
                      <w:rFonts w:hint="default" w:ascii="Times New Roman" w:hAnsi="Times New Roman" w:eastAsia="宋体" w:cs="Times New Roman"/>
                      <w:color w:val="auto"/>
                      <w:szCs w:val="21"/>
                      <w:highlight w:val="none"/>
                      <w:lang w:val="en-US" w:eastAsia="zh-CN"/>
                    </w:rPr>
                    <w:t>入河</w:t>
                  </w:r>
                  <w:r>
                    <w:rPr>
                      <w:rFonts w:hint="default" w:ascii="Times New Roman" w:hAnsi="Times New Roman" w:eastAsia="宋体" w:cs="Times New Roman"/>
                      <w:color w:val="auto"/>
                      <w:szCs w:val="21"/>
                      <w:highlight w:val="none"/>
                      <w:lang w:eastAsia="zh-CN"/>
                    </w:rPr>
                    <w:t>排污口</w:t>
                  </w:r>
                  <w:r>
                    <w:rPr>
                      <w:rFonts w:hint="default" w:ascii="Times New Roman" w:hAnsi="Times New Roman" w:eastAsia="宋体" w:cs="Times New Roman"/>
                      <w:color w:val="auto"/>
                      <w:szCs w:val="21"/>
                      <w:highlight w:val="none"/>
                    </w:rPr>
                    <w:t>排入</w:t>
                  </w:r>
                  <w:r>
                    <w:rPr>
                      <w:rFonts w:hint="default" w:ascii="Times New Roman" w:hAnsi="Times New Roman" w:eastAsia="宋体" w:cs="Times New Roman"/>
                      <w:color w:val="auto"/>
                      <w:szCs w:val="21"/>
                      <w:highlight w:val="none"/>
                      <w:lang w:val="en-US" w:eastAsia="zh-CN"/>
                    </w:rPr>
                    <w:t>东</w:t>
                  </w:r>
                  <w:r>
                    <w:rPr>
                      <w:rFonts w:hint="default" w:ascii="Times New Roman" w:hAnsi="Times New Roman" w:eastAsia="宋体" w:cs="Times New Roman"/>
                      <w:color w:val="auto"/>
                      <w:szCs w:val="21"/>
                      <w:highlight w:val="none"/>
                    </w:rPr>
                    <w:t>侧</w:t>
                  </w:r>
                  <w:r>
                    <w:rPr>
                      <w:rFonts w:hint="eastAsia" w:cs="Times New Roman"/>
                      <w:color w:val="auto"/>
                      <w:szCs w:val="21"/>
                      <w:highlight w:val="none"/>
                      <w:lang w:eastAsia="zh-CN"/>
                    </w:rPr>
                    <w:t>溢水</w:t>
                  </w:r>
                  <w:r>
                    <w:rPr>
                      <w:rFonts w:hint="default" w:ascii="Times New Roman" w:hAnsi="Times New Roman" w:eastAsia="宋体" w:cs="Times New Roman"/>
                      <w:color w:val="auto"/>
                      <w:szCs w:val="21"/>
                      <w:highlight w:val="none"/>
                      <w:lang w:eastAsia="zh-CN"/>
                    </w:rPr>
                    <w:t>河</w:t>
                  </w:r>
                  <w:r>
                    <w:rPr>
                      <w:rFonts w:hint="eastAsia" w:cs="Times New Roman"/>
                      <w:color w:val="auto"/>
                      <w:szCs w:val="21"/>
                      <w:highlight w:val="none"/>
                      <w:lang w:eastAsia="zh-CN"/>
                    </w:rPr>
                    <w:t>。</w:t>
                  </w:r>
                </w:p>
              </w:tc>
            </w:tr>
            <w:tr w14:paraId="30507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383870F6">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2600" w:type="dxa"/>
                  <w:tcBorders>
                    <w:tl2br w:val="nil"/>
                    <w:tr2bl w:val="nil"/>
                  </w:tcBorders>
                  <w:noWrap w:val="0"/>
                  <w:vAlign w:val="center"/>
                </w:tcPr>
                <w:p w14:paraId="4F09E675">
                  <w:pPr>
                    <w:kinsoku w:val="0"/>
                    <w:overflowPunct w:val="0"/>
                    <w:autoSpaceDE w:val="0"/>
                    <w:autoSpaceDN w:val="0"/>
                    <w:adjustRightInd w:val="0"/>
                    <w:snapToGrid w:val="0"/>
                    <w:rPr>
                      <w:rFonts w:hint="default" w:ascii="Times New Roman" w:hAnsi="Times New Roman" w:cs="Times New Roman"/>
                      <w:color w:val="auto"/>
                      <w:szCs w:val="21"/>
                      <w:highlight w:val="none"/>
                    </w:rPr>
                  </w:pPr>
                  <w:r>
                    <w:rPr>
                      <w:rFonts w:hint="eastAsia"/>
                      <w:color w:val="auto"/>
                      <w:szCs w:val="21"/>
                      <w:highlight w:val="none"/>
                    </w:rPr>
                    <w:t>便于污泥集中处理和处置</w:t>
                  </w:r>
                </w:p>
              </w:tc>
              <w:tc>
                <w:tcPr>
                  <w:tcW w:w="4167" w:type="dxa"/>
                  <w:tcBorders>
                    <w:tl2br w:val="nil"/>
                    <w:tr2bl w:val="nil"/>
                  </w:tcBorders>
                  <w:noWrap w:val="0"/>
                  <w:vAlign w:val="center"/>
                </w:tcPr>
                <w:p w14:paraId="1558CDB8">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本项目污泥</w:t>
                  </w:r>
                  <w:r>
                    <w:rPr>
                      <w:rFonts w:hint="default" w:ascii="Times New Roman" w:hAnsi="Times New Roman" w:eastAsia="宋体" w:cs="Times New Roman"/>
                      <w:color w:val="auto"/>
                      <w:szCs w:val="21"/>
                      <w:highlight w:val="none"/>
                      <w:lang w:val="en-US" w:eastAsia="zh-CN"/>
                    </w:rPr>
                    <w:t>经</w:t>
                  </w:r>
                  <w:r>
                    <w:rPr>
                      <w:rFonts w:hint="eastAsia" w:cs="Times New Roman"/>
                      <w:color w:val="auto"/>
                      <w:szCs w:val="21"/>
                      <w:highlight w:val="none"/>
                      <w:lang w:val="en-US" w:eastAsia="zh-CN"/>
                    </w:rPr>
                    <w:t>浓缩+脱水</w:t>
                  </w:r>
                  <w:r>
                    <w:rPr>
                      <w:rFonts w:hint="default" w:ascii="Times New Roman" w:hAnsi="Times New Roman" w:eastAsia="宋体" w:cs="Times New Roman"/>
                      <w:color w:val="auto"/>
                      <w:szCs w:val="21"/>
                      <w:highlight w:val="none"/>
                    </w:rPr>
                    <w:t>后委托专业单位运至</w:t>
                  </w:r>
                  <w:r>
                    <w:rPr>
                      <w:rFonts w:hint="eastAsia" w:cs="Times New Roman"/>
                      <w:color w:val="auto"/>
                      <w:szCs w:val="21"/>
                      <w:highlight w:val="none"/>
                      <w:lang w:val="en-US" w:eastAsia="zh-CN"/>
                    </w:rPr>
                    <w:t>洋</w:t>
                  </w:r>
                  <w:r>
                    <w:rPr>
                      <w:rFonts w:hint="default" w:ascii="Times New Roman" w:hAnsi="Times New Roman" w:eastAsia="宋体" w:cs="Times New Roman"/>
                      <w:color w:val="auto"/>
                      <w:szCs w:val="21"/>
                      <w:highlight w:val="none"/>
                    </w:rPr>
                    <w:t>县垃圾填埋场填埋处置</w:t>
                  </w:r>
                  <w:r>
                    <w:rPr>
                      <w:rFonts w:hint="eastAsia" w:cs="Times New Roman"/>
                      <w:color w:val="auto"/>
                      <w:szCs w:val="21"/>
                      <w:highlight w:val="none"/>
                      <w:lang w:eastAsia="zh-CN"/>
                    </w:rPr>
                    <w:t>。</w:t>
                  </w:r>
                </w:p>
              </w:tc>
            </w:tr>
            <w:tr w14:paraId="53AA16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0512C2F7">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2600" w:type="dxa"/>
                  <w:tcBorders>
                    <w:tl2br w:val="nil"/>
                    <w:tr2bl w:val="nil"/>
                  </w:tcBorders>
                  <w:noWrap w:val="0"/>
                  <w:vAlign w:val="center"/>
                </w:tcPr>
                <w:p w14:paraId="0C64F74F">
                  <w:pPr>
                    <w:kinsoku w:val="0"/>
                    <w:overflowPunct w:val="0"/>
                    <w:autoSpaceDE w:val="0"/>
                    <w:autoSpaceDN w:val="0"/>
                    <w:adjustRightInd w:val="0"/>
                    <w:snapToGrid w:val="0"/>
                    <w:rPr>
                      <w:rFonts w:hint="default" w:ascii="Times New Roman" w:hAnsi="Times New Roman" w:cs="Times New Roman"/>
                      <w:color w:val="auto"/>
                      <w:szCs w:val="21"/>
                      <w:highlight w:val="none"/>
                    </w:rPr>
                  </w:pPr>
                  <w:r>
                    <w:rPr>
                      <w:color w:val="auto"/>
                      <w:szCs w:val="21"/>
                      <w:highlight w:val="none"/>
                    </w:rPr>
                    <w:t>在城镇夏季主导风向的下风侧</w:t>
                  </w:r>
                </w:p>
              </w:tc>
              <w:tc>
                <w:tcPr>
                  <w:tcW w:w="4167" w:type="dxa"/>
                  <w:tcBorders>
                    <w:tl2br w:val="nil"/>
                    <w:tr2bl w:val="nil"/>
                  </w:tcBorders>
                  <w:noWrap w:val="0"/>
                  <w:vAlign w:val="center"/>
                </w:tcPr>
                <w:p w14:paraId="2279CDF7">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eastAsia="zh-CN"/>
                    </w:rPr>
                  </w:pPr>
                  <w:r>
                    <w:rPr>
                      <w:rFonts w:hint="eastAsia"/>
                      <w:color w:val="auto"/>
                      <w:szCs w:val="21"/>
                      <w:highlight w:val="none"/>
                    </w:rPr>
                    <w:t>经调查，本项目所在区域夏季主导风向为东风，故厂区选址位于下风向</w:t>
                  </w:r>
                  <w:r>
                    <w:rPr>
                      <w:rFonts w:hint="eastAsia" w:cs="Times New Roman"/>
                      <w:color w:val="auto"/>
                      <w:szCs w:val="21"/>
                      <w:highlight w:val="none"/>
                      <w:lang w:eastAsia="zh-CN"/>
                    </w:rPr>
                    <w:t>。</w:t>
                  </w:r>
                </w:p>
              </w:tc>
            </w:tr>
            <w:tr w14:paraId="3D854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75A63EB0">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2600" w:type="dxa"/>
                  <w:tcBorders>
                    <w:tl2br w:val="nil"/>
                    <w:tr2bl w:val="nil"/>
                  </w:tcBorders>
                  <w:noWrap w:val="0"/>
                  <w:vAlign w:val="center"/>
                </w:tcPr>
                <w:p w14:paraId="71D7E77C">
                  <w:pPr>
                    <w:kinsoku w:val="0"/>
                    <w:overflowPunct w:val="0"/>
                    <w:autoSpaceDE w:val="0"/>
                    <w:autoSpaceDN w:val="0"/>
                    <w:adjustRightInd w:val="0"/>
                    <w:snapToGrid w:val="0"/>
                    <w:rPr>
                      <w:rFonts w:hint="default" w:ascii="Times New Roman" w:hAnsi="Times New Roman" w:eastAsia="宋体" w:cs="Times New Roman"/>
                      <w:color w:val="auto"/>
                      <w:szCs w:val="21"/>
                      <w:highlight w:val="none"/>
                    </w:rPr>
                  </w:pPr>
                  <w:r>
                    <w:rPr>
                      <w:color w:val="auto"/>
                      <w:szCs w:val="21"/>
                      <w:highlight w:val="none"/>
                    </w:rPr>
                    <w:t>有良好的工程地质条件</w:t>
                  </w:r>
                </w:p>
              </w:tc>
              <w:tc>
                <w:tcPr>
                  <w:tcW w:w="4167" w:type="dxa"/>
                  <w:tcBorders>
                    <w:tl2br w:val="nil"/>
                    <w:tr2bl w:val="nil"/>
                  </w:tcBorders>
                  <w:noWrap w:val="0"/>
                  <w:vAlign w:val="center"/>
                </w:tcPr>
                <w:p w14:paraId="0E03EDAB">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经现场调查，项目区工程地质条件良好。</w:t>
                  </w:r>
                </w:p>
              </w:tc>
            </w:tr>
            <w:tr w14:paraId="41D0C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38FF90ED">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2600" w:type="dxa"/>
                  <w:tcBorders>
                    <w:tl2br w:val="nil"/>
                    <w:tr2bl w:val="nil"/>
                  </w:tcBorders>
                  <w:noWrap w:val="0"/>
                  <w:vAlign w:val="center"/>
                </w:tcPr>
                <w:p w14:paraId="1BAC62FB">
                  <w:pPr>
                    <w:kinsoku w:val="0"/>
                    <w:overflowPunct w:val="0"/>
                    <w:autoSpaceDE w:val="0"/>
                    <w:autoSpaceDN w:val="0"/>
                    <w:adjustRightInd w:val="0"/>
                    <w:snapToGrid w:val="0"/>
                    <w:rPr>
                      <w:rFonts w:hint="default" w:ascii="Times New Roman" w:hAnsi="Times New Roman" w:eastAsia="宋体" w:cs="Times New Roman"/>
                      <w:color w:val="auto"/>
                      <w:szCs w:val="21"/>
                      <w:highlight w:val="none"/>
                    </w:rPr>
                  </w:pPr>
                  <w:r>
                    <w:rPr>
                      <w:color w:val="auto"/>
                      <w:szCs w:val="21"/>
                      <w:highlight w:val="none"/>
                    </w:rPr>
                    <w:t>少拆迁，少占地</w:t>
                  </w:r>
                </w:p>
              </w:tc>
              <w:tc>
                <w:tcPr>
                  <w:tcW w:w="4167" w:type="dxa"/>
                  <w:tcBorders>
                    <w:tl2br w:val="nil"/>
                    <w:tr2bl w:val="nil"/>
                  </w:tcBorders>
                  <w:noWrap w:val="0"/>
                  <w:vAlign w:val="center"/>
                </w:tcPr>
                <w:p w14:paraId="02393ECA">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本项目污水处理厂选址现为废弃的</w:t>
                  </w:r>
                  <w:r>
                    <w:rPr>
                      <w:rFonts w:hint="eastAsia" w:cs="Times New Roman"/>
                      <w:color w:val="auto"/>
                      <w:szCs w:val="21"/>
                      <w:highlight w:val="none"/>
                      <w:lang w:val="en-US" w:eastAsia="zh-CN"/>
                    </w:rPr>
                    <w:t>预制件</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占地面积小，</w:t>
                  </w:r>
                  <w:r>
                    <w:rPr>
                      <w:rFonts w:hint="eastAsia" w:cs="Times New Roman"/>
                      <w:color w:val="auto"/>
                      <w:szCs w:val="21"/>
                      <w:highlight w:val="none"/>
                      <w:lang w:eastAsia="zh-CN"/>
                    </w:rPr>
                    <w:t>且</w:t>
                  </w:r>
                  <w:r>
                    <w:rPr>
                      <w:rFonts w:hint="default" w:ascii="Times New Roman" w:hAnsi="Times New Roman" w:cs="Times New Roman"/>
                      <w:color w:val="auto"/>
                      <w:szCs w:val="21"/>
                      <w:highlight w:val="none"/>
                    </w:rPr>
                    <w:t>不涉及住户拆迁</w:t>
                  </w:r>
                  <w:r>
                    <w:rPr>
                      <w:rFonts w:hint="eastAsia" w:cs="Times New Roman"/>
                      <w:color w:val="auto"/>
                      <w:szCs w:val="21"/>
                      <w:highlight w:val="none"/>
                      <w:lang w:eastAsia="zh-CN"/>
                    </w:rPr>
                    <w:t>。</w:t>
                  </w:r>
                </w:p>
              </w:tc>
            </w:tr>
            <w:tr w14:paraId="1BD12B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58C8F766">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2600" w:type="dxa"/>
                  <w:tcBorders>
                    <w:tl2br w:val="nil"/>
                    <w:tr2bl w:val="nil"/>
                  </w:tcBorders>
                  <w:noWrap w:val="0"/>
                  <w:vAlign w:val="center"/>
                </w:tcPr>
                <w:p w14:paraId="6FBF0BAC">
                  <w:pPr>
                    <w:kinsoku w:val="0"/>
                    <w:overflowPunct w:val="0"/>
                    <w:autoSpaceDE w:val="0"/>
                    <w:autoSpaceDN w:val="0"/>
                    <w:adjustRightInd w:val="0"/>
                    <w:snapToGrid w:val="0"/>
                    <w:rPr>
                      <w:rFonts w:hint="default" w:ascii="Times New Roman" w:hAnsi="Times New Roman" w:eastAsia="宋体" w:cs="Times New Roman"/>
                      <w:color w:val="auto"/>
                      <w:szCs w:val="21"/>
                      <w:highlight w:val="none"/>
                    </w:rPr>
                  </w:pPr>
                  <w:r>
                    <w:rPr>
                      <w:rFonts w:hint="eastAsia"/>
                      <w:color w:val="auto"/>
                      <w:szCs w:val="21"/>
                      <w:highlight w:val="none"/>
                    </w:rPr>
                    <w:t>有扩建的可能</w:t>
                  </w:r>
                </w:p>
              </w:tc>
              <w:tc>
                <w:tcPr>
                  <w:tcW w:w="4167" w:type="dxa"/>
                  <w:tcBorders>
                    <w:tl2br w:val="nil"/>
                    <w:tr2bl w:val="nil"/>
                  </w:tcBorders>
                  <w:noWrap w:val="0"/>
                  <w:vAlign w:val="center"/>
                </w:tcPr>
                <w:p w14:paraId="3CD52653">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随着</w:t>
                  </w:r>
                  <w:r>
                    <w:rPr>
                      <w:rFonts w:hint="eastAsia" w:ascii="Times New Roman" w:hAnsi="Times New Roman" w:eastAsia="宋体" w:cs="Times New Roman"/>
                      <w:color w:val="auto"/>
                      <w:szCs w:val="21"/>
                      <w:highlight w:val="none"/>
                      <w:lang w:eastAsia="zh-CN"/>
                    </w:rPr>
                    <w:t>配套</w:t>
                  </w:r>
                  <w:r>
                    <w:rPr>
                      <w:rFonts w:hint="eastAsia" w:cs="Times New Roman"/>
                      <w:color w:val="auto"/>
                      <w:szCs w:val="21"/>
                      <w:highlight w:val="none"/>
                      <w:lang w:eastAsia="zh-CN"/>
                    </w:rPr>
                    <w:t>污水</w:t>
                  </w:r>
                  <w:r>
                    <w:rPr>
                      <w:rFonts w:hint="eastAsia" w:ascii="Times New Roman" w:hAnsi="Times New Roman" w:eastAsia="宋体" w:cs="Times New Roman"/>
                      <w:color w:val="auto"/>
                      <w:szCs w:val="21"/>
                      <w:highlight w:val="none"/>
                      <w:lang w:eastAsia="zh-CN"/>
                    </w:rPr>
                    <w:t>管网更完备，可依托现有污水处理设施</w:t>
                  </w:r>
                  <w:r>
                    <w:rPr>
                      <w:rFonts w:hint="eastAsia" w:cs="Times New Roman"/>
                      <w:color w:val="auto"/>
                      <w:szCs w:val="21"/>
                      <w:highlight w:val="none"/>
                      <w:lang w:eastAsia="zh-CN"/>
                    </w:rPr>
                    <w:t>进行</w:t>
                  </w:r>
                  <w:r>
                    <w:rPr>
                      <w:rFonts w:hint="eastAsia" w:ascii="Times New Roman" w:hAnsi="Times New Roman" w:eastAsia="宋体" w:cs="Times New Roman"/>
                      <w:color w:val="auto"/>
                      <w:szCs w:val="21"/>
                      <w:highlight w:val="none"/>
                      <w:lang w:eastAsia="zh-CN"/>
                    </w:rPr>
                    <w:t>适当扩建</w:t>
                  </w:r>
                  <w:r>
                    <w:rPr>
                      <w:rFonts w:hint="eastAsia" w:cs="Times New Roman"/>
                      <w:color w:val="auto"/>
                      <w:szCs w:val="21"/>
                      <w:highlight w:val="none"/>
                      <w:lang w:eastAsia="zh-CN"/>
                    </w:rPr>
                    <w:t>。</w:t>
                  </w:r>
                </w:p>
              </w:tc>
            </w:tr>
            <w:tr w14:paraId="7F596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78FB433E">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2600" w:type="dxa"/>
                  <w:tcBorders>
                    <w:tl2br w:val="nil"/>
                    <w:tr2bl w:val="nil"/>
                  </w:tcBorders>
                  <w:noWrap w:val="0"/>
                  <w:vAlign w:val="center"/>
                </w:tcPr>
                <w:p w14:paraId="354C3054">
                  <w:pPr>
                    <w:kinsoku w:val="0"/>
                    <w:overflowPunct w:val="0"/>
                    <w:autoSpaceDE w:val="0"/>
                    <w:autoSpaceDN w:val="0"/>
                    <w:adjustRightInd w:val="0"/>
                    <w:snapToGrid w:val="0"/>
                    <w:rPr>
                      <w:rFonts w:hint="default" w:ascii="Times New Roman" w:hAnsi="Times New Roman" w:eastAsia="宋体" w:cs="Times New Roman"/>
                      <w:color w:val="auto"/>
                      <w:szCs w:val="21"/>
                      <w:highlight w:val="none"/>
                    </w:rPr>
                  </w:pPr>
                  <w:r>
                    <w:rPr>
                      <w:color w:val="auto"/>
                      <w:szCs w:val="21"/>
                      <w:highlight w:val="none"/>
                    </w:rPr>
                    <w:t>厂区地形不应受洪涝灾害影响，防洪标准不应低于城镇防洪标准，有良好的排水条件</w:t>
                  </w:r>
                </w:p>
              </w:tc>
              <w:tc>
                <w:tcPr>
                  <w:tcW w:w="4167" w:type="dxa"/>
                  <w:tcBorders>
                    <w:tl2br w:val="nil"/>
                    <w:tr2bl w:val="nil"/>
                  </w:tcBorders>
                  <w:noWrap w:val="0"/>
                  <w:vAlign w:val="center"/>
                </w:tcPr>
                <w:p w14:paraId="0B42193B">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default" w:ascii="Times New Roman" w:hAnsi="Times New Roman" w:cs="Times New Roman"/>
                      <w:color w:val="auto"/>
                      <w:szCs w:val="21"/>
                      <w:highlight w:val="none"/>
                    </w:rPr>
                  </w:pPr>
                  <w:r>
                    <w:rPr>
                      <w:rFonts w:hint="eastAsia"/>
                      <w:color w:val="auto"/>
                      <w:highlight w:val="none"/>
                    </w:rPr>
                    <w:t>项目区东侧为</w:t>
                  </w:r>
                  <w:r>
                    <w:rPr>
                      <w:rFonts w:hint="eastAsia"/>
                      <w:color w:val="auto"/>
                      <w:highlight w:val="none"/>
                      <w:lang w:eastAsia="zh-CN"/>
                    </w:rPr>
                    <w:t>溢水</w:t>
                  </w:r>
                  <w:r>
                    <w:rPr>
                      <w:rFonts w:hint="eastAsia"/>
                      <w:color w:val="auto"/>
                      <w:highlight w:val="none"/>
                    </w:rPr>
                    <w:t>河，直线距离约</w:t>
                  </w:r>
                  <w:r>
                    <w:rPr>
                      <w:rFonts w:hint="eastAsia"/>
                      <w:color w:val="auto"/>
                      <w:highlight w:val="none"/>
                      <w:lang w:val="en-US" w:eastAsia="zh-CN"/>
                    </w:rPr>
                    <w:t>50</w:t>
                  </w:r>
                  <w:r>
                    <w:rPr>
                      <w:rFonts w:hint="eastAsia"/>
                      <w:color w:val="auto"/>
                      <w:highlight w:val="none"/>
                    </w:rPr>
                    <w:t>m</w:t>
                  </w:r>
                  <w:r>
                    <w:rPr>
                      <w:rFonts w:hint="eastAsia"/>
                      <w:color w:val="auto"/>
                      <w:highlight w:val="none"/>
                      <w:lang w:eastAsia="zh-CN"/>
                    </w:rPr>
                    <w:t>；现场踏勘时，附近河道区域正进行防洪工程建设，故本项目建成投运后</w:t>
                  </w:r>
                  <w:r>
                    <w:rPr>
                      <w:rFonts w:hint="eastAsia"/>
                      <w:color w:val="auto"/>
                      <w:highlight w:val="none"/>
                    </w:rPr>
                    <w:t>不易发生洪涝灾害；此外，</w:t>
                  </w:r>
                  <w:r>
                    <w:rPr>
                      <w:rFonts w:hint="eastAsia"/>
                      <w:color w:val="auto"/>
                      <w:highlight w:val="none"/>
                      <w:lang w:eastAsia="zh-CN"/>
                    </w:rPr>
                    <w:t>结合设计资料可知，</w:t>
                  </w:r>
                  <w:r>
                    <w:rPr>
                      <w:rFonts w:hint="eastAsia"/>
                      <w:color w:val="auto"/>
                      <w:highlight w:val="none"/>
                    </w:rPr>
                    <w:t>厂区内具备良好的排水条件。</w:t>
                  </w:r>
                </w:p>
              </w:tc>
            </w:tr>
            <w:tr w14:paraId="041754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10ADE4D7">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w:t>
                  </w:r>
                </w:p>
              </w:tc>
              <w:tc>
                <w:tcPr>
                  <w:tcW w:w="2600" w:type="dxa"/>
                  <w:tcBorders>
                    <w:tl2br w:val="nil"/>
                    <w:tr2bl w:val="nil"/>
                  </w:tcBorders>
                  <w:noWrap w:val="0"/>
                  <w:vAlign w:val="center"/>
                </w:tcPr>
                <w:p w14:paraId="3F822B2B">
                  <w:pPr>
                    <w:kinsoku w:val="0"/>
                    <w:overflowPunct w:val="0"/>
                    <w:autoSpaceDE w:val="0"/>
                    <w:autoSpaceDN w:val="0"/>
                    <w:adjustRightInd w:val="0"/>
                    <w:snapToGrid w:val="0"/>
                    <w:rPr>
                      <w:rFonts w:hint="default" w:ascii="Times New Roman" w:hAnsi="Times New Roman" w:eastAsia="宋体" w:cs="Times New Roman"/>
                      <w:color w:val="auto"/>
                      <w:szCs w:val="21"/>
                      <w:highlight w:val="none"/>
                    </w:rPr>
                  </w:pPr>
                  <w:r>
                    <w:rPr>
                      <w:color w:val="auto"/>
                      <w:szCs w:val="21"/>
                      <w:highlight w:val="none"/>
                    </w:rPr>
                    <w:t>有方便的交通、运输和水电条件</w:t>
                  </w:r>
                </w:p>
              </w:tc>
              <w:tc>
                <w:tcPr>
                  <w:tcW w:w="4167" w:type="dxa"/>
                  <w:tcBorders>
                    <w:tl2br w:val="nil"/>
                    <w:tr2bl w:val="nil"/>
                  </w:tcBorders>
                  <w:noWrap w:val="0"/>
                  <w:vAlign w:val="center"/>
                </w:tcPr>
                <w:p w14:paraId="520FD9E3">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w:t>
                  </w:r>
                  <w:r>
                    <w:rPr>
                      <w:rFonts w:hint="eastAsia" w:cs="Times New Roman"/>
                      <w:color w:val="auto"/>
                      <w:szCs w:val="21"/>
                      <w:highlight w:val="none"/>
                      <w:lang w:eastAsia="zh-CN"/>
                    </w:rPr>
                    <w:t>地附近有村道及乡镇道路分布，便于车辆通行；此外，项目</w:t>
                  </w:r>
                  <w:r>
                    <w:rPr>
                      <w:rFonts w:hint="default" w:ascii="Times New Roman" w:hAnsi="Times New Roman" w:cs="Times New Roman"/>
                      <w:color w:val="auto"/>
                      <w:szCs w:val="21"/>
                      <w:highlight w:val="none"/>
                    </w:rPr>
                    <w:t>周</w:t>
                  </w:r>
                  <w:r>
                    <w:rPr>
                      <w:rFonts w:hint="eastAsia" w:cs="Times New Roman"/>
                      <w:color w:val="auto"/>
                      <w:szCs w:val="21"/>
                      <w:highlight w:val="none"/>
                      <w:lang w:eastAsia="zh-CN"/>
                    </w:rPr>
                    <w:t>边</w:t>
                  </w:r>
                  <w:r>
                    <w:rPr>
                      <w:rFonts w:hint="default" w:ascii="Times New Roman" w:hAnsi="Times New Roman" w:cs="Times New Roman"/>
                      <w:color w:val="auto"/>
                      <w:szCs w:val="21"/>
                      <w:highlight w:val="none"/>
                    </w:rPr>
                    <w:t>水电齐全</w:t>
                  </w:r>
                  <w:r>
                    <w:rPr>
                      <w:rFonts w:hint="eastAsia" w:cs="Times New Roman"/>
                      <w:color w:val="auto"/>
                      <w:szCs w:val="21"/>
                      <w:highlight w:val="none"/>
                      <w:lang w:eastAsia="zh-CN"/>
                    </w:rPr>
                    <w:t>。</w:t>
                  </w:r>
                </w:p>
              </w:tc>
            </w:tr>
            <w:tr w14:paraId="717A6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tcBorders>
                    <w:tl2br w:val="nil"/>
                    <w:tr2bl w:val="nil"/>
                  </w:tcBorders>
                  <w:noWrap w:val="0"/>
                  <w:vAlign w:val="center"/>
                </w:tcPr>
                <w:p w14:paraId="53370869">
                  <w:pPr>
                    <w:keepNext w:val="0"/>
                    <w:keepLines w:val="0"/>
                    <w:pageBreakBefore w:val="0"/>
                    <w:widowControl w:val="0"/>
                    <w:kinsoku w:val="0"/>
                    <w:wordWrap/>
                    <w:overflowPunct w:val="0"/>
                    <w:topLinePunct w:val="0"/>
                    <w:autoSpaceDE w:val="0"/>
                    <w:autoSpaceDN w:val="0"/>
                    <w:bidi w:val="0"/>
                    <w:adjustRightInd w:val="0"/>
                    <w:snapToGrid w:val="0"/>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10</w:t>
                  </w:r>
                </w:p>
              </w:tc>
              <w:tc>
                <w:tcPr>
                  <w:tcW w:w="2600" w:type="dxa"/>
                  <w:tcBorders>
                    <w:tl2br w:val="nil"/>
                    <w:tr2bl w:val="nil"/>
                  </w:tcBorders>
                  <w:noWrap w:val="0"/>
                  <w:vAlign w:val="center"/>
                </w:tcPr>
                <w:p w14:paraId="67E30AD4">
                  <w:pPr>
                    <w:kinsoku w:val="0"/>
                    <w:overflowPunct w:val="0"/>
                    <w:autoSpaceDE w:val="0"/>
                    <w:autoSpaceDN w:val="0"/>
                    <w:adjustRightInd w:val="0"/>
                    <w:snapToGrid w:val="0"/>
                    <w:rPr>
                      <w:color w:val="auto"/>
                      <w:szCs w:val="21"/>
                      <w:highlight w:val="none"/>
                    </w:rPr>
                  </w:pPr>
                  <w:r>
                    <w:rPr>
                      <w:rFonts w:hint="eastAsia"/>
                      <w:color w:val="auto"/>
                      <w:highlight w:val="none"/>
                    </w:rPr>
                    <w:t>独立设置的污泥处理厂</w:t>
                  </w:r>
                  <w:r>
                    <w:rPr>
                      <w:rFonts w:hint="eastAsia"/>
                      <w:color w:val="auto"/>
                      <w:highlight w:val="none"/>
                      <w:lang w:eastAsia="zh-CN"/>
                    </w:rPr>
                    <w:t>，</w:t>
                  </w:r>
                  <w:r>
                    <w:rPr>
                      <w:rFonts w:hint="eastAsia"/>
                      <w:color w:val="auto"/>
                      <w:highlight w:val="none"/>
                    </w:rPr>
                    <w:t>还应有满足生产需要的燃气、热力、污水处理及其排放系统等设施条件</w:t>
                  </w:r>
                </w:p>
              </w:tc>
              <w:tc>
                <w:tcPr>
                  <w:tcW w:w="4167" w:type="dxa"/>
                  <w:tcBorders>
                    <w:tl2br w:val="nil"/>
                    <w:tr2bl w:val="nil"/>
                  </w:tcBorders>
                  <w:noWrap w:val="0"/>
                  <w:vAlign w:val="center"/>
                </w:tcPr>
                <w:p w14:paraId="79A9E042">
                  <w:pPr>
                    <w:keepNext w:val="0"/>
                    <w:keepLines w:val="0"/>
                    <w:pageBreakBefore w:val="0"/>
                    <w:widowControl w:val="0"/>
                    <w:kinsoku w:val="0"/>
                    <w:wordWrap/>
                    <w:overflowPunct w:val="0"/>
                    <w:topLinePunct w:val="0"/>
                    <w:autoSpaceDE w:val="0"/>
                    <w:autoSpaceDN w:val="0"/>
                    <w:bidi w:val="0"/>
                    <w:adjustRightInd w:val="0"/>
                    <w:snapToGrid w:val="0"/>
                    <w:jc w:val="both"/>
                    <w:textAlignment w:val="auto"/>
                    <w:rPr>
                      <w:rFonts w:hint="default" w:ascii="Times New Roman" w:hAnsi="Times New Roman" w:cs="Times New Roman"/>
                      <w:color w:val="auto"/>
                      <w:szCs w:val="21"/>
                      <w:highlight w:val="none"/>
                    </w:rPr>
                  </w:pPr>
                  <w:r>
                    <w:rPr>
                      <w:rFonts w:hint="eastAsia" w:ascii="Times New Roman" w:hAnsi="Times New Roman" w:eastAsia="宋体" w:cs="Times New Roman"/>
                      <w:color w:val="auto"/>
                      <w:szCs w:val="21"/>
                      <w:highlight w:val="none"/>
                      <w:lang w:eastAsia="zh-CN"/>
                    </w:rPr>
                    <w:t>本项目无独立设置的污泥处理厂。</w:t>
                  </w:r>
                </w:p>
              </w:tc>
            </w:tr>
          </w:tbl>
          <w:p w14:paraId="7249BA5F">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b w:val="0"/>
                <w:bCs w:val="0"/>
                <w:color w:val="auto"/>
                <w:kern w:val="0"/>
                <w:sz w:val="24"/>
                <w:szCs w:val="24"/>
                <w:highlight w:val="none"/>
                <w:lang w:val="en-US" w:eastAsia="zh-CN"/>
              </w:rPr>
              <w:t>综上，从环保角度分析，本项目污水处理厂选址可行。</w:t>
            </w:r>
          </w:p>
          <w:p w14:paraId="4A5DE2B7">
            <w:pPr>
              <w:rPr>
                <w:rFonts w:hint="default"/>
                <w:color w:val="auto"/>
                <w:highlight w:val="none"/>
                <w:lang w:val="en-US" w:eastAsia="zh-CN"/>
              </w:rPr>
            </w:pPr>
          </w:p>
          <w:p w14:paraId="41BE6EBE">
            <w:pPr>
              <w:pStyle w:val="10"/>
              <w:rPr>
                <w:rFonts w:hint="default"/>
                <w:color w:val="auto"/>
                <w:highlight w:val="none"/>
                <w:lang w:val="en-US" w:eastAsia="zh-CN"/>
              </w:rPr>
            </w:pPr>
          </w:p>
          <w:p w14:paraId="3D454FDD">
            <w:pPr>
              <w:rPr>
                <w:rFonts w:hint="default"/>
                <w:color w:val="auto"/>
                <w:highlight w:val="none"/>
                <w:lang w:val="en-US" w:eastAsia="zh-CN"/>
              </w:rPr>
            </w:pPr>
          </w:p>
          <w:p w14:paraId="146D00A7">
            <w:pPr>
              <w:pStyle w:val="10"/>
              <w:rPr>
                <w:rFonts w:hint="default"/>
                <w:color w:val="auto"/>
                <w:highlight w:val="none"/>
                <w:lang w:val="en-US" w:eastAsia="zh-CN"/>
              </w:rPr>
            </w:pPr>
          </w:p>
          <w:p w14:paraId="4B99E016">
            <w:pPr>
              <w:rPr>
                <w:rFonts w:hint="default"/>
                <w:color w:val="auto"/>
                <w:highlight w:val="none"/>
                <w:lang w:val="en-US" w:eastAsia="zh-CN"/>
              </w:rPr>
            </w:pPr>
          </w:p>
          <w:p w14:paraId="73215A2D">
            <w:pPr>
              <w:pStyle w:val="10"/>
              <w:rPr>
                <w:rFonts w:hint="default"/>
                <w:color w:val="auto"/>
                <w:highlight w:val="none"/>
                <w:lang w:val="en-US" w:eastAsia="zh-CN"/>
              </w:rPr>
            </w:pPr>
          </w:p>
          <w:p w14:paraId="4FE790AF">
            <w:pPr>
              <w:rPr>
                <w:rFonts w:hint="default"/>
                <w:color w:val="auto"/>
                <w:highlight w:val="none"/>
                <w:lang w:val="en-US" w:eastAsia="zh-CN"/>
              </w:rPr>
            </w:pPr>
          </w:p>
          <w:p w14:paraId="5AE74554">
            <w:pPr>
              <w:pStyle w:val="10"/>
              <w:rPr>
                <w:rFonts w:hint="default"/>
                <w:color w:val="auto"/>
                <w:highlight w:val="none"/>
                <w:lang w:val="en-US" w:eastAsia="zh-CN"/>
              </w:rPr>
            </w:pPr>
          </w:p>
          <w:p w14:paraId="10017F3A">
            <w:pPr>
              <w:rPr>
                <w:rFonts w:hint="default"/>
                <w:color w:val="auto"/>
                <w:highlight w:val="none"/>
                <w:lang w:val="en-US" w:eastAsia="zh-CN"/>
              </w:rPr>
            </w:pPr>
          </w:p>
          <w:p w14:paraId="2F3D1AE5">
            <w:pPr>
              <w:pStyle w:val="10"/>
              <w:rPr>
                <w:rFonts w:hint="default"/>
                <w:color w:val="auto"/>
                <w:highlight w:val="none"/>
                <w:lang w:val="en-US" w:eastAsia="zh-CN"/>
              </w:rPr>
            </w:pPr>
          </w:p>
          <w:p w14:paraId="60E54186">
            <w:pPr>
              <w:rPr>
                <w:rFonts w:hint="default"/>
                <w:color w:val="auto"/>
                <w:highlight w:val="none"/>
                <w:lang w:val="en-US" w:eastAsia="zh-CN"/>
              </w:rPr>
            </w:pPr>
          </w:p>
          <w:p w14:paraId="4BC42A49">
            <w:pPr>
              <w:pStyle w:val="10"/>
              <w:rPr>
                <w:rFonts w:hint="default"/>
                <w:color w:val="auto"/>
                <w:highlight w:val="none"/>
                <w:lang w:val="en-US" w:eastAsia="zh-CN"/>
              </w:rPr>
            </w:pPr>
          </w:p>
          <w:p w14:paraId="321BED4C">
            <w:pPr>
              <w:rPr>
                <w:rFonts w:hint="default"/>
                <w:color w:val="auto"/>
                <w:highlight w:val="none"/>
                <w:lang w:val="en-US" w:eastAsia="zh-CN"/>
              </w:rPr>
            </w:pPr>
          </w:p>
          <w:p w14:paraId="526D3240">
            <w:pPr>
              <w:pStyle w:val="10"/>
              <w:rPr>
                <w:rFonts w:hint="default"/>
                <w:color w:val="auto"/>
                <w:highlight w:val="none"/>
                <w:lang w:val="en-US" w:eastAsia="zh-CN"/>
              </w:rPr>
            </w:pPr>
          </w:p>
          <w:p w14:paraId="72C72B68">
            <w:pPr>
              <w:rPr>
                <w:rFonts w:hint="default"/>
                <w:color w:val="auto"/>
                <w:highlight w:val="none"/>
                <w:lang w:val="en-US" w:eastAsia="zh-CN"/>
              </w:rPr>
            </w:pPr>
          </w:p>
          <w:p w14:paraId="37688C10">
            <w:pPr>
              <w:pStyle w:val="10"/>
              <w:rPr>
                <w:rFonts w:hint="default"/>
                <w:color w:val="auto"/>
                <w:highlight w:val="none"/>
                <w:lang w:val="en-US" w:eastAsia="zh-CN"/>
              </w:rPr>
            </w:pPr>
          </w:p>
          <w:p w14:paraId="61BC93F5">
            <w:pPr>
              <w:pStyle w:val="10"/>
              <w:ind w:left="0" w:leftChars="0" w:firstLine="0" w:firstLineChars="0"/>
              <w:rPr>
                <w:rFonts w:hint="default"/>
                <w:color w:val="auto"/>
                <w:highlight w:val="none"/>
                <w:lang w:val="en-US" w:eastAsia="zh-CN"/>
              </w:rPr>
            </w:pPr>
          </w:p>
          <w:p w14:paraId="40973452">
            <w:pPr>
              <w:rPr>
                <w:rFonts w:hint="default"/>
                <w:color w:val="auto"/>
                <w:highlight w:val="none"/>
                <w:lang w:val="en-US" w:eastAsia="zh-CN"/>
              </w:rPr>
            </w:pPr>
          </w:p>
          <w:p w14:paraId="6DB0E6A5">
            <w:pPr>
              <w:rPr>
                <w:rFonts w:hint="default"/>
                <w:color w:val="auto"/>
                <w:highlight w:val="none"/>
                <w:lang w:val="en-US" w:eastAsia="zh-CN"/>
              </w:rPr>
            </w:pPr>
          </w:p>
          <w:p w14:paraId="3FB7EA4C">
            <w:pPr>
              <w:rPr>
                <w:rFonts w:hint="default"/>
                <w:color w:val="auto"/>
                <w:highlight w:val="none"/>
                <w:lang w:val="en-US" w:eastAsia="zh-CN"/>
              </w:rPr>
            </w:pPr>
          </w:p>
          <w:p w14:paraId="157FB5DF">
            <w:pPr>
              <w:rPr>
                <w:rFonts w:hint="default"/>
                <w:color w:val="auto"/>
                <w:highlight w:val="none"/>
                <w:lang w:val="en-US" w:eastAsia="zh-CN"/>
              </w:rPr>
            </w:pPr>
          </w:p>
          <w:p w14:paraId="04F2887C">
            <w:pPr>
              <w:rPr>
                <w:rFonts w:hint="default"/>
                <w:color w:val="auto"/>
                <w:highlight w:val="none"/>
                <w:lang w:val="en-US" w:eastAsia="zh-CN"/>
              </w:rPr>
            </w:pPr>
          </w:p>
          <w:p w14:paraId="4164D065">
            <w:pPr>
              <w:rPr>
                <w:rFonts w:hint="default"/>
                <w:color w:val="auto"/>
                <w:highlight w:val="none"/>
                <w:lang w:val="en-US" w:eastAsia="zh-CN"/>
              </w:rPr>
            </w:pPr>
          </w:p>
          <w:p w14:paraId="538213F0">
            <w:pPr>
              <w:rPr>
                <w:rFonts w:hint="default"/>
                <w:color w:val="auto"/>
                <w:highlight w:val="none"/>
                <w:lang w:val="en-US" w:eastAsia="zh-CN"/>
              </w:rPr>
            </w:pPr>
          </w:p>
          <w:p w14:paraId="595750C1">
            <w:pPr>
              <w:rPr>
                <w:rFonts w:hint="default"/>
                <w:color w:val="auto"/>
                <w:highlight w:val="none"/>
                <w:lang w:val="en-US" w:eastAsia="zh-CN"/>
              </w:rPr>
            </w:pPr>
          </w:p>
          <w:p w14:paraId="019A6CCB">
            <w:pPr>
              <w:rPr>
                <w:rFonts w:hint="default"/>
                <w:color w:val="auto"/>
                <w:highlight w:val="none"/>
                <w:lang w:val="en-US" w:eastAsia="zh-CN"/>
              </w:rPr>
            </w:pPr>
          </w:p>
          <w:p w14:paraId="737A8C7C">
            <w:pPr>
              <w:rPr>
                <w:rFonts w:hint="default"/>
                <w:color w:val="auto"/>
                <w:highlight w:val="none"/>
                <w:lang w:val="en-US" w:eastAsia="zh-CN"/>
              </w:rPr>
            </w:pPr>
          </w:p>
          <w:p w14:paraId="7B421E06">
            <w:pPr>
              <w:rPr>
                <w:rFonts w:hint="default"/>
                <w:color w:val="auto"/>
                <w:highlight w:val="none"/>
                <w:lang w:val="en-US" w:eastAsia="zh-CN"/>
              </w:rPr>
            </w:pPr>
          </w:p>
        </w:tc>
      </w:tr>
    </w:tbl>
    <w:p w14:paraId="0628E565">
      <w:pPr>
        <w:spacing w:line="360" w:lineRule="auto"/>
        <w:outlineLvl w:val="0"/>
        <w:rPr>
          <w:rFonts w:hint="default" w:ascii="Times New Roman" w:hAnsi="Times New Roman" w:eastAsia="黑体" w:cs="Times New Roman"/>
          <w:color w:val="auto"/>
          <w:sz w:val="30"/>
          <w:highlight w:val="none"/>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467DBDFD">
      <w:pPr>
        <w:pStyle w:val="28"/>
        <w:jc w:val="center"/>
        <w:outlineLvl w:val="0"/>
        <w:rPr>
          <w:rFonts w:hint="default" w:ascii="Times New Roman" w:hAnsi="Times New Roman" w:eastAsia="黑体" w:cs="Times New Roman"/>
          <w:snapToGrid w:val="0"/>
          <w:color w:val="auto"/>
          <w:sz w:val="30"/>
          <w:szCs w:val="30"/>
          <w:highlight w:val="none"/>
        </w:rPr>
      </w:pPr>
      <w:bookmarkStart w:id="26" w:name="_Toc14362"/>
      <w:bookmarkStart w:id="27" w:name="_Toc24543"/>
      <w:bookmarkStart w:id="28" w:name="_Toc2574"/>
      <w:bookmarkStart w:id="29" w:name="_Toc363"/>
      <w:bookmarkStart w:id="30" w:name="_Toc12147"/>
      <w:bookmarkStart w:id="31" w:name="_Toc6082"/>
      <w:bookmarkStart w:id="32" w:name="_Toc11250"/>
      <w:bookmarkStart w:id="33" w:name="_Toc30007"/>
      <w:bookmarkStart w:id="34" w:name="_Toc14471"/>
      <w:r>
        <w:rPr>
          <w:rFonts w:hint="default" w:ascii="Times New Roman" w:hAnsi="Times New Roman" w:eastAsia="黑体" w:cs="Times New Roman"/>
          <w:snapToGrid w:val="0"/>
          <w:color w:val="auto"/>
          <w:sz w:val="30"/>
          <w:szCs w:val="30"/>
          <w:highlight w:val="none"/>
        </w:rPr>
        <w:t>二、建设项目工程分析</w:t>
      </w:r>
      <w:bookmarkEnd w:id="26"/>
      <w:bookmarkEnd w:id="27"/>
      <w:bookmarkEnd w:id="28"/>
      <w:bookmarkEnd w:id="29"/>
      <w:bookmarkEnd w:id="30"/>
      <w:bookmarkEnd w:id="31"/>
      <w:bookmarkEnd w:id="32"/>
      <w:bookmarkEnd w:id="33"/>
      <w:bookmarkEnd w:id="34"/>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16248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1" w:hRule="atLeast"/>
          <w:jc w:val="center"/>
        </w:trPr>
        <w:tc>
          <w:tcPr>
            <w:tcW w:w="823" w:type="dxa"/>
            <w:noWrap w:val="0"/>
            <w:vAlign w:val="center"/>
          </w:tcPr>
          <w:p w14:paraId="5A5E892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E2F20D6">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1BAED130">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A6E9A4C">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12F7EBFE">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479AF3B">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12FDC66D">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FCD1DD6">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5F5F7E0">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D56BBC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E75026C">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0F314BD">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20BB102">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D7F646E">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266D087">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AF4D485">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1AEE4D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134EA7A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7C8B7DE">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54D3A2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AE12DE5">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7FF3560">
            <w:pPr>
              <w:pStyle w:val="28"/>
              <w:adjustRightInd w:val="0"/>
              <w:snapToGrid w:val="0"/>
              <w:spacing w:before="0" w:beforeAutospacing="0" w:after="0" w:afterAutospacing="0"/>
              <w:jc w:val="both"/>
              <w:rPr>
                <w:rFonts w:hint="default" w:ascii="Times New Roman" w:hAnsi="Times New Roman" w:cs="Times New Roman"/>
                <w:color w:val="auto"/>
                <w:sz w:val="21"/>
                <w:szCs w:val="21"/>
                <w:highlight w:val="none"/>
              </w:rPr>
            </w:pPr>
          </w:p>
          <w:p w14:paraId="687B37A7">
            <w:pPr>
              <w:pStyle w:val="28"/>
              <w:adjustRightInd w:val="0"/>
              <w:snapToGrid w:val="0"/>
              <w:spacing w:before="0" w:beforeAutospacing="0" w:after="0" w:afterAutospacing="0"/>
              <w:jc w:val="center"/>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建设</w:t>
            </w:r>
            <w:r>
              <w:rPr>
                <w:rFonts w:hint="default" w:ascii="Times New Roman" w:hAnsi="Times New Roman" w:cs="Times New Roman"/>
                <w:color w:val="auto"/>
                <w:sz w:val="24"/>
                <w:szCs w:val="24"/>
                <w:highlight w:val="none"/>
              </w:rPr>
              <w:t>内容</w:t>
            </w:r>
          </w:p>
          <w:p w14:paraId="46926135">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09624FE">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95578A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54EA25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8D7BE8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F75A5E0">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97E9672">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D3782A0">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217DD44">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628517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0CEBB02">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5D0555D">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B9D96D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0697EE6">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6739908">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DCF1CFA">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E0A6AC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9A8069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8C250F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3377656">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824334D">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01A7D27">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2B6A8C3">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2B812DC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243F39C">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8FA1B76">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990978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1D279C8">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9F892FB">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6876B1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C292017">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4DA63B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265DDC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7E9AB8A">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31DEC82">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5753859">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8FE529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8EF2452">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C2BD8D7">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75D02DA6">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190B94C">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E93E3A3">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47C954D">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AEC7B20">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81E5245">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3B3B88A">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23B0C9C">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D05DED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AF144B2">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6D589FF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58F3B36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6C1673D">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0670962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46E5EB9E">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p w14:paraId="34EAEE21">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161" w:type="dxa"/>
            <w:noWrap w:val="0"/>
            <w:tcMar>
              <w:top w:w="0" w:type="dxa"/>
              <w:left w:w="108" w:type="dxa"/>
              <w:bottom w:w="113" w:type="dxa"/>
              <w:right w:w="108" w:type="dxa"/>
            </w:tcMar>
            <w:vAlign w:val="top"/>
          </w:tcPr>
          <w:p w14:paraId="55C3A9E0">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2" w:firstLineChars="200"/>
              <w:jc w:val="both"/>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kern w:val="2"/>
                <w:sz w:val="24"/>
                <w:szCs w:val="24"/>
                <w:highlight w:val="none"/>
                <w:lang w:val="en-US" w:eastAsia="zh-CN" w:bidi="ar-SA"/>
              </w:rPr>
              <w:t>1、</w:t>
            </w:r>
            <w:r>
              <w:rPr>
                <w:rFonts w:hint="default" w:ascii="Times New Roman" w:hAnsi="Times New Roman" w:cs="Times New Roman"/>
                <w:b/>
                <w:bCs w:val="0"/>
                <w:color w:val="auto"/>
                <w:sz w:val="24"/>
                <w:szCs w:val="24"/>
                <w:highlight w:val="none"/>
                <w:lang w:val="en-US" w:eastAsia="zh-CN"/>
              </w:rPr>
              <w:t>项目概况</w:t>
            </w:r>
          </w:p>
          <w:p w14:paraId="5F14597A">
            <w:pPr>
              <w:snapToGrid w:val="0"/>
              <w:spacing w:line="360" w:lineRule="auto"/>
              <w:ind w:firstLine="480" w:firstLineChars="200"/>
              <w:jc w:val="left"/>
              <w:rPr>
                <w:rFonts w:hint="eastAsia" w:ascii="Times New Roman" w:hAnsi="Times New Roman" w:cs="Times New Roman"/>
                <w:color w:val="auto"/>
                <w:sz w:val="24"/>
                <w:highlight w:val="none"/>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eastAsia" w:ascii="Times New Roman" w:hAnsi="Times New Roman" w:cs="Times New Roman"/>
                <w:color w:val="auto"/>
                <w:sz w:val="24"/>
                <w:highlight w:val="none"/>
              </w:rPr>
              <w:t>项目由来</w:t>
            </w:r>
          </w:p>
          <w:p w14:paraId="1F2BE35B">
            <w:pPr>
              <w:snapToGrid w:val="0"/>
              <w:spacing w:line="360" w:lineRule="auto"/>
              <w:ind w:firstLine="480" w:firstLineChars="200"/>
              <w:jc w:val="both"/>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为加强农村环保基础设施建设，推动重点镇办建成污水处理设施，集镇生活污水处理率达到60%以上，逐步消除集镇、村庄、农户散排污水问题，</w:t>
            </w:r>
          </w:p>
          <w:p w14:paraId="4A3E166F">
            <w:pPr>
              <w:snapToGrid w:val="0"/>
              <w:spacing w:line="360" w:lineRule="auto"/>
              <w:jc w:val="both"/>
              <w:rPr>
                <w:rFonts w:hint="eastAsia"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洋县住房和城乡建设管理局</w:t>
            </w:r>
            <w:r>
              <w:rPr>
                <w:rFonts w:hint="eastAsia" w:cs="Times New Roman"/>
                <w:color w:val="auto"/>
                <w:sz w:val="24"/>
                <w:highlight w:val="none"/>
                <w:lang w:val="en-US" w:eastAsia="zh-CN"/>
              </w:rPr>
              <w:t>拟开展“</w:t>
            </w:r>
            <w:r>
              <w:rPr>
                <w:rFonts w:hint="eastAsia" w:ascii="Times New Roman" w:hAnsi="Times New Roman" w:cs="Times New Roman"/>
                <w:color w:val="auto"/>
                <w:sz w:val="24"/>
                <w:highlight w:val="none"/>
                <w:lang w:val="en-US" w:eastAsia="zh-CN"/>
              </w:rPr>
              <w:t>洋县城镇生活污水治理建设项目</w:t>
            </w:r>
            <w:r>
              <w:rPr>
                <w:rFonts w:hint="eastAsia" w:cs="Times New Roman"/>
                <w:color w:val="auto"/>
                <w:sz w:val="24"/>
                <w:highlight w:val="none"/>
                <w:lang w:val="en-US" w:eastAsia="zh-CN"/>
              </w:rPr>
              <w:t>”，在八里关镇、谢村镇（四〇五社区）、茅坪镇各建设污水处理厂（站）一座。</w:t>
            </w:r>
          </w:p>
          <w:p w14:paraId="0A7EC441">
            <w:pPr>
              <w:snapToGrid w:val="0"/>
              <w:spacing w:line="360" w:lineRule="auto"/>
              <w:ind w:firstLine="480" w:firstLineChars="200"/>
              <w:jc w:val="both"/>
              <w:rPr>
                <w:rFonts w:hint="eastAsia" w:cs="Times New Roman"/>
                <w:color w:val="auto"/>
                <w:sz w:val="24"/>
                <w:highlight w:val="none"/>
                <w:lang w:val="en-US" w:eastAsia="zh-CN"/>
              </w:rPr>
            </w:pPr>
            <w:r>
              <w:rPr>
                <w:rFonts w:hint="eastAsia" w:cs="Times New Roman"/>
                <w:color w:val="auto"/>
                <w:sz w:val="24"/>
                <w:highlight w:val="none"/>
                <w:lang w:val="en-US" w:eastAsia="zh-CN"/>
              </w:rPr>
              <w:t>根据项目初步设计批复可知：八里关镇和茅坪镇污水处理站处理规模均为100m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/d；按照</w:t>
            </w:r>
            <w:r>
              <w:rPr>
                <w:rFonts w:hint="eastAsia" w:cs="Times New Roman"/>
                <w:color w:val="auto"/>
                <w:sz w:val="24"/>
                <w:highlight w:val="none"/>
                <w:lang w:val="en-US" w:eastAsia="zh-CN"/>
              </w:rPr>
              <w:t>《建设项目环境影响评价分类管理名录（2021年版）》中相关要求，八里关镇和茅坪镇污水处理站已完成建设项目环境影响登记表备案（编号为202461072300000145，详见附件）；在取得环评备案手续后，八里关镇和茅坪镇污水处理站已按照初步设计内容建设完成。谢村镇（四〇五社区）污水处理厂规模为1500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/d，目前处于筹建状态，按照</w:t>
            </w:r>
            <w:r>
              <w:rPr>
                <w:rFonts w:hint="eastAsia" w:cs="Times New Roman"/>
                <w:color w:val="auto"/>
                <w:sz w:val="24"/>
                <w:highlight w:val="none"/>
                <w:lang w:val="en-US" w:eastAsia="zh-CN"/>
              </w:rPr>
              <w:t>《建设项目环境影响评价分类管理名录（2021年版）》要求，该污水处理厂需编制环境影响报告表。</w:t>
            </w:r>
          </w:p>
          <w:p w14:paraId="1530797C">
            <w:pPr>
              <w:snapToGrid w:val="0"/>
              <w:spacing w:line="360" w:lineRule="auto"/>
              <w:ind w:firstLine="480" w:firstLineChars="200"/>
              <w:jc w:val="both"/>
              <w:rPr>
                <w:rFonts w:hint="eastAsia" w:cs="Times New Roman"/>
                <w:color w:val="auto"/>
                <w:sz w:val="24"/>
                <w:highlight w:val="none"/>
                <w:lang w:val="en-US" w:eastAsia="zh-CN"/>
              </w:rPr>
            </w:pPr>
            <w:r>
              <w:rPr>
                <w:rFonts w:hint="eastAsia" w:cs="Times New Roman"/>
                <w:color w:val="auto"/>
                <w:sz w:val="24"/>
                <w:highlight w:val="none"/>
                <w:lang w:val="en-US" w:eastAsia="zh-CN"/>
              </w:rPr>
              <w:t>综上，受建设单位委托，</w:t>
            </w:r>
            <w:r>
              <w:rPr>
                <w:rFonts w:hint="eastAsia" w:ascii="Times New Roman" w:hAnsi="Times New Roman" w:cs="Times New Roman"/>
                <w:color w:val="auto"/>
                <w:sz w:val="24"/>
                <w:highlight w:val="none"/>
                <w:lang w:val="en-US" w:eastAsia="zh-CN"/>
              </w:rPr>
              <w:t>本报告仅对洋县城镇生活污水治理建设项目—</w:t>
            </w:r>
            <w:r>
              <w:rPr>
                <w:rFonts w:hint="eastAsia" w:cs="Times New Roman"/>
                <w:color w:val="auto"/>
                <w:sz w:val="24"/>
                <w:highlight w:val="none"/>
                <w:lang w:val="en-US" w:eastAsia="zh-CN"/>
              </w:rPr>
              <w:t>谢村镇（四〇五社区）污水处理厂进行评价</w:t>
            </w:r>
            <w:r>
              <w:rPr>
                <w:rFonts w:hint="eastAsia" w:cs="Times New Roman"/>
                <w:color w:val="auto"/>
                <w:sz w:val="24"/>
                <w:highlight w:val="none"/>
                <w:lang w:val="en-US" w:eastAsia="zh-CN"/>
              </w:rPr>
              <w:t>（由于污水管网涉及陕西汉中朱鹮国家级自然保护区—实验区，且设计资料不完善，故本次评价不涉及污水管网）。</w:t>
            </w:r>
          </w:p>
          <w:p w14:paraId="7F79F1E6">
            <w:pPr>
              <w:numPr>
                <w:ilvl w:val="0"/>
                <w:numId w:val="2"/>
              </w:numPr>
              <w:snapToGrid w:val="0"/>
              <w:spacing w:line="360" w:lineRule="auto"/>
              <w:ind w:firstLine="480" w:firstLineChars="200"/>
              <w:rPr>
                <w:rFonts w:hint="eastAsia" w:cs="Times New Roman"/>
                <w:color w:val="auto"/>
                <w:sz w:val="24"/>
                <w:highlight w:val="none"/>
                <w:lang w:eastAsia="zh-CN"/>
              </w:rPr>
            </w:pPr>
            <w:r>
              <w:rPr>
                <w:rFonts w:hint="eastAsia" w:cs="Times New Roman"/>
                <w:color w:val="auto"/>
                <w:sz w:val="24"/>
                <w:highlight w:val="none"/>
                <w:lang w:eastAsia="zh-CN"/>
              </w:rPr>
              <w:t>项目概况</w:t>
            </w:r>
          </w:p>
          <w:p w14:paraId="4006272F">
            <w:pPr>
              <w:numPr>
                <w:ilvl w:val="0"/>
                <w:numId w:val="0"/>
              </w:numPr>
              <w:snapToGrid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①</w:t>
            </w:r>
            <w:r>
              <w:rPr>
                <w:rFonts w:hint="eastAsia" w:ascii="宋体" w:hAnsi="宋体" w:cs="宋体"/>
                <w:color w:val="auto"/>
                <w:sz w:val="24"/>
                <w:highlight w:val="none"/>
                <w:lang w:eastAsia="zh-CN"/>
              </w:rPr>
              <w:t>建设地点：</w:t>
            </w:r>
            <w:r>
              <w:rPr>
                <w:rFonts w:hint="default" w:ascii="Times New Roman" w:hAnsi="Times New Roman" w:cs="Times New Roman"/>
                <w:color w:val="auto"/>
                <w:sz w:val="24"/>
                <w:highlight w:val="none"/>
                <w:lang w:val="en-US" w:eastAsia="zh-CN"/>
              </w:rPr>
              <w:t>汉中市</w:t>
            </w:r>
            <w:r>
              <w:rPr>
                <w:rFonts w:hint="eastAsia" w:cs="Times New Roman"/>
                <w:color w:val="auto"/>
                <w:sz w:val="24"/>
                <w:highlight w:val="none"/>
                <w:lang w:val="en-US" w:eastAsia="zh-CN"/>
              </w:rPr>
              <w:t>洋</w:t>
            </w:r>
            <w:r>
              <w:rPr>
                <w:rFonts w:hint="default" w:ascii="Times New Roman" w:hAnsi="Times New Roman" w:cs="Times New Roman"/>
                <w:color w:val="auto"/>
                <w:sz w:val="24"/>
                <w:highlight w:val="none"/>
                <w:lang w:val="en-US" w:eastAsia="zh-CN"/>
              </w:rPr>
              <w:t>县</w:t>
            </w:r>
            <w:r>
              <w:rPr>
                <w:rFonts w:hint="eastAsia" w:cs="Times New Roman"/>
                <w:color w:val="auto"/>
                <w:sz w:val="24"/>
                <w:highlight w:val="none"/>
                <w:lang w:val="en-US" w:eastAsia="zh-CN"/>
              </w:rPr>
              <w:t>谢村镇四</w:t>
            </w:r>
            <w:r>
              <w:rPr>
                <w:rFonts w:hint="default" w:ascii="Times New Roman" w:hAnsi="Times New Roman" w:cs="Times New Roman"/>
                <w:color w:val="auto"/>
                <w:sz w:val="24"/>
                <w:highlight w:val="none"/>
                <w:lang w:val="en-US" w:eastAsia="zh-CN"/>
              </w:rPr>
              <w:t>〇</w:t>
            </w:r>
            <w:r>
              <w:rPr>
                <w:rFonts w:hint="eastAsia" w:cs="Times New Roman"/>
                <w:color w:val="auto"/>
                <w:sz w:val="24"/>
                <w:highlight w:val="none"/>
                <w:lang w:val="en-US" w:eastAsia="zh-CN"/>
              </w:rPr>
              <w:t>五社区</w:t>
            </w:r>
          </w:p>
          <w:p w14:paraId="64F42573">
            <w:pPr>
              <w:numPr>
                <w:ilvl w:val="0"/>
                <w:numId w:val="0"/>
              </w:numPr>
              <w:snapToGrid w:val="0"/>
              <w:spacing w:line="360" w:lineRule="auto"/>
              <w:ind w:firstLine="480" w:firstLineChars="200"/>
              <w:rPr>
                <w:rFonts w:hint="default" w:cs="Times New Roman"/>
                <w:color w:val="auto"/>
                <w:sz w:val="24"/>
                <w:highlight w:val="none"/>
                <w:lang w:val="en-US" w:eastAsia="zh-CN"/>
              </w:rPr>
            </w:pPr>
            <w:r>
              <w:rPr>
                <w:rFonts w:hint="eastAsia" w:ascii="宋体" w:hAnsi="宋体" w:eastAsia="宋体" w:cs="宋体"/>
                <w:color w:val="auto"/>
                <w:sz w:val="24"/>
                <w:highlight w:val="none"/>
                <w:lang w:eastAsia="zh-CN"/>
              </w:rPr>
              <w:t>②</w:t>
            </w:r>
            <w:r>
              <w:rPr>
                <w:rFonts w:hint="eastAsia" w:cs="Times New Roman"/>
                <w:color w:val="auto"/>
                <w:sz w:val="24"/>
                <w:highlight w:val="none"/>
                <w:lang w:eastAsia="zh-CN"/>
              </w:rPr>
              <w:t>服务范围及人口：服务范围为405社区内居住小区、社区医院、社区办公楼、陕铀办公楼等以及污水管网沿线谢村镇下溢水村，收集污水为生活污水，服务人口为</w:t>
            </w:r>
            <w:r>
              <w:rPr>
                <w:rFonts w:hint="eastAsia" w:cs="Times New Roman"/>
                <w:color w:val="auto"/>
                <w:sz w:val="24"/>
                <w:highlight w:val="none"/>
                <w:lang w:val="en-US" w:eastAsia="zh-CN"/>
              </w:rPr>
              <w:t>15900（常住人口）。</w:t>
            </w:r>
          </w:p>
          <w:p w14:paraId="72C2A9EA">
            <w:pPr>
              <w:numPr>
                <w:ilvl w:val="0"/>
                <w:numId w:val="0"/>
              </w:numPr>
              <w:snapToGrid w:val="0"/>
              <w:spacing w:line="360" w:lineRule="auto"/>
              <w:ind w:firstLine="480" w:firstLineChars="200"/>
              <w:rPr>
                <w:rFonts w:hint="eastAsia" w:ascii="Times New Roman" w:hAnsi="Times New Roman" w:cs="Times New Roman"/>
                <w:color w:val="auto"/>
                <w:sz w:val="24"/>
                <w:highlight w:val="none"/>
                <w:lang w:eastAsia="zh-CN"/>
              </w:rPr>
            </w:pPr>
            <w:r>
              <w:rPr>
                <w:rFonts w:hint="eastAsia" w:ascii="宋体" w:hAnsi="宋体" w:eastAsia="宋体" w:cs="宋体"/>
                <w:color w:val="auto"/>
                <w:sz w:val="24"/>
                <w:highlight w:val="none"/>
                <w:lang w:eastAsia="zh-CN"/>
              </w:rPr>
              <w:t>③</w:t>
            </w:r>
            <w:r>
              <w:rPr>
                <w:rFonts w:hint="eastAsia" w:cs="Times New Roman"/>
                <w:color w:val="auto"/>
                <w:sz w:val="24"/>
                <w:highlight w:val="none"/>
                <w:lang w:eastAsia="zh-CN"/>
              </w:rPr>
              <w:t>处理规模：</w:t>
            </w:r>
            <w:r>
              <w:rPr>
                <w:rFonts w:hint="default"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lang w:val="en-US" w:eastAsia="zh-CN"/>
              </w:rPr>
              <w:t>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eastAsia" w:ascii="Times New Roman" w:hAnsi="Times New Roman" w:cs="Times New Roman"/>
                <w:color w:val="auto"/>
                <w:sz w:val="24"/>
                <w:highlight w:val="none"/>
                <w:lang w:eastAsia="zh-CN"/>
              </w:rPr>
              <w:t>。</w:t>
            </w:r>
          </w:p>
          <w:p w14:paraId="7155CDA1">
            <w:pPr>
              <w:snapToGrid w:val="0"/>
              <w:spacing w:line="360" w:lineRule="auto"/>
              <w:ind w:firstLine="480" w:firstLineChars="200"/>
              <w:rPr>
                <w:rFonts w:hint="default" w:ascii="Times New Roman" w:hAnsi="Times New Roman" w:eastAsia="宋体" w:cs="Times New Roman"/>
                <w:color w:val="auto"/>
                <w:sz w:val="24"/>
                <w:highlight w:val="none"/>
                <w:lang w:eastAsia="zh-CN"/>
              </w:rPr>
            </w:pPr>
            <w:r>
              <w:rPr>
                <w:rFonts w:hint="eastAsia" w:ascii="宋体" w:hAnsi="宋体" w:eastAsia="宋体" w:cs="宋体"/>
                <w:color w:val="auto"/>
                <w:sz w:val="24"/>
                <w:highlight w:val="none"/>
              </w:rPr>
              <w:t>④</w:t>
            </w:r>
            <w:r>
              <w:rPr>
                <w:rFonts w:hint="eastAsia" w:ascii="Times New Roman" w:hAnsi="Times New Roman" w:cs="Times New Roman"/>
                <w:color w:val="auto"/>
                <w:sz w:val="24"/>
                <w:highlight w:val="none"/>
                <w:lang w:eastAsia="zh-CN"/>
              </w:rPr>
              <w:t>处理工艺：“格栅渠+集水池+旋流沉砂池+调节池+AAO+二沉池+高密度沉淀池+滤布滤池+接触消毒池”。</w:t>
            </w:r>
          </w:p>
          <w:p w14:paraId="59A3BB2E">
            <w:pPr>
              <w:snapToGrid w:val="0"/>
              <w:spacing w:line="360" w:lineRule="auto"/>
              <w:ind w:firstLine="480" w:firstLineChars="200"/>
              <w:rPr>
                <w:rFonts w:hint="default" w:ascii="Times New Roman" w:hAnsi="Times New Roman" w:eastAsia="宋体" w:cs="Times New Roman"/>
                <w:color w:val="auto"/>
                <w:sz w:val="24"/>
                <w:highlight w:val="none"/>
              </w:rPr>
            </w:pPr>
            <w:r>
              <w:rPr>
                <w:rFonts w:hint="eastAsia" w:ascii="宋体" w:hAnsi="宋体" w:eastAsia="宋体" w:cs="宋体"/>
                <w:color w:val="auto"/>
                <w:sz w:val="24"/>
                <w:highlight w:val="none"/>
              </w:rPr>
              <w:t>⑤</w:t>
            </w:r>
            <w:r>
              <w:rPr>
                <w:rFonts w:hint="default" w:ascii="Times New Roman" w:hAnsi="Times New Roman" w:eastAsia="宋体" w:cs="Times New Roman"/>
                <w:color w:val="auto"/>
                <w:sz w:val="24"/>
                <w:highlight w:val="none"/>
              </w:rPr>
              <w:t>排污口情况</w:t>
            </w:r>
          </w:p>
          <w:p w14:paraId="65E99E88">
            <w:pPr>
              <w:keepNext w:val="0"/>
              <w:keepLines w:val="0"/>
              <w:pageBreakBefore w:val="0"/>
              <w:widowControl w:val="0"/>
              <w:kinsoku/>
              <w:wordWrap/>
              <w:overflowPunct/>
              <w:topLinePunct w:val="0"/>
              <w:autoSpaceDE/>
              <w:autoSpaceDN/>
              <w:bidi w:val="0"/>
              <w:adjustRightInd w:val="0"/>
              <w:snapToGrid w:val="0"/>
              <w:spacing w:line="360" w:lineRule="auto"/>
              <w:ind w:firstLine="482"/>
              <w:jc w:val="both"/>
              <w:textAlignment w:val="auto"/>
              <w:rPr>
                <w:rFonts w:hint="default" w:ascii="Times New Roman" w:hAnsi="Times New Roman" w:eastAsia="宋体" w:cs="Times New Roman"/>
                <w:color w:val="auto"/>
                <w:sz w:val="24"/>
                <w:highlight w:val="none"/>
              </w:rPr>
            </w:pPr>
            <w:r>
              <w:rPr>
                <w:rFonts w:hint="eastAsia" w:cs="Times New Roman"/>
                <w:b w:val="0"/>
                <w:bCs w:val="0"/>
                <w:color w:val="auto"/>
                <w:sz w:val="24"/>
                <w:highlight w:val="none"/>
                <w:lang w:val="en-US" w:eastAsia="zh-CN"/>
              </w:rPr>
              <w:t>本项目入河排污口名称为洋县谢村镇（四〇五社区）污水处理厂入河排污口，位置为东经107.449434°，北纬33.221306°。</w:t>
            </w:r>
            <w:r>
              <w:rPr>
                <w:rFonts w:hint="eastAsia" w:cs="Times New Roman"/>
                <w:color w:val="auto"/>
                <w:sz w:val="24"/>
                <w:highlight w:val="none"/>
                <w:lang w:val="en-US" w:eastAsia="zh-CN"/>
              </w:rPr>
              <w:t>污水处理厂</w:t>
            </w:r>
            <w:r>
              <w:rPr>
                <w:rFonts w:hint="default" w:ascii="Times New Roman" w:hAnsi="Times New Roman" w:eastAsia="宋体" w:cs="Times New Roman"/>
                <w:color w:val="auto"/>
                <w:sz w:val="24"/>
                <w:highlight w:val="none"/>
              </w:rPr>
              <w:t>尾水</w:t>
            </w:r>
            <w:r>
              <w:rPr>
                <w:rFonts w:hint="default" w:ascii="Times New Roman" w:hAnsi="Times New Roman" w:eastAsia="宋体" w:cs="Times New Roman"/>
                <w:color w:val="auto"/>
                <w:sz w:val="24"/>
                <w:highlight w:val="none"/>
                <w:lang w:val="en-US" w:eastAsia="zh-CN"/>
              </w:rPr>
              <w:t>经</w:t>
            </w:r>
            <w:r>
              <w:rPr>
                <w:rFonts w:hint="eastAsia" w:cs="Times New Roman"/>
                <w:color w:val="auto"/>
                <w:sz w:val="24"/>
                <w:highlight w:val="none"/>
                <w:lang w:val="en-US" w:eastAsia="zh-CN"/>
              </w:rPr>
              <w:t>钢管（DN400）</w:t>
            </w:r>
            <w:r>
              <w:rPr>
                <w:rFonts w:hint="default" w:ascii="Times New Roman" w:hAnsi="Times New Roman" w:eastAsia="宋体" w:cs="Times New Roman"/>
                <w:color w:val="auto"/>
                <w:sz w:val="24"/>
                <w:highlight w:val="none"/>
                <w:lang w:val="en-US" w:eastAsia="zh-CN"/>
              </w:rPr>
              <w:t>排入</w:t>
            </w:r>
            <w:r>
              <w:rPr>
                <w:rFonts w:hint="eastAsia" w:cs="Times New Roman"/>
                <w:color w:val="auto"/>
                <w:sz w:val="24"/>
                <w:highlight w:val="none"/>
                <w:lang w:val="en-US" w:eastAsia="zh-CN"/>
              </w:rPr>
              <w:t>溢水河</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往东南方向</w:t>
            </w:r>
            <w:r>
              <w:rPr>
                <w:rFonts w:hint="default" w:ascii="Times New Roman" w:hAnsi="Times New Roman" w:eastAsia="宋体" w:cs="Times New Roman"/>
                <w:color w:val="auto"/>
                <w:sz w:val="24"/>
                <w:highlight w:val="none"/>
                <w:lang w:eastAsia="zh-CN"/>
              </w:rPr>
              <w:t>流经</w:t>
            </w:r>
            <w:r>
              <w:rPr>
                <w:rFonts w:hint="eastAsia" w:cs="Times New Roman"/>
                <w:color w:val="auto"/>
                <w:sz w:val="24"/>
                <w:highlight w:val="none"/>
                <w:lang w:eastAsia="zh-CN"/>
              </w:rPr>
              <w:t>约</w:t>
            </w:r>
            <w:r>
              <w:rPr>
                <w:rFonts w:hint="eastAsia" w:cs="Times New Roman"/>
                <w:color w:val="auto"/>
                <w:sz w:val="24"/>
                <w:highlight w:val="none"/>
                <w:lang w:val="en-US" w:eastAsia="zh-CN"/>
              </w:rPr>
              <w:t>4.2</w:t>
            </w:r>
            <w:r>
              <w:rPr>
                <w:rFonts w:hint="default" w:ascii="Times New Roman" w:hAnsi="Times New Roman" w:eastAsia="宋体" w:cs="Times New Roman"/>
                <w:color w:val="auto"/>
                <w:sz w:val="24"/>
                <w:highlight w:val="none"/>
              </w:rPr>
              <w:t>km</w:t>
            </w:r>
            <w:r>
              <w:rPr>
                <w:rFonts w:hint="default" w:ascii="Times New Roman" w:hAnsi="Times New Roman" w:eastAsia="宋体" w:cs="Times New Roman"/>
                <w:color w:val="auto"/>
                <w:sz w:val="24"/>
                <w:highlight w:val="none"/>
                <w:lang w:eastAsia="zh-CN"/>
              </w:rPr>
              <w:t>后</w:t>
            </w:r>
            <w:r>
              <w:rPr>
                <w:rFonts w:hint="default" w:ascii="Times New Roman" w:hAnsi="Times New Roman" w:eastAsia="宋体" w:cs="Times New Roman"/>
                <w:color w:val="auto"/>
                <w:sz w:val="24"/>
                <w:highlight w:val="none"/>
              </w:rPr>
              <w:t>汇入汉江</w:t>
            </w:r>
            <w:r>
              <w:rPr>
                <w:rFonts w:hint="eastAsia" w:cs="Times New Roman"/>
                <w:color w:val="auto"/>
                <w:sz w:val="24"/>
                <w:highlight w:val="none"/>
                <w:lang w:eastAsia="zh-CN"/>
              </w:rPr>
              <w:t>；排放方式为</w:t>
            </w:r>
            <w:r>
              <w:rPr>
                <w:rFonts w:hint="eastAsia" w:cs="Times New Roman"/>
                <w:color w:val="auto"/>
                <w:sz w:val="24"/>
                <w:highlight w:val="none"/>
                <w:lang w:eastAsia="zh-CN"/>
              </w:rPr>
              <w:t>连续排放</w:t>
            </w:r>
            <w:r>
              <w:rPr>
                <w:rFonts w:hint="eastAsia" w:ascii="Times New Roman" w:hAnsi="Times New Roman" w:eastAsia="宋体" w:cs="Times New Roman"/>
                <w:color w:val="auto"/>
                <w:sz w:val="24"/>
                <w:highlight w:val="none"/>
                <w:lang w:val="en-US" w:eastAsia="zh-CN"/>
              </w:rPr>
              <w:t>，所在水功能区为：</w:t>
            </w:r>
            <w:r>
              <w:rPr>
                <w:rFonts w:hint="default" w:ascii="Times New Roman" w:hAnsi="Times New Roman" w:eastAsia="宋体" w:cs="Times New Roman"/>
                <w:color w:val="auto"/>
                <w:sz w:val="24"/>
                <w:highlight w:val="none"/>
                <w:lang w:val="en-US" w:eastAsia="zh-CN"/>
              </w:rPr>
              <w:t>一级水功能区</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溢水河洋县保留区</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，目标水质为</w:t>
            </w:r>
            <w:r>
              <w:rPr>
                <w:rFonts w:hint="default" w:ascii="Times New Roman" w:hAnsi="Times New Roman" w:eastAsia="宋体" w:cs="Times New Roman"/>
                <w:color w:val="auto"/>
                <w:sz w:val="24"/>
                <w:highlight w:val="none"/>
                <w:lang w:val="en-US" w:eastAsia="zh-CN"/>
              </w:rPr>
              <w:fldChar w:fldCharType="begin"/>
            </w:r>
            <w:r>
              <w:rPr>
                <w:rFonts w:hint="default" w:ascii="Times New Roman" w:hAnsi="Times New Roman" w:eastAsia="宋体" w:cs="Times New Roman"/>
                <w:color w:val="auto"/>
                <w:sz w:val="24"/>
                <w:highlight w:val="none"/>
                <w:lang w:val="en-US" w:eastAsia="zh-CN"/>
              </w:rPr>
              <w:instrText xml:space="preserve"> = 2 \* ROMAN \* MERGEFORMAT </w:instrText>
            </w:r>
            <w:r>
              <w:rPr>
                <w:rFonts w:hint="default" w:ascii="Times New Roman" w:hAnsi="Times New Roman" w:eastAsia="宋体" w:cs="Times New Roman"/>
                <w:color w:val="auto"/>
                <w:sz w:val="24"/>
                <w:highlight w:val="none"/>
                <w:lang w:val="en-US" w:eastAsia="zh-CN"/>
              </w:rPr>
              <w:fldChar w:fldCharType="separate"/>
            </w:r>
            <w:r>
              <w:rPr>
                <w:rFonts w:hint="default" w:ascii="Times New Roman" w:hAnsi="Times New Roman" w:eastAsia="宋体" w:cs="Times New Roman"/>
                <w:color w:val="auto"/>
                <w:sz w:val="24"/>
                <w:highlight w:val="none"/>
                <w:lang w:val="en-US" w:eastAsia="zh-CN"/>
              </w:rPr>
              <w:t>II</w:t>
            </w:r>
            <w:r>
              <w:rPr>
                <w:rFonts w:hint="default" w:ascii="Times New Roman" w:hAnsi="Times New Roman" w:eastAsia="宋体" w:cs="Times New Roman"/>
                <w:color w:val="auto"/>
                <w:sz w:val="24"/>
                <w:highlight w:val="none"/>
                <w:lang w:val="en-US" w:eastAsia="zh-CN"/>
              </w:rPr>
              <w:fldChar w:fldCharType="end"/>
            </w:r>
            <w:r>
              <w:rPr>
                <w:rFonts w:hint="default" w:ascii="Times New Roman" w:hAnsi="Times New Roman" w:eastAsia="宋体" w:cs="Times New Roman"/>
                <w:color w:val="auto"/>
                <w:sz w:val="24"/>
                <w:highlight w:val="none"/>
                <w:lang w:val="en-US" w:eastAsia="zh-CN"/>
              </w:rPr>
              <w:t>类。</w:t>
            </w:r>
          </w:p>
          <w:p w14:paraId="790D4A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1"/>
                <w:szCs w:val="21"/>
                <w:highlight w:val="none"/>
                <w:lang w:val="en-US" w:eastAsia="zh-CN"/>
              </w:rPr>
            </w:pPr>
            <w:r>
              <w:rPr>
                <w:rFonts w:hint="eastAsia" w:cs="Times New Roman"/>
                <w:color w:val="auto"/>
                <w:sz w:val="24"/>
                <w:highlight w:val="none"/>
                <w:lang w:eastAsia="zh-CN"/>
              </w:rPr>
              <w:t>本</w:t>
            </w:r>
            <w:r>
              <w:rPr>
                <w:rFonts w:hint="default" w:ascii="Times New Roman" w:hAnsi="Times New Roman" w:cs="Times New Roman"/>
                <w:color w:val="auto"/>
                <w:sz w:val="24"/>
                <w:highlight w:val="none"/>
              </w:rPr>
              <w:t>项目建设内容</w:t>
            </w:r>
            <w:r>
              <w:rPr>
                <w:rFonts w:hint="eastAsia" w:cs="Times New Roman"/>
                <w:color w:val="auto"/>
                <w:sz w:val="24"/>
                <w:highlight w:val="none"/>
                <w:lang w:eastAsia="zh-CN"/>
              </w:rPr>
              <w:t>及</w:t>
            </w:r>
            <w:r>
              <w:rPr>
                <w:rFonts w:hint="default" w:ascii="Times New Roman" w:hAnsi="Times New Roman" w:cs="Times New Roman"/>
                <w:color w:val="auto"/>
                <w:sz w:val="24"/>
                <w:highlight w:val="none"/>
              </w:rPr>
              <w:t>组成情况见下表</w:t>
            </w:r>
            <w:r>
              <w:rPr>
                <w:rFonts w:hint="eastAsia" w:cs="Times New Roman"/>
                <w:color w:val="auto"/>
                <w:sz w:val="24"/>
                <w:highlight w:val="none"/>
                <w:lang w:eastAsia="zh-CN"/>
              </w:rPr>
              <w:t>：</w:t>
            </w:r>
          </w:p>
          <w:p w14:paraId="450E6F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表2-1  项目工程组成表</w:t>
            </w:r>
          </w:p>
          <w:tbl>
            <w:tblPr>
              <w:tblStyle w:val="31"/>
              <w:tblW w:w="809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44"/>
              <w:gridCol w:w="650"/>
              <w:gridCol w:w="937"/>
              <w:gridCol w:w="5961"/>
            </w:tblGrid>
            <w:tr w14:paraId="14C00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24" w:hRule="atLeast"/>
                <w:jc w:val="center"/>
              </w:trPr>
              <w:tc>
                <w:tcPr>
                  <w:tcW w:w="2131" w:type="dxa"/>
                  <w:gridSpan w:val="3"/>
                  <w:tcBorders>
                    <w:tl2br w:val="nil"/>
                    <w:tr2bl w:val="nil"/>
                  </w:tcBorders>
                  <w:noWrap w:val="0"/>
                  <w:vAlign w:val="center"/>
                </w:tcPr>
                <w:p w14:paraId="32C9BEAF">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工程分类</w:t>
                  </w:r>
                </w:p>
              </w:tc>
              <w:tc>
                <w:tcPr>
                  <w:tcW w:w="5961" w:type="dxa"/>
                  <w:tcBorders>
                    <w:tl2br w:val="nil"/>
                    <w:tr2bl w:val="nil"/>
                  </w:tcBorders>
                  <w:noWrap w:val="0"/>
                  <w:vAlign w:val="center"/>
                </w:tcPr>
                <w:p w14:paraId="595A27B2">
                  <w:pPr>
                    <w:kinsoku w:val="0"/>
                    <w:overflowPunct w:val="0"/>
                    <w:autoSpaceDE w:val="0"/>
                    <w:autoSpaceDN w:val="0"/>
                    <w:snapToGrid w:val="0"/>
                    <w:ind w:firstLine="10" w:firstLineChars="5"/>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建设内容及规模</w:t>
                  </w:r>
                </w:p>
              </w:tc>
            </w:tr>
            <w:tr w14:paraId="79D992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031" w:hRule="atLeast"/>
                <w:jc w:val="center"/>
              </w:trPr>
              <w:tc>
                <w:tcPr>
                  <w:tcW w:w="544" w:type="dxa"/>
                  <w:vMerge w:val="restart"/>
                  <w:tcBorders>
                    <w:tl2br w:val="nil"/>
                    <w:tr2bl w:val="nil"/>
                  </w:tcBorders>
                  <w:noWrap w:val="0"/>
                  <w:vAlign w:val="center"/>
                </w:tcPr>
                <w:p w14:paraId="39822346">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650" w:type="dxa"/>
                  <w:vMerge w:val="restart"/>
                  <w:tcBorders>
                    <w:tl2br w:val="nil"/>
                    <w:tr2bl w:val="nil"/>
                  </w:tcBorders>
                  <w:noWrap w:val="0"/>
                  <w:vAlign w:val="center"/>
                </w:tcPr>
                <w:p w14:paraId="5CF76577">
                  <w:pPr>
                    <w:kinsoku w:val="0"/>
                    <w:overflowPunct w:val="0"/>
                    <w:autoSpaceDE w:val="0"/>
                    <w:autoSpaceDN w:val="0"/>
                    <w:snapToGrid w:val="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污水</w:t>
                  </w:r>
                  <w:r>
                    <w:rPr>
                      <w:rFonts w:hint="default" w:ascii="Times New Roman" w:hAnsi="Times New Roman" w:cs="Times New Roman"/>
                      <w:color w:val="auto"/>
                      <w:highlight w:val="none"/>
                      <w:lang w:eastAsia="zh-CN"/>
                    </w:rPr>
                    <w:t>处理</w:t>
                  </w:r>
                  <w:r>
                    <w:rPr>
                      <w:rFonts w:hint="eastAsia" w:cs="Times New Roman"/>
                      <w:color w:val="auto"/>
                      <w:highlight w:val="none"/>
                      <w:lang w:eastAsia="zh-CN"/>
                    </w:rPr>
                    <w:t>厂</w:t>
                  </w:r>
                </w:p>
              </w:tc>
              <w:tc>
                <w:tcPr>
                  <w:tcW w:w="937" w:type="dxa"/>
                  <w:tcBorders>
                    <w:tl2br w:val="nil"/>
                    <w:tr2bl w:val="nil"/>
                  </w:tcBorders>
                  <w:noWrap w:val="0"/>
                  <w:vAlign w:val="center"/>
                </w:tcPr>
                <w:p w14:paraId="2F847E35">
                  <w:pPr>
                    <w:kinsoku w:val="0"/>
                    <w:overflowPunct w:val="0"/>
                    <w:autoSpaceDE w:val="0"/>
                    <w:autoSpaceDN w:val="0"/>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预处理</w:t>
                  </w:r>
                </w:p>
                <w:p w14:paraId="63F35DBD">
                  <w:pPr>
                    <w:kinsoku w:val="0"/>
                    <w:overflowPunct w:val="0"/>
                    <w:autoSpaceDE w:val="0"/>
                    <w:autoSpaceDN w:val="0"/>
                    <w:snapToGrid w:val="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单元</w:t>
                  </w:r>
                </w:p>
              </w:tc>
              <w:tc>
                <w:tcPr>
                  <w:tcW w:w="5961" w:type="dxa"/>
                  <w:tcBorders>
                    <w:tl2br w:val="nil"/>
                    <w:tr2bl w:val="nil"/>
                  </w:tcBorders>
                  <w:noWrap w:val="0"/>
                  <w:vAlign w:val="center"/>
                </w:tcPr>
                <w:p w14:paraId="69034F87">
                  <w:pPr>
                    <w:keepNext w:val="0"/>
                    <w:keepLines w:val="0"/>
                    <w:widowControl/>
                    <w:suppressLineNumbers w:val="0"/>
                    <w:jc w:val="both"/>
                    <w:rPr>
                      <w:rFonts w:hint="default" w:cs="Times New Roman"/>
                      <w:b w:val="0"/>
                      <w:bCs w:val="0"/>
                      <w:color w:val="auto"/>
                      <w:highlight w:val="none"/>
                      <w:lang w:val="en-US" w:eastAsia="zh-CN"/>
                    </w:rPr>
                  </w:pPr>
                  <w:r>
                    <w:rPr>
                      <w:rFonts w:hint="default" w:ascii="Times New Roman" w:hAnsi="Times New Roman" w:eastAsia="宋体" w:cs="Times New Roman"/>
                      <w:b w:val="0"/>
                      <w:bCs w:val="0"/>
                      <w:color w:val="auto"/>
                      <w:kern w:val="2"/>
                      <w:sz w:val="21"/>
                      <w:szCs w:val="24"/>
                      <w:highlight w:val="none"/>
                      <w:lang w:val="en-US" w:eastAsia="zh-CN" w:bidi="ar-SA"/>
                    </w:rPr>
                    <w:t>预处理间1座</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尺寸：L×B×H＝16.0m×9.3m×6.2m</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框架结构</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eastAsia" w:cs="Times New Roman"/>
                      <w:b w:val="0"/>
                      <w:bCs w:val="0"/>
                      <w:color w:val="auto"/>
                      <w:highlight w:val="none"/>
                      <w:lang w:val="en-US" w:eastAsia="zh-CN"/>
                    </w:rPr>
                    <w:t>格栅渠2座、集水池1座、调节池1座，全为地下式钢砼结构；</w:t>
                  </w:r>
                </w:p>
                <w:p w14:paraId="282A5EDF">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eastAsia" w:cs="Times New Roman"/>
                      <w:b w:val="0"/>
                      <w:bCs w:val="0"/>
                      <w:color w:val="auto"/>
                      <w:highlight w:val="none"/>
                      <w:lang w:val="en-US" w:eastAsia="zh-CN"/>
                    </w:rPr>
                    <w:t>其中格栅渠尺寸：L×B×H＝10.0m×0.6m×4.0m，去除进水中的漂浮物和悬浮物；</w:t>
                  </w:r>
                  <w:r>
                    <w:rPr>
                      <w:rFonts w:hint="eastAsia" w:ascii="Times New Roman" w:hAnsi="Times New Roman" w:eastAsia="宋体" w:cs="Times New Roman"/>
                      <w:b w:val="0"/>
                      <w:bCs w:val="0"/>
                      <w:color w:val="auto"/>
                      <w:kern w:val="2"/>
                      <w:sz w:val="21"/>
                      <w:szCs w:val="24"/>
                      <w:highlight w:val="none"/>
                      <w:lang w:val="en-US" w:eastAsia="zh-CN" w:bidi="ar-SA"/>
                    </w:rPr>
                    <w:t>集水池尺寸：L×B×H＝5.0m×3.0m×5.5m；调节池尺寸L×B×H＝16.0m×6.3m×5.5m，停留时间7h，</w:t>
                  </w:r>
                  <w:r>
                    <w:rPr>
                      <w:rFonts w:hint="default" w:ascii="Times New Roman" w:hAnsi="Times New Roman" w:eastAsia="宋体" w:cs="Times New Roman"/>
                      <w:color w:val="auto"/>
                      <w:highlight w:val="none"/>
                      <w:lang w:val="en-US" w:eastAsia="zh-CN"/>
                    </w:rPr>
                    <w:t>主要用于调节水量，均</w:t>
                  </w:r>
                  <w:r>
                    <w:rPr>
                      <w:rFonts w:hint="eastAsia" w:eastAsia="宋体" w:cs="Times New Roman"/>
                      <w:color w:val="auto"/>
                      <w:highlight w:val="none"/>
                      <w:lang w:val="en-US" w:eastAsia="zh-CN"/>
                    </w:rPr>
                    <w:t>化</w:t>
                  </w:r>
                  <w:r>
                    <w:rPr>
                      <w:rFonts w:hint="default" w:ascii="Times New Roman" w:hAnsi="Times New Roman" w:eastAsia="宋体" w:cs="Times New Roman"/>
                      <w:color w:val="auto"/>
                      <w:highlight w:val="none"/>
                      <w:lang w:val="en-US" w:eastAsia="zh-CN"/>
                    </w:rPr>
                    <w:t>水质</w:t>
                  </w:r>
                  <w:r>
                    <w:rPr>
                      <w:rFonts w:hint="eastAsia" w:ascii="Times New Roman" w:hAnsi="Times New Roman" w:eastAsia="宋体" w:cs="Times New Roman"/>
                      <w:color w:val="auto"/>
                      <w:highlight w:val="none"/>
                      <w:lang w:val="en-US" w:eastAsia="zh-CN"/>
                    </w:rPr>
                    <w:t>。</w:t>
                  </w:r>
                </w:p>
              </w:tc>
            </w:tr>
            <w:tr w14:paraId="71F48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09" w:hRule="atLeast"/>
                <w:jc w:val="center"/>
              </w:trPr>
              <w:tc>
                <w:tcPr>
                  <w:tcW w:w="544" w:type="dxa"/>
                  <w:vMerge w:val="continue"/>
                  <w:tcBorders>
                    <w:tl2br w:val="nil"/>
                    <w:tr2bl w:val="nil"/>
                  </w:tcBorders>
                  <w:noWrap w:val="0"/>
                  <w:vAlign w:val="center"/>
                </w:tcPr>
                <w:p w14:paraId="1D4E47A0">
                  <w:pPr>
                    <w:kinsoku w:val="0"/>
                    <w:overflowPunct w:val="0"/>
                    <w:autoSpaceDE w:val="0"/>
                    <w:autoSpaceDN w:val="0"/>
                    <w:snapToGrid w:val="0"/>
                    <w:jc w:val="center"/>
                    <w:rPr>
                      <w:rFonts w:hint="default" w:ascii="Times New Roman" w:hAnsi="Times New Roman" w:cs="Times New Roman"/>
                      <w:color w:val="auto"/>
                      <w:highlight w:val="none"/>
                    </w:rPr>
                  </w:pPr>
                </w:p>
              </w:tc>
              <w:tc>
                <w:tcPr>
                  <w:tcW w:w="650" w:type="dxa"/>
                  <w:vMerge w:val="continue"/>
                  <w:tcBorders>
                    <w:tl2br w:val="nil"/>
                    <w:tr2bl w:val="nil"/>
                  </w:tcBorders>
                  <w:noWrap w:val="0"/>
                  <w:vAlign w:val="center"/>
                </w:tcPr>
                <w:p w14:paraId="1198C395">
                  <w:pPr>
                    <w:kinsoku w:val="0"/>
                    <w:overflowPunct w:val="0"/>
                    <w:autoSpaceDE w:val="0"/>
                    <w:autoSpaceDN w:val="0"/>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15BD9DDE">
                  <w:pPr>
                    <w:kinsoku w:val="0"/>
                    <w:overflowPunct w:val="0"/>
                    <w:autoSpaceDE w:val="0"/>
                    <w:autoSpaceDN w:val="0"/>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生物处理单元</w:t>
                  </w:r>
                </w:p>
              </w:tc>
              <w:tc>
                <w:tcPr>
                  <w:tcW w:w="5961" w:type="dxa"/>
                  <w:tcBorders>
                    <w:tl2br w:val="nil"/>
                    <w:tr2bl w:val="nil"/>
                  </w:tcBorders>
                  <w:noWrap w:val="0"/>
                  <w:vAlign w:val="center"/>
                </w:tcPr>
                <w:p w14:paraId="1FC871F4">
                  <w:pPr>
                    <w:keepNext w:val="0"/>
                    <w:keepLines w:val="0"/>
                    <w:widowControl/>
                    <w:suppressLineNumbers w:val="0"/>
                    <w:jc w:val="both"/>
                    <w:rPr>
                      <w:rFonts w:hint="default" w:ascii="Times New Roman" w:hAnsi="Times New Roman"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①</w:t>
                  </w:r>
                  <w:r>
                    <w:rPr>
                      <w:rFonts w:hint="default" w:ascii="Times New Roman" w:hAnsi="Times New Roman" w:cs="Times New Roman"/>
                      <w:b w:val="0"/>
                      <w:bCs w:val="0"/>
                      <w:color w:val="auto"/>
                      <w:highlight w:val="none"/>
                      <w:lang w:val="en-US" w:eastAsia="zh-CN"/>
                    </w:rPr>
                    <w:t>AAO生化池1座两组，并联运行，半地上式钢砼结构，尺寸：L×B×H＝17.7m×13.5m×6.0m，去除COD、氨氮、TN、TP等污染物。</w:t>
                  </w:r>
                </w:p>
                <w:p w14:paraId="7A78D6D0">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val="0"/>
                      <w:bCs w:val="0"/>
                      <w:color w:val="auto"/>
                      <w:highlight w:val="none"/>
                      <w:lang w:val="en-US" w:eastAsia="zh-CN"/>
                    </w:rPr>
                    <w:t>②</w:t>
                  </w:r>
                  <w:r>
                    <w:rPr>
                      <w:rFonts w:hint="default" w:ascii="Times New Roman" w:hAnsi="Times New Roman" w:cs="Times New Roman"/>
                      <w:b w:val="0"/>
                      <w:bCs w:val="0"/>
                      <w:color w:val="auto"/>
                      <w:highlight w:val="none"/>
                      <w:lang w:val="en-US" w:eastAsia="zh-CN"/>
                    </w:rPr>
                    <w:t>二沉池1座，尺寸：D×H＝φ10.0m×4.5m，半地上式钢砼结构，有效水深：h=4.0m，主要功能为泥水分离。</w:t>
                  </w:r>
                </w:p>
              </w:tc>
            </w:tr>
            <w:tr w14:paraId="1B548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6" w:hRule="atLeast"/>
                <w:jc w:val="center"/>
              </w:trPr>
              <w:tc>
                <w:tcPr>
                  <w:tcW w:w="544" w:type="dxa"/>
                  <w:vMerge w:val="continue"/>
                  <w:tcBorders>
                    <w:tl2br w:val="nil"/>
                    <w:tr2bl w:val="nil"/>
                  </w:tcBorders>
                  <w:noWrap w:val="0"/>
                  <w:vAlign w:val="center"/>
                </w:tcPr>
                <w:p w14:paraId="59BBAEFB">
                  <w:pPr>
                    <w:widowControl/>
                    <w:snapToGrid w:val="0"/>
                    <w:jc w:val="center"/>
                    <w:rPr>
                      <w:rFonts w:hint="default" w:ascii="Times New Roman" w:hAnsi="Times New Roman" w:cs="Times New Roman"/>
                      <w:color w:val="auto"/>
                      <w:highlight w:val="none"/>
                    </w:rPr>
                  </w:pPr>
                </w:p>
              </w:tc>
              <w:tc>
                <w:tcPr>
                  <w:tcW w:w="650" w:type="dxa"/>
                  <w:vMerge w:val="continue"/>
                  <w:tcBorders>
                    <w:tl2br w:val="nil"/>
                    <w:tr2bl w:val="nil"/>
                  </w:tcBorders>
                  <w:noWrap w:val="0"/>
                  <w:vAlign w:val="center"/>
                </w:tcPr>
                <w:p w14:paraId="5812C510">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56DAC2DA">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深度处理单元</w:t>
                  </w:r>
                </w:p>
              </w:tc>
              <w:tc>
                <w:tcPr>
                  <w:tcW w:w="5961" w:type="dxa"/>
                  <w:tcBorders>
                    <w:tl2br w:val="nil"/>
                    <w:tr2bl w:val="nil"/>
                  </w:tcBorders>
                  <w:noWrap w:val="0"/>
                  <w:vAlign w:val="center"/>
                </w:tcPr>
                <w:p w14:paraId="66009C18">
                  <w:pPr>
                    <w:keepNext w:val="0"/>
                    <w:keepLines w:val="0"/>
                    <w:widowControl/>
                    <w:suppressLineNumbers w:val="0"/>
                    <w:jc w:val="both"/>
                    <w:rPr>
                      <w:rFonts w:hint="default" w:ascii="Times New Roman" w:hAnsi="Times New Roman" w:cs="Times New Roman"/>
                      <w:b w:val="0"/>
                      <w:bCs w:val="0"/>
                      <w:color w:val="auto"/>
                      <w:highlight w:val="none"/>
                      <w:lang w:val="en-US" w:eastAsia="zh-CN"/>
                    </w:rPr>
                  </w:pPr>
                  <w:r>
                    <w:rPr>
                      <w:rFonts w:hint="eastAsia" w:ascii="宋体" w:hAnsi="宋体" w:eastAsia="宋体" w:cs="宋体"/>
                      <w:b w:val="0"/>
                      <w:bCs w:val="0"/>
                      <w:color w:val="auto"/>
                      <w:highlight w:val="none"/>
                      <w:lang w:val="en-US" w:eastAsia="zh-CN"/>
                    </w:rPr>
                    <w:t>①</w:t>
                  </w:r>
                  <w:r>
                    <w:rPr>
                      <w:rFonts w:hint="eastAsia" w:cs="Times New Roman"/>
                      <w:b w:val="0"/>
                      <w:bCs w:val="0"/>
                      <w:color w:val="auto"/>
                      <w:highlight w:val="none"/>
                      <w:lang w:val="en-US" w:eastAsia="zh-CN"/>
                    </w:rPr>
                    <w:t>高密沉淀池1座，尺寸：</w:t>
                  </w:r>
                  <w:r>
                    <w:rPr>
                      <w:rFonts w:hint="default" w:ascii="Times New Roman" w:hAnsi="Times New Roman" w:cs="Times New Roman"/>
                      <w:b w:val="0"/>
                      <w:bCs w:val="0"/>
                      <w:color w:val="auto"/>
                      <w:highlight w:val="none"/>
                      <w:lang w:val="en-US" w:eastAsia="zh-CN"/>
                    </w:rPr>
                    <w:t>L×B×H＝7.5m×4.3m×5.2m，半地上式钢砼结构，进一步去除TP、SS等污染物。</w:t>
                  </w:r>
                </w:p>
                <w:p w14:paraId="23B4F213">
                  <w:pPr>
                    <w:keepNext w:val="0"/>
                    <w:keepLines w:val="0"/>
                    <w:widowControl/>
                    <w:suppressLineNumbers w:val="0"/>
                    <w:jc w:val="both"/>
                    <w:rPr>
                      <w:rFonts w:hint="default" w:ascii="Times New Roman" w:hAnsi="Times New Roman" w:cs="Times New Roman"/>
                      <w:b w:val="0"/>
                      <w:bCs w:val="0"/>
                      <w:color w:val="auto"/>
                      <w:highlight w:val="none"/>
                      <w:lang w:eastAsia="zh-CN"/>
                    </w:rPr>
                  </w:pPr>
                  <w:r>
                    <w:rPr>
                      <w:rFonts w:hint="default" w:ascii="Times New Roman" w:hAnsi="Times New Roman" w:eastAsia="宋体" w:cs="Times New Roman"/>
                      <w:b w:val="0"/>
                      <w:bCs w:val="0"/>
                      <w:color w:val="auto"/>
                      <w:highlight w:val="none"/>
                      <w:lang w:val="en-US" w:eastAsia="zh-CN"/>
                    </w:rPr>
                    <w:t>②滤布滤池1座，尺寸：L×B×H＝4.0m×4.3m×5.2m，半地下式钢砼结构，去除污水中细小的悬浮物、颗粒物。</w:t>
                  </w:r>
                </w:p>
                <w:p w14:paraId="00EF46CB">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val="0"/>
                      <w:bCs w:val="0"/>
                      <w:color w:val="auto"/>
                      <w:highlight w:val="none"/>
                      <w:lang w:eastAsia="zh-CN"/>
                    </w:rPr>
                    <w:t>③</w:t>
                  </w:r>
                  <w:r>
                    <w:rPr>
                      <w:rFonts w:hint="default" w:ascii="Times New Roman" w:hAnsi="Times New Roman" w:cs="Times New Roman"/>
                      <w:b w:val="0"/>
                      <w:bCs w:val="0"/>
                      <w:color w:val="auto"/>
                      <w:highlight w:val="none"/>
                      <w:lang w:eastAsia="zh-CN"/>
                    </w:rPr>
                    <w:t>接触消毒池</w:t>
                  </w:r>
                  <w:r>
                    <w:rPr>
                      <w:rFonts w:hint="default" w:ascii="Times New Roman" w:hAnsi="Times New Roman" w:cs="Times New Roman"/>
                      <w:b w:val="0"/>
                      <w:bCs w:val="0"/>
                      <w:color w:val="auto"/>
                      <w:highlight w:val="none"/>
                      <w:lang w:val="en-US" w:eastAsia="zh-CN"/>
                    </w:rPr>
                    <w:t>1座</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地下</w:t>
                  </w:r>
                  <w:r>
                    <w:rPr>
                      <w:rFonts w:hint="default" w:ascii="Times New Roman" w:hAnsi="Times New Roman" w:cs="Times New Roman"/>
                      <w:color w:val="auto"/>
                      <w:highlight w:val="none"/>
                      <w:lang w:val="en-US" w:eastAsia="zh-CN"/>
                    </w:rPr>
                    <w:t>钢砼</w:t>
                  </w:r>
                  <w:r>
                    <w:rPr>
                      <w:rFonts w:hint="default" w:ascii="Times New Roman" w:hAnsi="Times New Roman" w:eastAsia="宋体" w:cs="Times New Roman"/>
                      <w:color w:val="auto"/>
                      <w:highlight w:val="none"/>
                      <w:lang w:val="en-US" w:eastAsia="zh-CN"/>
                    </w:rPr>
                    <w:t>结构，尺寸：L×B×H＝9.5m×7.0m×2.5m，用于杀灭细菌；消毒接触时间：大于30 min</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消毒剂为次氯酸钠</w:t>
                  </w:r>
                  <w:r>
                    <w:rPr>
                      <w:rFonts w:hint="default" w:ascii="Times New Roman" w:hAnsi="Times New Roman" w:cs="Times New Roman"/>
                      <w:color w:val="auto"/>
                      <w:highlight w:val="none"/>
                      <w:lang w:val="en-US" w:eastAsia="zh-CN"/>
                    </w:rPr>
                    <w:t>。</w:t>
                  </w:r>
                </w:p>
              </w:tc>
            </w:tr>
            <w:tr w14:paraId="362D8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544" w:type="dxa"/>
                  <w:vMerge w:val="continue"/>
                  <w:tcBorders>
                    <w:tl2br w:val="nil"/>
                    <w:tr2bl w:val="nil"/>
                  </w:tcBorders>
                  <w:noWrap w:val="0"/>
                  <w:vAlign w:val="center"/>
                </w:tcPr>
                <w:p w14:paraId="21B5E04B">
                  <w:pPr>
                    <w:widowControl/>
                    <w:snapToGrid w:val="0"/>
                    <w:jc w:val="center"/>
                    <w:rPr>
                      <w:rFonts w:hint="default" w:ascii="Times New Roman" w:hAnsi="Times New Roman" w:cs="Times New Roman"/>
                      <w:color w:val="auto"/>
                      <w:highlight w:val="none"/>
                    </w:rPr>
                  </w:pPr>
                </w:p>
              </w:tc>
              <w:tc>
                <w:tcPr>
                  <w:tcW w:w="650" w:type="dxa"/>
                  <w:vMerge w:val="continue"/>
                  <w:tcBorders>
                    <w:tl2br w:val="nil"/>
                    <w:tr2bl w:val="nil"/>
                  </w:tcBorders>
                  <w:noWrap w:val="0"/>
                  <w:vAlign w:val="center"/>
                </w:tcPr>
                <w:p w14:paraId="03A5C15E">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6B3BA9A8">
                  <w:pPr>
                    <w:kinsoku w:val="0"/>
                    <w:overflowPunct w:val="0"/>
                    <w:autoSpaceDE w:val="0"/>
                    <w:autoSpaceDN w:val="0"/>
                    <w:snapToGrid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eastAsia="zh-CN"/>
                    </w:rPr>
                    <w:t>污泥</w:t>
                  </w:r>
                  <w:r>
                    <w:rPr>
                      <w:rFonts w:hint="eastAsia" w:cs="Times New Roman"/>
                      <w:color w:val="auto"/>
                      <w:highlight w:val="none"/>
                      <w:lang w:val="en-US" w:eastAsia="zh-CN"/>
                    </w:rPr>
                    <w:t>处理单元</w:t>
                  </w:r>
                </w:p>
              </w:tc>
              <w:tc>
                <w:tcPr>
                  <w:tcW w:w="5961" w:type="dxa"/>
                  <w:tcBorders>
                    <w:tl2br w:val="nil"/>
                    <w:tr2bl w:val="nil"/>
                  </w:tcBorders>
                  <w:noWrap w:val="0"/>
                  <w:vAlign w:val="center"/>
                </w:tcPr>
                <w:p w14:paraId="598E02C0">
                  <w:pPr>
                    <w:kinsoku w:val="0"/>
                    <w:overflowPunct w:val="0"/>
                    <w:autoSpaceDE w:val="0"/>
                    <w:autoSpaceDN w:val="0"/>
                    <w:snapToGrid w:val="0"/>
                    <w:jc w:val="both"/>
                    <w:rPr>
                      <w:rFonts w:hint="eastAsia"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污泥脱水间1座</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尺寸：L×B×H＝15.9m×10.5m×13.6m</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地上两层框架结构</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污泥浓缩池1座</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尺寸：D×H＝φ7.0m×5.0m</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半地上式钢砼结构</w:t>
                  </w:r>
                  <w:r>
                    <w:rPr>
                      <w:rFonts w:hint="eastAsia" w:cs="Times New Roman"/>
                      <w:b w:val="0"/>
                      <w:bCs w:val="0"/>
                      <w:color w:val="auto"/>
                      <w:highlight w:val="none"/>
                      <w:lang w:val="en-US" w:eastAsia="zh-CN"/>
                    </w:rPr>
                    <w:t>；此外，还配备污泥浓缩刮泥机、低压污泥泵、叠螺浓缩机、高压板框脱水机、空压机等设备。</w:t>
                  </w:r>
                </w:p>
                <w:p w14:paraId="3C916697">
                  <w:pPr>
                    <w:kinsoku w:val="0"/>
                    <w:overflowPunct w:val="0"/>
                    <w:autoSpaceDE w:val="0"/>
                    <w:autoSpaceDN w:val="0"/>
                    <w:snapToGrid w:val="0"/>
                    <w:jc w:val="both"/>
                    <w:rPr>
                      <w:rFonts w:hint="default"/>
                      <w:color w:val="auto"/>
                      <w:highlight w:val="none"/>
                      <w:lang w:val="en-US" w:eastAsia="zh-CN"/>
                    </w:rPr>
                  </w:pPr>
                  <w:r>
                    <w:rPr>
                      <w:rFonts w:hint="default" w:ascii="Times New Roman" w:hAnsi="Times New Roman" w:eastAsia="宋体" w:cs="Times New Roman"/>
                      <w:b w:val="0"/>
                      <w:bCs w:val="0"/>
                      <w:color w:val="auto"/>
                      <w:kern w:val="2"/>
                      <w:sz w:val="21"/>
                      <w:szCs w:val="24"/>
                      <w:highlight w:val="none"/>
                      <w:lang w:val="en-US" w:eastAsia="zh-CN" w:bidi="ar-SA"/>
                    </w:rPr>
                    <w:t>污泥采用“污泥浓缩池+叠螺脱水机+高压板框脱水机”进行处理后</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泥饼含水率在60%以下。</w:t>
                  </w:r>
                </w:p>
              </w:tc>
            </w:tr>
            <w:tr w14:paraId="72475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restart"/>
                  <w:tcBorders>
                    <w:tl2br w:val="nil"/>
                    <w:tr2bl w:val="nil"/>
                  </w:tcBorders>
                  <w:noWrap w:val="0"/>
                  <w:vAlign w:val="center"/>
                </w:tcPr>
                <w:p w14:paraId="2A6FECC9">
                  <w:pPr>
                    <w:widowControl/>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辅助</w:t>
                  </w:r>
                </w:p>
                <w:p w14:paraId="1EAECDB6">
                  <w:pPr>
                    <w:widowControl/>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工程</w:t>
                  </w:r>
                </w:p>
              </w:tc>
              <w:tc>
                <w:tcPr>
                  <w:tcW w:w="937" w:type="dxa"/>
                  <w:tcBorders>
                    <w:tl2br w:val="nil"/>
                    <w:tr2bl w:val="nil"/>
                  </w:tcBorders>
                  <w:noWrap w:val="0"/>
                  <w:vAlign w:val="center"/>
                </w:tcPr>
                <w:p w14:paraId="288C7651">
                  <w:pPr>
                    <w:kinsoku w:val="0"/>
                    <w:overflowPunct w:val="0"/>
                    <w:autoSpaceDE w:val="0"/>
                    <w:autoSpaceDN w:val="0"/>
                    <w:snapToGrid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配电</w:t>
                  </w:r>
                  <w:r>
                    <w:rPr>
                      <w:rFonts w:hint="eastAsia" w:cs="Times New Roman"/>
                      <w:color w:val="auto"/>
                      <w:highlight w:val="none"/>
                      <w:lang w:val="en-US" w:eastAsia="zh-CN"/>
                    </w:rPr>
                    <w:t>室</w:t>
                  </w:r>
                </w:p>
              </w:tc>
              <w:tc>
                <w:tcPr>
                  <w:tcW w:w="5961" w:type="dxa"/>
                  <w:tcBorders>
                    <w:tl2br w:val="nil"/>
                    <w:tr2bl w:val="nil"/>
                  </w:tcBorders>
                  <w:noWrap w:val="0"/>
                  <w:vAlign w:val="center"/>
                </w:tcPr>
                <w:p w14:paraId="0FC6D086">
                  <w:pPr>
                    <w:kinsoku w:val="0"/>
                    <w:overflowPunct w:val="0"/>
                    <w:autoSpaceDE w:val="0"/>
                    <w:autoSpaceDN w:val="0"/>
                    <w:snapToGrid w:val="0"/>
                    <w:jc w:val="both"/>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高压配电室：</w:t>
                  </w:r>
                  <w:r>
                    <w:rPr>
                      <w:rFonts w:hint="default" w:ascii="Times New Roman" w:hAnsi="Times New Roman" w:eastAsia="宋体" w:cs="Times New Roman"/>
                      <w:b w:val="0"/>
                      <w:bCs w:val="0"/>
                      <w:color w:val="auto"/>
                      <w:highlight w:val="none"/>
                      <w:lang w:val="en-US" w:eastAsia="zh-CN"/>
                    </w:rPr>
                    <w:t>1层，</w:t>
                  </w:r>
                  <w:r>
                    <w:rPr>
                      <w:rFonts w:hint="eastAsia" w:ascii="Times New Roman" w:hAnsi="Times New Roman" w:eastAsia="宋体" w:cs="Times New Roman"/>
                      <w:b w:val="0"/>
                      <w:bCs w:val="0"/>
                      <w:color w:val="auto"/>
                      <w:highlight w:val="none"/>
                      <w:lang w:val="en-US" w:eastAsia="zh-CN"/>
                    </w:rPr>
                    <w:t>地上框架结构，</w:t>
                  </w:r>
                  <w:r>
                    <w:rPr>
                      <w:rFonts w:hint="default" w:ascii="Times New Roman" w:hAnsi="Times New Roman" w:eastAsia="宋体" w:cs="Times New Roman"/>
                      <w:b w:val="0"/>
                      <w:bCs w:val="0"/>
                      <w:color w:val="auto"/>
                      <w:highlight w:val="none"/>
                      <w:lang w:val="en-US" w:eastAsia="zh-CN"/>
                    </w:rPr>
                    <w:t>尺寸：L×B×H=10.8m×8.1m×4.5m</w:t>
                  </w:r>
                  <w:r>
                    <w:rPr>
                      <w:rFonts w:hint="eastAsia" w:ascii="Times New Roman" w:hAnsi="Times New Roman" w:eastAsia="宋体" w:cs="Times New Roman"/>
                      <w:b w:val="0"/>
                      <w:bCs w:val="0"/>
                      <w:color w:val="auto"/>
                      <w:highlight w:val="none"/>
                      <w:lang w:val="en-US" w:eastAsia="zh-CN"/>
                    </w:rPr>
                    <w:t>；</w:t>
                  </w:r>
                </w:p>
                <w:p w14:paraId="7626BEF1">
                  <w:pPr>
                    <w:kinsoku w:val="0"/>
                    <w:overflowPunct w:val="0"/>
                    <w:autoSpaceDE w:val="0"/>
                    <w:autoSpaceDN w:val="0"/>
                    <w:snapToGrid w:val="0"/>
                    <w:jc w:val="both"/>
                    <w:rPr>
                      <w:rFonts w:hint="default"/>
                      <w:color w:val="auto"/>
                      <w:highlight w:val="none"/>
                      <w:lang w:val="en-US" w:eastAsia="zh-CN"/>
                    </w:rPr>
                  </w:pPr>
                  <w:r>
                    <w:rPr>
                      <w:rFonts w:hint="eastAsia" w:ascii="Times New Roman" w:hAnsi="Times New Roman" w:eastAsia="宋体" w:cs="Times New Roman"/>
                      <w:b w:val="0"/>
                      <w:bCs w:val="0"/>
                      <w:color w:val="auto"/>
                      <w:highlight w:val="none"/>
                      <w:lang w:val="en-US" w:eastAsia="zh-CN"/>
                    </w:rPr>
                    <w:t>低压配电室：</w:t>
                  </w:r>
                  <w:r>
                    <w:rPr>
                      <w:rFonts w:hint="default" w:ascii="Times New Roman" w:hAnsi="Times New Roman" w:eastAsia="宋体" w:cs="Times New Roman"/>
                      <w:b w:val="0"/>
                      <w:bCs w:val="0"/>
                      <w:color w:val="auto"/>
                      <w:highlight w:val="none"/>
                      <w:lang w:val="en-US" w:eastAsia="zh-CN"/>
                    </w:rPr>
                    <w:t>1层，</w:t>
                  </w:r>
                  <w:r>
                    <w:rPr>
                      <w:rFonts w:hint="eastAsia" w:ascii="Times New Roman" w:hAnsi="Times New Roman" w:eastAsia="宋体" w:cs="Times New Roman"/>
                      <w:b w:val="0"/>
                      <w:bCs w:val="0"/>
                      <w:color w:val="auto"/>
                      <w:highlight w:val="none"/>
                      <w:lang w:val="en-US" w:eastAsia="zh-CN"/>
                    </w:rPr>
                    <w:t>地上框架结构，</w:t>
                  </w:r>
                  <w:r>
                    <w:rPr>
                      <w:rFonts w:hint="default" w:ascii="Times New Roman" w:hAnsi="Times New Roman" w:eastAsia="宋体" w:cs="Times New Roman"/>
                      <w:b w:val="0"/>
                      <w:bCs w:val="0"/>
                      <w:color w:val="auto"/>
                      <w:highlight w:val="none"/>
                      <w:lang w:val="en-US" w:eastAsia="zh-CN"/>
                    </w:rPr>
                    <w:t>尺寸：L×B×H=12.0m×8.1m×4.5m</w:t>
                  </w:r>
                  <w:r>
                    <w:rPr>
                      <w:rFonts w:hint="eastAsia" w:ascii="Times New Roman" w:hAnsi="Times New Roman" w:eastAsia="宋体" w:cs="Times New Roman"/>
                      <w:b w:val="0"/>
                      <w:bCs w:val="0"/>
                      <w:color w:val="auto"/>
                      <w:highlight w:val="none"/>
                      <w:lang w:val="en-US" w:eastAsia="zh-CN"/>
                    </w:rPr>
                    <w:t>。</w:t>
                  </w:r>
                </w:p>
              </w:tc>
            </w:tr>
            <w:tr w14:paraId="33F46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02D7D05E">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0910083B">
                  <w:pPr>
                    <w:kinsoku w:val="0"/>
                    <w:overflowPunct w:val="0"/>
                    <w:autoSpaceDE w:val="0"/>
                    <w:autoSpaceDN w:val="0"/>
                    <w:snapToGrid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危废间</w:t>
                  </w:r>
                </w:p>
              </w:tc>
              <w:tc>
                <w:tcPr>
                  <w:tcW w:w="5961" w:type="dxa"/>
                  <w:tcBorders>
                    <w:tl2br w:val="nil"/>
                    <w:tr2bl w:val="nil"/>
                  </w:tcBorders>
                  <w:noWrap w:val="0"/>
                  <w:vAlign w:val="center"/>
                </w:tcPr>
                <w:p w14:paraId="7A354E8B">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1层，</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尺寸：L×B×H=3.0m×8.1m×4.5m</w:t>
                  </w:r>
                  <w:r>
                    <w:rPr>
                      <w:rFonts w:hint="eastAsia" w:ascii="Times New Roman" w:hAnsi="Times New Roman" w:eastAsia="宋体" w:cs="Times New Roman"/>
                      <w:color w:val="auto"/>
                      <w:highlight w:val="none"/>
                      <w:lang w:val="en-US" w:eastAsia="zh-CN"/>
                    </w:rPr>
                    <w:t>。</w:t>
                  </w:r>
                </w:p>
              </w:tc>
            </w:tr>
            <w:tr w14:paraId="23789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15EA8216">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7A9CAB9B">
                  <w:pPr>
                    <w:kinsoku w:val="0"/>
                    <w:overflowPunct w:val="0"/>
                    <w:autoSpaceDE w:val="0"/>
                    <w:autoSpaceDN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柴油发电机房</w:t>
                  </w:r>
                </w:p>
              </w:tc>
              <w:tc>
                <w:tcPr>
                  <w:tcW w:w="5961" w:type="dxa"/>
                  <w:tcBorders>
                    <w:tl2br w:val="nil"/>
                    <w:tr2bl w:val="nil"/>
                  </w:tcBorders>
                  <w:noWrap w:val="0"/>
                  <w:vAlign w:val="center"/>
                </w:tcPr>
                <w:p w14:paraId="351DF4EB">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1层，</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尺寸：L×B×H=5.1m×8.1m×4.5m</w:t>
                  </w:r>
                  <w:r>
                    <w:rPr>
                      <w:rFonts w:hint="eastAsia" w:ascii="Times New Roman" w:hAnsi="Times New Roman" w:eastAsia="宋体" w:cs="Times New Roman"/>
                      <w:color w:val="auto"/>
                      <w:highlight w:val="none"/>
                      <w:lang w:val="en-US" w:eastAsia="zh-CN"/>
                    </w:rPr>
                    <w:t>。</w:t>
                  </w:r>
                </w:p>
              </w:tc>
            </w:tr>
            <w:tr w14:paraId="6F523B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62D077DB">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129CCA32">
                  <w:pPr>
                    <w:keepNext w:val="0"/>
                    <w:keepLines w:val="0"/>
                    <w:widowControl/>
                    <w:suppressLineNumbers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鼓</w:t>
                  </w:r>
                  <w:r>
                    <w:rPr>
                      <w:rFonts w:hint="default" w:ascii="Times New Roman" w:hAnsi="Times New Roman" w:eastAsia="宋体" w:cs="Times New Roman"/>
                      <w:color w:val="auto"/>
                      <w:highlight w:val="none"/>
                      <w:lang w:val="en-US" w:eastAsia="zh-CN"/>
                    </w:rPr>
                    <w:t>风</w:t>
                  </w:r>
                </w:p>
                <w:p w14:paraId="336448DB">
                  <w:pPr>
                    <w:keepNext w:val="0"/>
                    <w:keepLines w:val="0"/>
                    <w:widowControl/>
                    <w:suppressLineNumbers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机房</w:t>
                  </w:r>
                </w:p>
              </w:tc>
              <w:tc>
                <w:tcPr>
                  <w:tcW w:w="5961" w:type="dxa"/>
                  <w:tcBorders>
                    <w:tl2br w:val="nil"/>
                    <w:tr2bl w:val="nil"/>
                  </w:tcBorders>
                  <w:noWrap w:val="0"/>
                  <w:vAlign w:val="center"/>
                </w:tcPr>
                <w:p w14:paraId="5FD80391">
                  <w:pPr>
                    <w:keepNext w:val="0"/>
                    <w:keepLines w:val="0"/>
                    <w:widowControl/>
                    <w:suppressLineNumbers w:val="0"/>
                    <w:jc w:val="both"/>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1层，</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，尺寸：L×B×H＝6.0m×8.1m×4.5m，为曝气池提供曝气量，提供好氧微生物在进行有机污染物分解所需氧气量。</w:t>
                  </w:r>
                </w:p>
              </w:tc>
            </w:tr>
            <w:tr w14:paraId="12857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07" w:hRule="atLeast"/>
                <w:jc w:val="center"/>
              </w:trPr>
              <w:tc>
                <w:tcPr>
                  <w:tcW w:w="1194" w:type="dxa"/>
                  <w:gridSpan w:val="2"/>
                  <w:vMerge w:val="continue"/>
                  <w:tcBorders>
                    <w:tl2br w:val="nil"/>
                    <w:tr2bl w:val="nil"/>
                  </w:tcBorders>
                  <w:noWrap w:val="0"/>
                  <w:vAlign w:val="center"/>
                </w:tcPr>
                <w:p w14:paraId="7BA8D724">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3007437A">
                  <w:pPr>
                    <w:kinsoku w:val="0"/>
                    <w:overflowPunct w:val="0"/>
                    <w:autoSpaceDE w:val="0"/>
                    <w:autoSpaceDN w:val="0"/>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加药间</w:t>
                  </w:r>
                </w:p>
              </w:tc>
              <w:tc>
                <w:tcPr>
                  <w:tcW w:w="5961" w:type="dxa"/>
                  <w:tcBorders>
                    <w:tl2br w:val="nil"/>
                    <w:tr2bl w:val="nil"/>
                  </w:tcBorders>
                  <w:noWrap w:val="0"/>
                  <w:vAlign w:val="center"/>
                </w:tcPr>
                <w:p w14:paraId="3BD7D392">
                  <w:pPr>
                    <w:keepNext w:val="0"/>
                    <w:keepLines w:val="0"/>
                    <w:widowControl/>
                    <w:suppressLineNumbers w:val="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层</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，尺寸：L×B×H＝5.1m×8.1m×4.5m。加药间内设置次氯酸钠消毒装置、PAM加药装置、PAC加药装置，分别为接触消毒池提供次氯酸钠、高密池提供除磷药剂和助凝剂，保证污水的深度处理和消毒效果</w:t>
                  </w:r>
                  <w:r>
                    <w:rPr>
                      <w:rFonts w:hint="eastAsia" w:cs="Times New Roman"/>
                      <w:color w:val="auto"/>
                      <w:highlight w:val="none"/>
                      <w:lang w:val="en-US" w:eastAsia="zh-CN"/>
                    </w:rPr>
                    <w:t>。</w:t>
                  </w:r>
                </w:p>
              </w:tc>
            </w:tr>
            <w:tr w14:paraId="4F5B3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restart"/>
                  <w:tcBorders>
                    <w:tl2br w:val="nil"/>
                    <w:tr2bl w:val="nil"/>
                  </w:tcBorders>
                  <w:noWrap w:val="0"/>
                  <w:vAlign w:val="center"/>
                </w:tcPr>
                <w:p w14:paraId="54AD5FA8">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公用</w:t>
                  </w:r>
                </w:p>
                <w:p w14:paraId="1F569008">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工程</w:t>
                  </w:r>
                </w:p>
              </w:tc>
              <w:tc>
                <w:tcPr>
                  <w:tcW w:w="937" w:type="dxa"/>
                  <w:tcBorders>
                    <w:tl2br w:val="nil"/>
                    <w:tr2bl w:val="nil"/>
                  </w:tcBorders>
                  <w:noWrap w:val="0"/>
                  <w:vAlign w:val="center"/>
                </w:tcPr>
                <w:p w14:paraId="6B4DC443">
                  <w:pPr>
                    <w:kinsoku w:val="0"/>
                    <w:overflowPunct w:val="0"/>
                    <w:autoSpaceDE w:val="0"/>
                    <w:autoSpaceDN w:val="0"/>
                    <w:snapToGrid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供电</w:t>
                  </w:r>
                </w:p>
              </w:tc>
              <w:tc>
                <w:tcPr>
                  <w:tcW w:w="5961" w:type="dxa"/>
                  <w:tcBorders>
                    <w:tl2br w:val="nil"/>
                    <w:tr2bl w:val="nil"/>
                  </w:tcBorders>
                  <w:noWrap w:val="0"/>
                  <w:vAlign w:val="center"/>
                </w:tcPr>
                <w:p w14:paraId="32BEAE10">
                  <w:pPr>
                    <w:kinsoku w:val="0"/>
                    <w:overflowPunct w:val="0"/>
                    <w:autoSpaceDE w:val="0"/>
                    <w:autoSpaceDN w:val="0"/>
                    <w:snapToGrid w:val="0"/>
                    <w:jc w:val="both"/>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kern w:val="2"/>
                      <w:sz w:val="21"/>
                      <w:szCs w:val="24"/>
                      <w:highlight w:val="none"/>
                      <w:lang w:val="en-US" w:eastAsia="zh-CN" w:bidi="ar-SA"/>
                    </w:rPr>
                    <w:t>接自</w:t>
                  </w:r>
                  <w:r>
                    <w:rPr>
                      <w:rFonts w:hint="eastAsia" w:cs="Times New Roman"/>
                      <w:color w:val="auto"/>
                      <w:kern w:val="2"/>
                      <w:sz w:val="21"/>
                      <w:szCs w:val="24"/>
                      <w:highlight w:val="none"/>
                      <w:lang w:val="en-US" w:eastAsia="zh-CN" w:bidi="ar-SA"/>
                    </w:rPr>
                    <w:t>当地供电系统。</w:t>
                  </w:r>
                </w:p>
              </w:tc>
            </w:tr>
            <w:tr w14:paraId="1B390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54" w:hRule="atLeast"/>
                <w:jc w:val="center"/>
              </w:trPr>
              <w:tc>
                <w:tcPr>
                  <w:tcW w:w="1194" w:type="dxa"/>
                  <w:gridSpan w:val="2"/>
                  <w:vMerge w:val="continue"/>
                  <w:tcBorders>
                    <w:tl2br w:val="nil"/>
                    <w:tr2bl w:val="nil"/>
                  </w:tcBorders>
                  <w:noWrap w:val="0"/>
                  <w:vAlign w:val="center"/>
                </w:tcPr>
                <w:p w14:paraId="7B6FB24B">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1A542A3A">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给水</w:t>
                  </w:r>
                </w:p>
              </w:tc>
              <w:tc>
                <w:tcPr>
                  <w:tcW w:w="5961" w:type="dxa"/>
                  <w:tcBorders>
                    <w:tl2br w:val="nil"/>
                    <w:tr2bl w:val="nil"/>
                  </w:tcBorders>
                  <w:noWrap w:val="0"/>
                  <w:vAlign w:val="center"/>
                </w:tcPr>
                <w:p w14:paraId="0F821EF7">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接当地自来水管网</w:t>
                  </w:r>
                  <w:r>
                    <w:rPr>
                      <w:rFonts w:hint="eastAsia" w:cs="Times New Roman"/>
                      <w:color w:val="auto"/>
                      <w:highlight w:val="none"/>
                      <w:lang w:eastAsia="zh-CN"/>
                    </w:rPr>
                    <w:t>。</w:t>
                  </w:r>
                </w:p>
              </w:tc>
            </w:tr>
            <w:tr w14:paraId="66845C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370DE91B">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415BE261">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排水</w:t>
                  </w:r>
                </w:p>
              </w:tc>
              <w:tc>
                <w:tcPr>
                  <w:tcW w:w="5961" w:type="dxa"/>
                  <w:tcBorders>
                    <w:tl2br w:val="nil"/>
                    <w:tr2bl w:val="nil"/>
                  </w:tcBorders>
                  <w:noWrap w:val="0"/>
                  <w:vAlign w:val="center"/>
                </w:tcPr>
                <w:p w14:paraId="3EEA419A">
                  <w:pPr>
                    <w:kinsoku w:val="0"/>
                    <w:overflowPunct w:val="0"/>
                    <w:autoSpaceDE w:val="0"/>
                    <w:autoSpaceDN w:val="0"/>
                    <w:snapToGrid w:val="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雨污分流制</w:t>
                  </w:r>
                  <w:r>
                    <w:rPr>
                      <w:rFonts w:hint="eastAsia" w:cs="Times New Roman"/>
                      <w:color w:val="auto"/>
                      <w:highlight w:val="none"/>
                      <w:lang w:eastAsia="zh-CN"/>
                    </w:rPr>
                    <w:t>；</w:t>
                  </w:r>
                  <w:r>
                    <w:rPr>
                      <w:rFonts w:hint="eastAsia" w:cs="Times New Roman"/>
                      <w:color w:val="auto"/>
                      <w:highlight w:val="none"/>
                      <w:lang w:val="en-US" w:eastAsia="zh-CN"/>
                    </w:rPr>
                    <w:t>生活污水经化粪池（2m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）处理后接入厂区污水处理系统中预处理段处理。</w:t>
                  </w:r>
                </w:p>
              </w:tc>
            </w:tr>
            <w:tr w14:paraId="035B3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194" w:type="dxa"/>
                  <w:gridSpan w:val="2"/>
                  <w:vMerge w:val="restart"/>
                  <w:tcBorders>
                    <w:tl2br w:val="nil"/>
                    <w:tr2bl w:val="nil"/>
                  </w:tcBorders>
                  <w:noWrap w:val="0"/>
                  <w:vAlign w:val="center"/>
                </w:tcPr>
                <w:p w14:paraId="46EACFF9">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环保</w:t>
                  </w:r>
                </w:p>
                <w:p w14:paraId="6FF612CE">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工程</w:t>
                  </w:r>
                </w:p>
              </w:tc>
              <w:tc>
                <w:tcPr>
                  <w:tcW w:w="937" w:type="dxa"/>
                  <w:tcBorders>
                    <w:tl2br w:val="nil"/>
                    <w:tr2bl w:val="nil"/>
                  </w:tcBorders>
                  <w:noWrap w:val="0"/>
                  <w:vAlign w:val="center"/>
                </w:tcPr>
                <w:p w14:paraId="0391E586">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p w14:paraId="7454E38D">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防治</w:t>
                  </w:r>
                </w:p>
              </w:tc>
              <w:tc>
                <w:tcPr>
                  <w:tcW w:w="5961" w:type="dxa"/>
                  <w:tcBorders>
                    <w:tl2br w:val="nil"/>
                    <w:tr2bl w:val="nil"/>
                  </w:tcBorders>
                  <w:noWrap w:val="0"/>
                  <w:vAlign w:val="center"/>
                </w:tcPr>
                <w:p w14:paraId="1B43E17E">
                  <w:pPr>
                    <w:keepNext w:val="0"/>
                    <w:keepLines w:val="0"/>
                    <w:widowControl/>
                    <w:suppressLineNumbers w:val="0"/>
                    <w:jc w:val="both"/>
                    <w:rPr>
                      <w:rFonts w:hint="eastAsia" w:cs="Times New Roman"/>
                      <w:color w:val="auto"/>
                      <w:highlight w:val="none"/>
                      <w:lang w:eastAsia="zh-CN"/>
                    </w:rPr>
                  </w:pPr>
                  <w:r>
                    <w:rPr>
                      <w:rFonts w:hint="eastAsia" w:ascii="宋体" w:hAnsi="宋体" w:eastAsia="宋体" w:cs="宋体"/>
                      <w:color w:val="auto"/>
                      <w:highlight w:val="none"/>
                      <w:lang w:eastAsia="zh-CN"/>
                    </w:rPr>
                    <w:t>①</w:t>
                  </w:r>
                  <w:r>
                    <w:rPr>
                      <w:rFonts w:hint="eastAsia" w:cs="Times New Roman"/>
                      <w:color w:val="auto"/>
                      <w:highlight w:val="none"/>
                      <w:lang w:eastAsia="zh-CN"/>
                    </w:rPr>
                    <w:t>恶臭采取</w:t>
                  </w:r>
                  <w:r>
                    <w:rPr>
                      <w:rFonts w:hint="eastAsia" w:cs="Times New Roman"/>
                      <w:color w:val="auto"/>
                      <w:highlight w:val="none"/>
                      <w:lang w:val="en-US" w:eastAsia="zh-CN"/>
                    </w:rPr>
                    <w:t>管道负压收集+活性氧离子法处理达标后，通过15m高排气筒排放；此外，</w:t>
                  </w:r>
                  <w:r>
                    <w:rPr>
                      <w:rFonts w:hint="default" w:ascii="Times New Roman" w:hAnsi="Times New Roman" w:eastAsia="宋体" w:cs="Times New Roman"/>
                      <w:color w:val="auto"/>
                      <w:highlight w:val="none"/>
                      <w:lang w:eastAsia="zh-CN"/>
                    </w:rPr>
                    <w:t>污水处理</w:t>
                  </w:r>
                  <w:r>
                    <w:rPr>
                      <w:rFonts w:hint="eastAsia" w:cs="Times New Roman"/>
                      <w:color w:val="auto"/>
                      <w:highlight w:val="none"/>
                      <w:lang w:val="en-US" w:eastAsia="zh-CN"/>
                    </w:rPr>
                    <w:t>厂</w:t>
                  </w:r>
                  <w:r>
                    <w:rPr>
                      <w:rFonts w:hint="default" w:ascii="Times New Roman" w:hAnsi="Times New Roman" w:eastAsia="宋体" w:cs="Times New Roman"/>
                      <w:color w:val="auto"/>
                      <w:highlight w:val="none"/>
                    </w:rPr>
                    <w:t>四周建设围墙，</w:t>
                  </w:r>
                  <w:r>
                    <w:rPr>
                      <w:rFonts w:hint="default" w:ascii="Times New Roman" w:hAnsi="Times New Roman" w:eastAsia="宋体" w:cs="Times New Roman"/>
                      <w:color w:val="auto"/>
                      <w:highlight w:val="none"/>
                      <w:lang w:val="en-US" w:eastAsia="zh-CN"/>
                    </w:rPr>
                    <w:t>格栅</w:t>
                  </w:r>
                  <w:r>
                    <w:rPr>
                      <w:rFonts w:hint="eastAsia" w:cs="Times New Roman"/>
                      <w:color w:val="auto"/>
                      <w:highlight w:val="none"/>
                      <w:lang w:val="en-US" w:eastAsia="zh-CN"/>
                    </w:rPr>
                    <w:t>渠</w:t>
                  </w:r>
                  <w:r>
                    <w:rPr>
                      <w:rFonts w:hint="default" w:ascii="Times New Roman" w:hAnsi="Times New Roman" w:eastAsia="宋体" w:cs="Times New Roman"/>
                      <w:color w:val="auto"/>
                      <w:highlight w:val="none"/>
                      <w:lang w:val="en-US" w:eastAsia="zh-CN"/>
                    </w:rPr>
                    <w:t>、调节池、污泥</w:t>
                  </w:r>
                  <w:r>
                    <w:rPr>
                      <w:rFonts w:hint="eastAsia" w:cs="Times New Roman"/>
                      <w:color w:val="auto"/>
                      <w:highlight w:val="none"/>
                      <w:lang w:val="en-US" w:eastAsia="zh-CN"/>
                    </w:rPr>
                    <w:t>浓缩</w:t>
                  </w:r>
                  <w:r>
                    <w:rPr>
                      <w:rFonts w:hint="default" w:ascii="Times New Roman" w:hAnsi="Times New Roman" w:eastAsia="宋体" w:cs="Times New Roman"/>
                      <w:color w:val="auto"/>
                      <w:highlight w:val="none"/>
                      <w:lang w:val="en-US" w:eastAsia="zh-CN"/>
                    </w:rPr>
                    <w:t>池等均为地下</w:t>
                  </w:r>
                  <w:r>
                    <w:rPr>
                      <w:rFonts w:hint="eastAsia" w:cs="Times New Roman"/>
                      <w:b w:val="0"/>
                      <w:bCs w:val="0"/>
                      <w:color w:val="auto"/>
                      <w:highlight w:val="none"/>
                      <w:lang w:val="en-US" w:eastAsia="zh-CN"/>
                    </w:rPr>
                    <w:t>钢砼</w:t>
                  </w:r>
                  <w:r>
                    <w:rPr>
                      <w:rFonts w:hint="default" w:ascii="Times New Roman" w:hAnsi="Times New Roman" w:eastAsia="宋体" w:cs="Times New Roman"/>
                      <w:color w:val="auto"/>
                      <w:highlight w:val="none"/>
                      <w:lang w:val="en-US" w:eastAsia="zh-CN"/>
                    </w:rPr>
                    <w:t>结构，且加盖</w:t>
                  </w:r>
                  <w:r>
                    <w:rPr>
                      <w:rFonts w:hint="eastAsia" w:cs="Times New Roman"/>
                      <w:color w:val="auto"/>
                      <w:highlight w:val="none"/>
                      <w:lang w:val="en-US" w:eastAsia="zh-CN"/>
                    </w:rPr>
                    <w:t>处理</w:t>
                  </w:r>
                  <w:r>
                    <w:rPr>
                      <w:rFonts w:hint="default" w:ascii="Times New Roman" w:hAnsi="Times New Roman" w:eastAsia="宋体" w:cs="Times New Roman"/>
                      <w:color w:val="auto"/>
                      <w:highlight w:val="none"/>
                      <w:lang w:eastAsia="zh-CN"/>
                    </w:rPr>
                    <w:t>；</w:t>
                  </w:r>
                  <w:r>
                    <w:rPr>
                      <w:rFonts w:hint="default" w:ascii="Times New Roman" w:hAnsi="Times New Roman" w:cs="Times New Roman"/>
                      <w:color w:val="auto"/>
                      <w:highlight w:val="none"/>
                    </w:rPr>
                    <w:t>同时加强厂区绿化可减小臭气影响</w:t>
                  </w:r>
                  <w:r>
                    <w:rPr>
                      <w:rFonts w:hint="eastAsia" w:cs="Times New Roman"/>
                      <w:color w:val="auto"/>
                      <w:highlight w:val="none"/>
                      <w:lang w:eastAsia="zh-CN"/>
                    </w:rPr>
                    <w:t>。</w:t>
                  </w:r>
                </w:p>
                <w:p w14:paraId="2EE6FD6A">
                  <w:pPr>
                    <w:keepNext w:val="0"/>
                    <w:keepLines w:val="0"/>
                    <w:widowControl/>
                    <w:suppressLineNumbers w:val="0"/>
                    <w:jc w:val="both"/>
                    <w:rPr>
                      <w:rFonts w:hint="eastAsia" w:cs="Times New Roman"/>
                      <w:color w:val="auto"/>
                      <w:highlight w:val="none"/>
                      <w:lang w:eastAsia="zh-CN"/>
                    </w:rPr>
                  </w:pPr>
                  <w:r>
                    <w:rPr>
                      <w:rFonts w:hint="eastAsia" w:ascii="宋体" w:hAnsi="宋体" w:eastAsia="宋体" w:cs="宋体"/>
                      <w:color w:val="auto"/>
                      <w:highlight w:val="none"/>
                      <w:lang w:eastAsia="zh-CN"/>
                    </w:rPr>
                    <w:t>②食堂油烟经抽油烟机收集后通过管道引至厂房顶部排放。</w:t>
                  </w:r>
                </w:p>
              </w:tc>
            </w:tr>
            <w:tr w14:paraId="740D0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6" w:hRule="atLeast"/>
                <w:jc w:val="center"/>
              </w:trPr>
              <w:tc>
                <w:tcPr>
                  <w:tcW w:w="1194" w:type="dxa"/>
                  <w:gridSpan w:val="2"/>
                  <w:vMerge w:val="continue"/>
                  <w:tcBorders>
                    <w:tl2br w:val="nil"/>
                    <w:tr2bl w:val="nil"/>
                  </w:tcBorders>
                  <w:noWrap w:val="0"/>
                  <w:vAlign w:val="center"/>
                </w:tcPr>
                <w:p w14:paraId="54048856">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2F5FB0ED">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p w14:paraId="1D573876">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防治</w:t>
                  </w:r>
                </w:p>
              </w:tc>
              <w:tc>
                <w:tcPr>
                  <w:tcW w:w="5961" w:type="dxa"/>
                  <w:tcBorders>
                    <w:tl2br w:val="nil"/>
                    <w:tr2bl w:val="nil"/>
                  </w:tcBorders>
                  <w:noWrap w:val="0"/>
                  <w:vAlign w:val="center"/>
                </w:tcPr>
                <w:p w14:paraId="02C87B60">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员工</w:t>
                  </w:r>
                  <w:r>
                    <w:rPr>
                      <w:rFonts w:hint="eastAsia" w:cs="Times New Roman"/>
                      <w:color w:val="auto"/>
                      <w:highlight w:val="none"/>
                      <w:lang w:val="en-US" w:eastAsia="zh-CN"/>
                    </w:rPr>
                    <w:t>生活污水、管网收集废污水和污泥脱水产生的废水均接入厂区污水处理系统，处理达到</w:t>
                  </w:r>
                  <w:r>
                    <w:rPr>
                      <w:rFonts w:hint="eastAsia" w:cs="Times New Roman"/>
                      <w:color w:val="auto"/>
                      <w:kern w:val="2"/>
                      <w:sz w:val="21"/>
                      <w:szCs w:val="21"/>
                      <w:highlight w:val="none"/>
                      <w:lang w:val="en-US" w:eastAsia="zh-CN" w:bidi="ar-SA"/>
                    </w:rPr>
                    <w:t>《城镇污水处理厂污染物排放标准》（GB18918-2002）表1中一级A标准和2025年修改单表4中瞬时值标准后</w:t>
                  </w:r>
                  <w:r>
                    <w:rPr>
                      <w:rFonts w:hint="eastAsia" w:ascii="Times New Roman" w:hAnsi="Times New Roman" w:eastAsia="宋体" w:cs="Times New Roman"/>
                      <w:color w:val="auto"/>
                      <w:kern w:val="2"/>
                      <w:sz w:val="21"/>
                      <w:szCs w:val="21"/>
                      <w:highlight w:val="none"/>
                      <w:lang w:val="en-US" w:eastAsia="zh-CN" w:bidi="ar-SA"/>
                    </w:rPr>
                    <w:t>排入</w:t>
                  </w:r>
                  <w:r>
                    <w:rPr>
                      <w:rFonts w:hint="eastAsia" w:cs="Times New Roman"/>
                      <w:color w:val="auto"/>
                      <w:kern w:val="2"/>
                      <w:sz w:val="21"/>
                      <w:szCs w:val="21"/>
                      <w:highlight w:val="none"/>
                      <w:lang w:val="en-US" w:eastAsia="zh-CN" w:bidi="ar-SA"/>
                    </w:rPr>
                    <w:t>溢水</w:t>
                  </w:r>
                  <w:r>
                    <w:rPr>
                      <w:rFonts w:hint="eastAsia" w:ascii="Times New Roman" w:hAnsi="Times New Roman" w:eastAsia="宋体" w:cs="Times New Roman"/>
                      <w:color w:val="auto"/>
                      <w:kern w:val="2"/>
                      <w:sz w:val="21"/>
                      <w:szCs w:val="21"/>
                      <w:highlight w:val="none"/>
                      <w:lang w:val="en-US" w:eastAsia="zh-CN" w:bidi="ar-SA"/>
                    </w:rPr>
                    <w:t>河</w:t>
                  </w:r>
                  <w:r>
                    <w:rPr>
                      <w:rFonts w:hint="eastAsia" w:cs="Times New Roman"/>
                      <w:color w:val="auto"/>
                      <w:highlight w:val="none"/>
                      <w:lang w:eastAsia="zh-CN"/>
                    </w:rPr>
                    <w:t>。</w:t>
                  </w:r>
                </w:p>
              </w:tc>
            </w:tr>
            <w:tr w14:paraId="4D482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44" w:hRule="atLeast"/>
                <w:jc w:val="center"/>
              </w:trPr>
              <w:tc>
                <w:tcPr>
                  <w:tcW w:w="1194" w:type="dxa"/>
                  <w:gridSpan w:val="2"/>
                  <w:vMerge w:val="continue"/>
                  <w:tcBorders>
                    <w:tl2br w:val="nil"/>
                    <w:tr2bl w:val="nil"/>
                  </w:tcBorders>
                  <w:noWrap w:val="0"/>
                  <w:vAlign w:val="center"/>
                </w:tcPr>
                <w:p w14:paraId="21B88E2E">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212E6256">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w:t>
                  </w:r>
                </w:p>
              </w:tc>
              <w:tc>
                <w:tcPr>
                  <w:tcW w:w="5961" w:type="dxa"/>
                  <w:tcBorders>
                    <w:tl2br w:val="nil"/>
                    <w:tr2bl w:val="nil"/>
                  </w:tcBorders>
                  <w:noWrap w:val="0"/>
                  <w:vAlign w:val="center"/>
                </w:tcPr>
                <w:p w14:paraId="22F898CE">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按照厂区各功能区划，进行分区</w:t>
                  </w:r>
                  <w:r>
                    <w:rPr>
                      <w:rFonts w:hint="default" w:ascii="Times New Roman" w:hAnsi="Times New Roman" w:cs="Times New Roman"/>
                      <w:color w:val="auto"/>
                      <w:highlight w:val="none"/>
                    </w:rPr>
                    <w:t>防渗</w:t>
                  </w:r>
                  <w:r>
                    <w:rPr>
                      <w:rFonts w:hint="eastAsia" w:cs="Times New Roman"/>
                      <w:color w:val="auto"/>
                      <w:highlight w:val="none"/>
                      <w:lang w:eastAsia="zh-CN"/>
                    </w:rPr>
                    <w:t>（简单、一般及重点防渗）处理。</w:t>
                  </w:r>
                </w:p>
              </w:tc>
            </w:tr>
            <w:tr w14:paraId="01983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77" w:hRule="atLeast"/>
                <w:jc w:val="center"/>
              </w:trPr>
              <w:tc>
                <w:tcPr>
                  <w:tcW w:w="1194" w:type="dxa"/>
                  <w:gridSpan w:val="2"/>
                  <w:vMerge w:val="continue"/>
                  <w:tcBorders>
                    <w:tl2br w:val="nil"/>
                    <w:tr2bl w:val="nil"/>
                  </w:tcBorders>
                  <w:noWrap w:val="0"/>
                  <w:vAlign w:val="center"/>
                </w:tcPr>
                <w:p w14:paraId="52ACF9CC">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1A651B40">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5961" w:type="dxa"/>
                  <w:tcBorders>
                    <w:tl2br w:val="nil"/>
                    <w:tr2bl w:val="nil"/>
                  </w:tcBorders>
                  <w:noWrap w:val="0"/>
                  <w:vAlign w:val="center"/>
                </w:tcPr>
                <w:p w14:paraId="4C7F5522">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采用</w:t>
                  </w:r>
                  <w:r>
                    <w:rPr>
                      <w:rFonts w:hint="eastAsia" w:cs="Times New Roman"/>
                      <w:color w:val="auto"/>
                      <w:highlight w:val="none"/>
                      <w:lang w:eastAsia="zh-CN"/>
                    </w:rPr>
                    <w:t>厂房封闭、低噪声设备、合理布局、设置绿化带等</w:t>
                  </w:r>
                  <w:r>
                    <w:rPr>
                      <w:rFonts w:hint="default" w:ascii="Times New Roman" w:hAnsi="Times New Roman" w:cs="Times New Roman"/>
                      <w:color w:val="auto"/>
                      <w:highlight w:val="none"/>
                    </w:rPr>
                    <w:t>措施</w:t>
                  </w:r>
                  <w:r>
                    <w:rPr>
                      <w:rFonts w:hint="eastAsia" w:cs="Times New Roman"/>
                      <w:color w:val="auto"/>
                      <w:highlight w:val="none"/>
                      <w:lang w:eastAsia="zh-CN"/>
                    </w:rPr>
                    <w:t>。</w:t>
                  </w:r>
                </w:p>
              </w:tc>
            </w:tr>
            <w:tr w14:paraId="3D0571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78" w:hRule="atLeast"/>
                <w:jc w:val="center"/>
              </w:trPr>
              <w:tc>
                <w:tcPr>
                  <w:tcW w:w="1194" w:type="dxa"/>
                  <w:gridSpan w:val="2"/>
                  <w:vMerge w:val="continue"/>
                  <w:tcBorders>
                    <w:tl2br w:val="nil"/>
                    <w:tr2bl w:val="nil"/>
                  </w:tcBorders>
                  <w:noWrap w:val="0"/>
                  <w:vAlign w:val="center"/>
                </w:tcPr>
                <w:p w14:paraId="59779FED">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6A347E08">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5961" w:type="dxa"/>
                  <w:tcBorders>
                    <w:tl2br w:val="nil"/>
                    <w:tr2bl w:val="nil"/>
                  </w:tcBorders>
                  <w:noWrap w:val="0"/>
                  <w:vAlign w:val="center"/>
                </w:tcPr>
                <w:p w14:paraId="17B7AB99">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①生活垃圾经垃圾桶集中收集后送至就近垃圾收集点，交由环卫部门处理</w:t>
                  </w:r>
                  <w:r>
                    <w:rPr>
                      <w:rFonts w:hint="eastAsia" w:ascii="宋体" w:hAnsi="宋体" w:cs="宋体"/>
                      <w:color w:val="auto"/>
                      <w:highlight w:val="none"/>
                      <w:lang w:eastAsia="zh-CN"/>
                    </w:rPr>
                    <w:t>；</w:t>
                  </w:r>
                </w:p>
                <w:p w14:paraId="1C14A9D1">
                  <w:pPr>
                    <w:kinsoku w:val="0"/>
                    <w:overflowPunct w:val="0"/>
                    <w:autoSpaceDE w:val="0"/>
                    <w:autoSpaceDN w:val="0"/>
                    <w:snapToGrid w:val="0"/>
                    <w:jc w:val="both"/>
                    <w:rPr>
                      <w:rFonts w:hint="default" w:ascii="Times New Roman" w:hAnsi="Times New Roman" w:cs="Times New Roman"/>
                      <w:color w:val="auto"/>
                      <w:highlight w:val="none"/>
                    </w:rPr>
                  </w:pPr>
                  <w:r>
                    <w:rPr>
                      <w:rFonts w:hint="eastAsia" w:ascii="宋体" w:hAnsi="宋体" w:eastAsia="宋体" w:cs="宋体"/>
                      <w:color w:val="auto"/>
                      <w:highlight w:val="none"/>
                    </w:rPr>
                    <w:t>②</w:t>
                  </w:r>
                  <w:r>
                    <w:rPr>
                      <w:rFonts w:hint="default" w:ascii="Times New Roman" w:hAnsi="Times New Roman" w:cs="Times New Roman"/>
                      <w:color w:val="auto"/>
                      <w:highlight w:val="none"/>
                    </w:rPr>
                    <w:t>格栅渣日产日清，</w:t>
                  </w:r>
                  <w:r>
                    <w:rPr>
                      <w:rFonts w:hint="eastAsia" w:ascii="Times New Roman" w:hAnsi="Times New Roman" w:cs="Times New Roman"/>
                      <w:color w:val="auto"/>
                      <w:highlight w:val="none"/>
                      <w:lang w:eastAsia="zh-CN"/>
                    </w:rPr>
                    <w:t>与生活垃圾一同处置</w:t>
                  </w:r>
                  <w:r>
                    <w:rPr>
                      <w:rFonts w:hint="default" w:ascii="Times New Roman" w:hAnsi="Times New Roman" w:cs="Times New Roman"/>
                      <w:color w:val="auto"/>
                      <w:highlight w:val="none"/>
                    </w:rPr>
                    <w:t>；</w:t>
                  </w:r>
                </w:p>
                <w:p w14:paraId="72DB38D8">
                  <w:pPr>
                    <w:kinsoku w:val="0"/>
                    <w:overflowPunct w:val="0"/>
                    <w:autoSpaceDE w:val="0"/>
                    <w:autoSpaceDN w:val="0"/>
                    <w:snapToGrid w:val="0"/>
                    <w:jc w:val="both"/>
                    <w:rPr>
                      <w:rFonts w:hint="default" w:ascii="Times New Roman" w:hAnsi="Times New Roman" w:cs="Times New Roman"/>
                      <w:color w:val="auto"/>
                      <w:highlight w:val="none"/>
                    </w:rPr>
                  </w:pPr>
                  <w:r>
                    <w:rPr>
                      <w:rFonts w:hint="eastAsia" w:ascii="宋体" w:hAnsi="宋体" w:eastAsia="宋体" w:cs="宋体"/>
                      <w:color w:val="auto"/>
                      <w:highlight w:val="none"/>
                    </w:rPr>
                    <w:t>③</w:t>
                  </w:r>
                  <w:r>
                    <w:rPr>
                      <w:rFonts w:hint="eastAsia" w:ascii="宋体" w:hAnsi="宋体" w:eastAsia="宋体" w:cs="宋体"/>
                      <w:color w:val="auto"/>
                      <w:highlight w:val="none"/>
                      <w:lang w:val="en-US" w:eastAsia="zh-CN"/>
                    </w:rPr>
                    <w:t>污泥经浓缩+脱水后暂存于污泥斗内，定期</w:t>
                  </w:r>
                  <w:r>
                    <w:rPr>
                      <w:rFonts w:hint="default" w:ascii="Times New Roman" w:hAnsi="Times New Roman" w:cs="Times New Roman"/>
                      <w:color w:val="auto"/>
                      <w:highlight w:val="none"/>
                    </w:rPr>
                    <w:t>外运至</w:t>
                  </w:r>
                  <w:r>
                    <w:rPr>
                      <w:rFonts w:hint="eastAsia" w:ascii="Times New Roman" w:hAnsi="Times New Roman" w:cs="Times New Roman"/>
                      <w:color w:val="auto"/>
                      <w:highlight w:val="none"/>
                      <w:lang w:eastAsia="zh-CN"/>
                    </w:rPr>
                    <w:t>附近</w:t>
                  </w:r>
                  <w:r>
                    <w:rPr>
                      <w:rFonts w:hint="eastAsia" w:cs="Times New Roman"/>
                      <w:color w:val="auto"/>
                      <w:highlight w:val="none"/>
                      <w:lang w:eastAsia="zh-CN"/>
                    </w:rPr>
                    <w:t>砖厂制砖利用</w:t>
                  </w:r>
                  <w:r>
                    <w:rPr>
                      <w:rFonts w:hint="default" w:ascii="Times New Roman" w:hAnsi="Times New Roman" w:cs="Times New Roman"/>
                      <w:color w:val="auto"/>
                      <w:highlight w:val="none"/>
                    </w:rPr>
                    <w:t>；</w:t>
                  </w:r>
                </w:p>
                <w:p w14:paraId="146AC386">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④</w:t>
                  </w:r>
                  <w:r>
                    <w:rPr>
                      <w:rFonts w:hint="default" w:ascii="Times New Roman" w:hAnsi="Times New Roman" w:cs="Times New Roman"/>
                      <w:color w:val="auto"/>
                      <w:highlight w:val="none"/>
                    </w:rPr>
                    <w:t>危险废物</w:t>
                  </w:r>
                  <w:r>
                    <w:rPr>
                      <w:rFonts w:hint="eastAsia" w:cs="Times New Roman"/>
                      <w:color w:val="auto"/>
                      <w:highlight w:val="none"/>
                      <w:lang w:eastAsia="zh-CN"/>
                    </w:rPr>
                    <w:t>（</w:t>
                  </w:r>
                  <w:r>
                    <w:rPr>
                      <w:rFonts w:hint="eastAsia" w:ascii="Times New Roman" w:hAnsi="Times New Roman" w:cs="宋体"/>
                      <w:color w:val="auto"/>
                      <w:kern w:val="2"/>
                      <w:sz w:val="21"/>
                      <w:szCs w:val="21"/>
                      <w:highlight w:val="none"/>
                    </w:rPr>
                    <w:t>废润滑油</w:t>
                  </w:r>
                  <w:r>
                    <w:rPr>
                      <w:rFonts w:hint="eastAsia" w:cs="宋体"/>
                      <w:color w:val="auto"/>
                      <w:kern w:val="2"/>
                      <w:sz w:val="21"/>
                      <w:szCs w:val="21"/>
                      <w:highlight w:val="none"/>
                      <w:lang w:eastAsia="zh-CN"/>
                    </w:rPr>
                    <w:t>、</w:t>
                  </w:r>
                  <w:r>
                    <w:rPr>
                      <w:rFonts w:hint="eastAsia" w:ascii="Times New Roman" w:hAnsi="Times New Roman" w:cs="宋体"/>
                      <w:color w:val="auto"/>
                      <w:kern w:val="2"/>
                      <w:sz w:val="21"/>
                      <w:szCs w:val="21"/>
                      <w:highlight w:val="none"/>
                    </w:rPr>
                    <w:t>废油桶</w:t>
                  </w:r>
                  <w:r>
                    <w:rPr>
                      <w:rFonts w:hint="eastAsia" w:cs="宋体"/>
                      <w:color w:val="auto"/>
                      <w:kern w:val="2"/>
                      <w:sz w:val="21"/>
                      <w:szCs w:val="21"/>
                      <w:highlight w:val="none"/>
                      <w:lang w:eastAsia="zh-CN"/>
                    </w:rPr>
                    <w:t>、</w:t>
                  </w:r>
                  <w:r>
                    <w:rPr>
                      <w:rFonts w:hint="eastAsia" w:ascii="Times New Roman" w:hAnsi="Times New Roman" w:cs="宋体"/>
                      <w:color w:val="auto"/>
                      <w:kern w:val="2"/>
                      <w:sz w:val="21"/>
                      <w:szCs w:val="21"/>
                      <w:highlight w:val="none"/>
                    </w:rPr>
                    <w:t>含油手套及棉纱</w:t>
                  </w:r>
                  <w:r>
                    <w:rPr>
                      <w:rFonts w:hint="eastAsia" w:cs="宋体"/>
                      <w:color w:val="auto"/>
                      <w:kern w:val="2"/>
                      <w:sz w:val="21"/>
                      <w:szCs w:val="21"/>
                      <w:highlight w:val="none"/>
                      <w:lang w:val="en-US" w:eastAsia="zh-CN"/>
                    </w:rPr>
                    <w:t>、</w:t>
                  </w:r>
                  <w:r>
                    <w:rPr>
                      <w:rFonts w:hint="eastAsia" w:ascii="Times New Roman" w:hAnsi="Times New Roman" w:cs="宋体"/>
                      <w:color w:val="auto"/>
                      <w:kern w:val="2"/>
                      <w:sz w:val="21"/>
                      <w:szCs w:val="21"/>
                      <w:highlight w:val="none"/>
                      <w:lang w:val="en-US" w:eastAsia="zh-CN"/>
                    </w:rPr>
                    <w:t>检验废液及清洗废水</w:t>
                  </w:r>
                  <w:r>
                    <w:rPr>
                      <w:rFonts w:hint="eastAsia" w:cs="Times New Roman"/>
                      <w:color w:val="auto"/>
                      <w:highlight w:val="none"/>
                      <w:lang w:eastAsia="zh-CN"/>
                    </w:rPr>
                    <w:t>）在</w:t>
                  </w:r>
                  <w:r>
                    <w:rPr>
                      <w:rFonts w:hint="default" w:ascii="Times New Roman" w:hAnsi="Times New Roman" w:cs="Times New Roman"/>
                      <w:color w:val="auto"/>
                      <w:highlight w:val="none"/>
                    </w:rPr>
                    <w:t>危废</w:t>
                  </w:r>
                  <w:r>
                    <w:rPr>
                      <w:rFonts w:hint="default" w:ascii="Times New Roman" w:hAnsi="Times New Roman" w:cs="Times New Roman"/>
                      <w:color w:val="auto"/>
                      <w:highlight w:val="none"/>
                      <w:lang w:val="en-US" w:eastAsia="zh-CN"/>
                    </w:rPr>
                    <w:t>间</w:t>
                  </w:r>
                  <w:r>
                    <w:rPr>
                      <w:rFonts w:hint="eastAsia" w:cs="Times New Roman"/>
                      <w:color w:val="auto"/>
                      <w:highlight w:val="none"/>
                      <w:lang w:val="en-US" w:eastAsia="zh-CN"/>
                    </w:rPr>
                    <w:t>（24.3m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暂存后定期</w:t>
                  </w:r>
                  <w:r>
                    <w:rPr>
                      <w:rFonts w:hint="default" w:ascii="Times New Roman" w:hAnsi="Times New Roman" w:cs="Times New Roman"/>
                      <w:color w:val="auto"/>
                      <w:highlight w:val="none"/>
                    </w:rPr>
                    <w:t>交</w:t>
                  </w:r>
                  <w:r>
                    <w:rPr>
                      <w:rFonts w:hint="eastAsia" w:cs="Times New Roman"/>
                      <w:color w:val="auto"/>
                      <w:highlight w:val="none"/>
                      <w:lang w:eastAsia="zh-CN"/>
                    </w:rPr>
                    <w:t>由</w:t>
                  </w:r>
                  <w:r>
                    <w:rPr>
                      <w:rFonts w:hint="default" w:ascii="Times New Roman" w:hAnsi="Times New Roman" w:cs="Times New Roman"/>
                      <w:color w:val="auto"/>
                      <w:highlight w:val="none"/>
                    </w:rPr>
                    <w:t>有资质单位处置</w:t>
                  </w:r>
                  <w:r>
                    <w:rPr>
                      <w:rFonts w:hint="eastAsia" w:cs="Times New Roman"/>
                      <w:color w:val="auto"/>
                      <w:highlight w:val="none"/>
                      <w:lang w:eastAsia="zh-CN"/>
                    </w:rPr>
                    <w:t>。</w:t>
                  </w:r>
                </w:p>
              </w:tc>
            </w:tr>
            <w:tr w14:paraId="47C22A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44" w:hRule="atLeast"/>
                <w:jc w:val="center"/>
              </w:trPr>
              <w:tc>
                <w:tcPr>
                  <w:tcW w:w="8092" w:type="dxa"/>
                  <w:gridSpan w:val="4"/>
                  <w:tcBorders>
                    <w:tl2br w:val="nil"/>
                    <w:tr2bl w:val="nil"/>
                  </w:tcBorders>
                  <w:noWrap w:val="0"/>
                  <w:vAlign w:val="center"/>
                </w:tcPr>
                <w:p w14:paraId="3BFEE3B2">
                  <w:pPr>
                    <w:kinsoku w:val="0"/>
                    <w:overflowPunct w:val="0"/>
                    <w:autoSpaceDE w:val="0"/>
                    <w:autoSpaceDN w:val="0"/>
                    <w:snapToGrid w:val="0"/>
                    <w:jc w:val="both"/>
                    <w:rPr>
                      <w:rFonts w:hint="eastAsia" w:ascii="宋体" w:hAnsi="宋体" w:eastAsia="宋体" w:cs="宋体"/>
                      <w:color w:val="auto"/>
                      <w:highlight w:val="none"/>
                      <w:lang w:eastAsia="zh-CN"/>
                    </w:rPr>
                  </w:pPr>
                  <w:r>
                    <w:rPr>
                      <w:rFonts w:hint="eastAsia" w:ascii="宋体" w:hAnsi="宋体" w:cs="宋体"/>
                      <w:color w:val="auto"/>
                      <w:highlight w:val="none"/>
                      <w:lang w:eastAsia="zh-CN"/>
                    </w:rPr>
                    <w:t>注：由于检验室器皿清洗水为危险废物，故仅在表中固废一栏体现。</w:t>
                  </w:r>
                </w:p>
              </w:tc>
            </w:tr>
          </w:tbl>
          <w:p w14:paraId="08A516C1">
            <w:pPr>
              <w:numPr>
                <w:ilvl w:val="0"/>
                <w:numId w:val="0"/>
              </w:numPr>
              <w:adjustRightInd w:val="0"/>
              <w:snapToGrid w:val="0"/>
              <w:spacing w:line="360" w:lineRule="auto"/>
              <w:ind w:left="0" w:leftChars="0" w:firstLine="482" w:firstLineChars="200"/>
              <w:jc w:val="both"/>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kern w:val="2"/>
                <w:sz w:val="24"/>
                <w:szCs w:val="24"/>
                <w:highlight w:val="none"/>
                <w:lang w:val="en-US" w:eastAsia="zh-CN" w:bidi="ar-SA"/>
              </w:rPr>
              <w:t>2、</w:t>
            </w:r>
            <w:r>
              <w:rPr>
                <w:rFonts w:hint="default" w:ascii="Times New Roman" w:hAnsi="Times New Roman" w:cs="Times New Roman"/>
                <w:b/>
                <w:bCs w:val="0"/>
                <w:color w:val="auto"/>
                <w:sz w:val="24"/>
                <w:szCs w:val="24"/>
                <w:highlight w:val="none"/>
                <w:lang w:val="en-US" w:eastAsia="zh-CN"/>
              </w:rPr>
              <w:t>原辅材料消耗</w:t>
            </w:r>
          </w:p>
          <w:p w14:paraId="3EB762B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根据污水处理工艺、</w:t>
            </w:r>
            <w:r>
              <w:rPr>
                <w:rFonts w:hint="default" w:ascii="Times New Roman" w:hAnsi="Times New Roman" w:cs="Times New Roman"/>
                <w:color w:val="auto"/>
                <w:sz w:val="24"/>
                <w:highlight w:val="none"/>
                <w:lang w:eastAsia="zh-CN"/>
              </w:rPr>
              <w:t>消毒</w:t>
            </w:r>
            <w:r>
              <w:rPr>
                <w:rFonts w:hint="default" w:ascii="Times New Roman" w:hAnsi="Times New Roman" w:cs="Times New Roman"/>
                <w:color w:val="auto"/>
                <w:sz w:val="24"/>
                <w:highlight w:val="none"/>
              </w:rPr>
              <w:t>方式，主要消耗的原料</w:t>
            </w:r>
            <w:r>
              <w:rPr>
                <w:rFonts w:hint="default" w:ascii="Times New Roman" w:hAnsi="Times New Roman" w:cs="Times New Roman"/>
                <w:color w:val="auto"/>
                <w:sz w:val="24"/>
                <w:highlight w:val="none"/>
                <w:lang w:val="en-US" w:eastAsia="zh-CN"/>
              </w:rPr>
              <w:t>为</w:t>
            </w:r>
            <w:r>
              <w:rPr>
                <w:rFonts w:hint="default" w:ascii="Times New Roman" w:hAnsi="Times New Roman" w:cs="Times New Roman"/>
                <w:color w:val="auto"/>
                <w:sz w:val="24"/>
                <w:highlight w:val="none"/>
                <w:lang w:eastAsia="zh-CN"/>
              </w:rPr>
              <w:t>消毒过程使用的次氯酸钠、除磷过程使用的</w:t>
            </w:r>
            <w:r>
              <w:rPr>
                <w:rFonts w:hint="eastAsia" w:cs="Times New Roman"/>
                <w:color w:val="auto"/>
                <w:sz w:val="24"/>
                <w:highlight w:val="none"/>
                <w:lang w:eastAsia="zh-CN"/>
              </w:rPr>
              <w:t>聚合氯化铝、污泥浓缩过程使用的聚丙烯酰胺和三氯化铁</w:t>
            </w:r>
            <w:r>
              <w:rPr>
                <w:rFonts w:hint="default" w:ascii="Times New Roman" w:hAnsi="Times New Roman" w:cs="Times New Roman"/>
                <w:color w:val="auto"/>
                <w:sz w:val="24"/>
                <w:highlight w:val="none"/>
              </w:rPr>
              <w:t>。</w:t>
            </w:r>
          </w:p>
          <w:p w14:paraId="13B0099B">
            <w:pPr>
              <w:snapToGrid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default" w:ascii="Times New Roman" w:hAnsi="Times New Roman" w:cs="Times New Roman"/>
                <w:b/>
                <w:bCs/>
                <w:color w:val="auto"/>
                <w:highlight w:val="none"/>
                <w:lang w:val="en-US" w:eastAsia="zh-CN"/>
              </w:rPr>
              <w:t>2-2</w:t>
            </w:r>
            <w:r>
              <w:rPr>
                <w:rFonts w:hint="default" w:ascii="Times New Roman" w:hAnsi="Times New Roman" w:cs="Times New Roman"/>
                <w:b/>
                <w:bCs/>
                <w:color w:val="auto"/>
                <w:highlight w:val="none"/>
              </w:rPr>
              <w:t xml:space="preserve">  主要原辅材料</w:t>
            </w:r>
            <w:r>
              <w:rPr>
                <w:rFonts w:hint="default" w:ascii="Times New Roman" w:hAnsi="Times New Roman" w:cs="Times New Roman"/>
                <w:b/>
                <w:bCs/>
                <w:color w:val="auto"/>
                <w:highlight w:val="none"/>
                <w:lang w:eastAsia="zh-CN"/>
              </w:rPr>
              <w:t>及能源</w:t>
            </w:r>
            <w:r>
              <w:rPr>
                <w:rFonts w:hint="default" w:ascii="Times New Roman" w:hAnsi="Times New Roman" w:cs="Times New Roman"/>
                <w:b/>
                <w:bCs/>
                <w:color w:val="auto"/>
                <w:highlight w:val="none"/>
              </w:rPr>
              <w:t>消耗表</w:t>
            </w:r>
          </w:p>
          <w:tbl>
            <w:tblPr>
              <w:tblStyle w:val="31"/>
              <w:tblW w:w="811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817"/>
              <w:gridCol w:w="1717"/>
              <w:gridCol w:w="1116"/>
              <w:gridCol w:w="1417"/>
              <w:gridCol w:w="778"/>
              <w:gridCol w:w="947"/>
            </w:tblGrid>
            <w:tr w14:paraId="0A44F4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812" w:type="pct"/>
                  <w:tcBorders>
                    <w:tl2br w:val="nil"/>
                    <w:tr2bl w:val="nil"/>
                  </w:tcBorders>
                  <w:noWrap w:val="0"/>
                  <w:vAlign w:val="center"/>
                </w:tcPr>
                <w:p w14:paraId="75BCBB62">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503" w:type="pct"/>
                  <w:tcBorders>
                    <w:tl2br w:val="nil"/>
                    <w:tr2bl w:val="nil"/>
                  </w:tcBorders>
                  <w:noWrap w:val="0"/>
                  <w:vAlign w:val="center"/>
                </w:tcPr>
                <w:p w14:paraId="64322617">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耗量</w:t>
                  </w:r>
                </w:p>
              </w:tc>
              <w:tc>
                <w:tcPr>
                  <w:tcW w:w="1058" w:type="pct"/>
                  <w:tcBorders>
                    <w:tl2br w:val="nil"/>
                    <w:tr2bl w:val="nil"/>
                  </w:tcBorders>
                  <w:noWrap w:val="0"/>
                  <w:vAlign w:val="center"/>
                </w:tcPr>
                <w:p w14:paraId="40D13DB9">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包装方式</w:t>
                  </w:r>
                </w:p>
              </w:tc>
              <w:tc>
                <w:tcPr>
                  <w:tcW w:w="688" w:type="pct"/>
                  <w:tcBorders>
                    <w:tl2br w:val="nil"/>
                    <w:tr2bl w:val="nil"/>
                  </w:tcBorders>
                  <w:noWrap w:val="0"/>
                  <w:vAlign w:val="center"/>
                </w:tcPr>
                <w:p w14:paraId="5727E376">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最大</w:t>
                  </w:r>
                </w:p>
                <w:p w14:paraId="696A0D76">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储存量</w:t>
                  </w:r>
                </w:p>
              </w:tc>
              <w:tc>
                <w:tcPr>
                  <w:tcW w:w="873" w:type="pct"/>
                  <w:tcBorders>
                    <w:tl2br w:val="nil"/>
                    <w:tr2bl w:val="nil"/>
                  </w:tcBorders>
                  <w:noWrap w:val="0"/>
                  <w:vAlign w:val="center"/>
                </w:tcPr>
                <w:p w14:paraId="65EC5197">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存储位置</w:t>
                  </w:r>
                </w:p>
              </w:tc>
              <w:tc>
                <w:tcPr>
                  <w:tcW w:w="479" w:type="pct"/>
                  <w:tcBorders>
                    <w:tl2br w:val="nil"/>
                    <w:tr2bl w:val="nil"/>
                  </w:tcBorders>
                  <w:noWrap w:val="0"/>
                  <w:vAlign w:val="center"/>
                </w:tcPr>
                <w:p w14:paraId="6468D6E9">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来源</w:t>
                  </w:r>
                </w:p>
              </w:tc>
              <w:tc>
                <w:tcPr>
                  <w:tcW w:w="583" w:type="pct"/>
                  <w:tcBorders>
                    <w:tl2br w:val="nil"/>
                    <w:tr2bl w:val="nil"/>
                  </w:tcBorders>
                  <w:noWrap w:val="0"/>
                  <w:vAlign w:val="center"/>
                </w:tcPr>
                <w:p w14:paraId="1C209133">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作用</w:t>
                  </w:r>
                </w:p>
              </w:tc>
            </w:tr>
            <w:tr w14:paraId="19513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pct"/>
                  <w:tcBorders>
                    <w:tl2br w:val="nil"/>
                    <w:tr2bl w:val="nil"/>
                  </w:tcBorders>
                  <w:noWrap w:val="0"/>
                  <w:vAlign w:val="center"/>
                </w:tcPr>
                <w:p w14:paraId="10ADADC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聚丙烯酰胺</w:t>
                  </w:r>
                </w:p>
              </w:tc>
              <w:tc>
                <w:tcPr>
                  <w:tcW w:w="503" w:type="pct"/>
                  <w:tcBorders>
                    <w:tl2br w:val="nil"/>
                    <w:tr2bl w:val="nil"/>
                  </w:tcBorders>
                  <w:noWrap w:val="0"/>
                  <w:vAlign w:val="center"/>
                </w:tcPr>
                <w:p w14:paraId="4F706FD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1058" w:type="pct"/>
                  <w:tcBorders>
                    <w:tl2br w:val="nil"/>
                    <w:tr2bl w:val="nil"/>
                  </w:tcBorders>
                  <w:noWrap w:val="0"/>
                  <w:vAlign w:val="center"/>
                </w:tcPr>
                <w:p w14:paraId="397EE3F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袋装，25</w:t>
                  </w:r>
                  <w:r>
                    <w:rPr>
                      <w:rFonts w:hint="eastAsia" w:cs="Times New Roman"/>
                      <w:i w:val="0"/>
                      <w:iCs w:val="0"/>
                      <w:color w:val="auto"/>
                      <w:kern w:val="0"/>
                      <w:sz w:val="21"/>
                      <w:szCs w:val="21"/>
                      <w:highlight w:val="none"/>
                      <w:u w:val="none"/>
                      <w:lang w:val="en-US" w:eastAsia="zh-CN" w:bidi="ar"/>
                    </w:rPr>
                    <w:t>k</w:t>
                  </w:r>
                  <w:r>
                    <w:rPr>
                      <w:rFonts w:hint="default" w:ascii="Times New Roman" w:hAnsi="Times New Roman" w:eastAsia="宋体" w:cs="Times New Roman"/>
                      <w:i w:val="0"/>
                      <w:iCs w:val="0"/>
                      <w:color w:val="auto"/>
                      <w:kern w:val="0"/>
                      <w:sz w:val="21"/>
                      <w:szCs w:val="21"/>
                      <w:highlight w:val="none"/>
                      <w:u w:val="none"/>
                      <w:lang w:val="en-US" w:eastAsia="zh-CN" w:bidi="ar"/>
                    </w:rPr>
                    <w:t>g/袋</w:t>
                  </w:r>
                </w:p>
              </w:tc>
              <w:tc>
                <w:tcPr>
                  <w:tcW w:w="688" w:type="pct"/>
                  <w:tcBorders>
                    <w:tl2br w:val="nil"/>
                    <w:tr2bl w:val="nil"/>
                  </w:tcBorders>
                  <w:noWrap w:val="0"/>
                  <w:vAlign w:val="center"/>
                </w:tcPr>
                <w:p w14:paraId="335CF4A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0.06</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873" w:type="pct"/>
                  <w:tcBorders>
                    <w:tl2br w:val="nil"/>
                    <w:tr2bl w:val="nil"/>
                  </w:tcBorders>
                  <w:noWrap w:val="0"/>
                  <w:vAlign w:val="center"/>
                </w:tcPr>
                <w:p w14:paraId="47559751">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加药间</w:t>
                  </w:r>
                </w:p>
              </w:tc>
              <w:tc>
                <w:tcPr>
                  <w:tcW w:w="479" w:type="pct"/>
                  <w:tcBorders>
                    <w:tl2br w:val="nil"/>
                    <w:tr2bl w:val="nil"/>
                  </w:tcBorders>
                  <w:noWrap w:val="0"/>
                  <w:vAlign w:val="center"/>
                </w:tcPr>
                <w:p w14:paraId="18A2E9FD">
                  <w:pPr>
                    <w:keepNext w:val="0"/>
                    <w:keepLines w:val="0"/>
                    <w:suppressLineNumbers w:val="0"/>
                    <w:kinsoku w:val="0"/>
                    <w:overflowPunct w:val="0"/>
                    <w:autoSpaceDE w:val="0"/>
                    <w:autoSpaceDN w:val="0"/>
                    <w:snapToGrid w:val="0"/>
                    <w:spacing w:before="0" w:beforeAutospacing="0" w:after="0" w:afterAutospacing="0"/>
                    <w:ind w:left="0" w:leftChars="0" w:right="0" w:rightChars="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外购</w:t>
                  </w:r>
                </w:p>
              </w:tc>
              <w:tc>
                <w:tcPr>
                  <w:tcW w:w="583" w:type="pct"/>
                  <w:tcBorders>
                    <w:tl2br w:val="nil"/>
                    <w:tr2bl w:val="nil"/>
                  </w:tcBorders>
                  <w:noWrap w:val="0"/>
                  <w:vAlign w:val="center"/>
                </w:tcPr>
                <w:p w14:paraId="46FBBD5C">
                  <w:pPr>
                    <w:keepNext w:val="0"/>
                    <w:keepLines w:val="0"/>
                    <w:suppressLineNumbers w:val="0"/>
                    <w:kinsoku w:val="0"/>
                    <w:overflowPunct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eastAsia="zh-CN"/>
                    </w:rPr>
                    <w:t>絮凝</w:t>
                  </w:r>
                </w:p>
              </w:tc>
            </w:tr>
            <w:tr w14:paraId="74C08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pct"/>
                  <w:tcBorders>
                    <w:tl2br w:val="nil"/>
                    <w:tr2bl w:val="nil"/>
                  </w:tcBorders>
                  <w:noWrap w:val="0"/>
                  <w:vAlign w:val="center"/>
                </w:tcPr>
                <w:p w14:paraId="41F7E34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聚合氯化铝</w:t>
                  </w:r>
                </w:p>
              </w:tc>
              <w:tc>
                <w:tcPr>
                  <w:tcW w:w="503" w:type="pct"/>
                  <w:tcBorders>
                    <w:tl2br w:val="nil"/>
                    <w:tr2bl w:val="nil"/>
                  </w:tcBorders>
                  <w:noWrap w:val="0"/>
                  <w:vAlign w:val="center"/>
                </w:tcPr>
                <w:p w14:paraId="77347EC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16</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1058" w:type="pct"/>
                  <w:tcBorders>
                    <w:tl2br w:val="nil"/>
                    <w:tr2bl w:val="nil"/>
                  </w:tcBorders>
                  <w:noWrap w:val="0"/>
                  <w:vAlign w:val="center"/>
                </w:tcPr>
                <w:p w14:paraId="1BED7CD6">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袋装，25</w:t>
                  </w:r>
                  <w:r>
                    <w:rPr>
                      <w:rFonts w:hint="eastAsia" w:cs="Times New Roman"/>
                      <w:i w:val="0"/>
                      <w:iCs w:val="0"/>
                      <w:color w:val="auto"/>
                      <w:kern w:val="0"/>
                      <w:sz w:val="21"/>
                      <w:szCs w:val="21"/>
                      <w:highlight w:val="none"/>
                      <w:u w:val="none"/>
                      <w:lang w:val="en-US" w:eastAsia="zh-CN" w:bidi="ar"/>
                    </w:rPr>
                    <w:t>k</w:t>
                  </w:r>
                  <w:r>
                    <w:rPr>
                      <w:rFonts w:hint="default" w:ascii="Times New Roman" w:hAnsi="Times New Roman" w:eastAsia="宋体" w:cs="Times New Roman"/>
                      <w:i w:val="0"/>
                      <w:iCs w:val="0"/>
                      <w:color w:val="auto"/>
                      <w:kern w:val="0"/>
                      <w:sz w:val="21"/>
                      <w:szCs w:val="21"/>
                      <w:highlight w:val="none"/>
                      <w:u w:val="none"/>
                      <w:lang w:val="en-US" w:eastAsia="zh-CN" w:bidi="ar"/>
                    </w:rPr>
                    <w:t>g/袋</w:t>
                  </w:r>
                </w:p>
              </w:tc>
              <w:tc>
                <w:tcPr>
                  <w:tcW w:w="688" w:type="pct"/>
                  <w:tcBorders>
                    <w:tl2br w:val="nil"/>
                    <w:tr2bl w:val="nil"/>
                  </w:tcBorders>
                  <w:noWrap w:val="0"/>
                  <w:vAlign w:val="center"/>
                </w:tcPr>
                <w:p w14:paraId="0F23ABF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873" w:type="pct"/>
                  <w:tcBorders>
                    <w:tl2br w:val="nil"/>
                    <w:tr2bl w:val="nil"/>
                  </w:tcBorders>
                  <w:noWrap w:val="0"/>
                  <w:vAlign w:val="center"/>
                </w:tcPr>
                <w:p w14:paraId="7DD09C3F">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加药间</w:t>
                  </w:r>
                </w:p>
              </w:tc>
              <w:tc>
                <w:tcPr>
                  <w:tcW w:w="479" w:type="pct"/>
                  <w:tcBorders>
                    <w:tl2br w:val="nil"/>
                    <w:tr2bl w:val="nil"/>
                  </w:tcBorders>
                  <w:noWrap w:val="0"/>
                  <w:vAlign w:val="center"/>
                </w:tcPr>
                <w:p w14:paraId="120AABF3">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c>
                <w:tcPr>
                  <w:tcW w:w="583" w:type="pct"/>
                  <w:tcBorders>
                    <w:tl2br w:val="nil"/>
                    <w:tr2bl w:val="nil"/>
                  </w:tcBorders>
                  <w:noWrap w:val="0"/>
                  <w:vAlign w:val="center"/>
                </w:tcPr>
                <w:p w14:paraId="5B8D8B45">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除磷</w:t>
                  </w:r>
                </w:p>
              </w:tc>
            </w:tr>
            <w:tr w14:paraId="217251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pct"/>
                  <w:tcBorders>
                    <w:tl2br w:val="nil"/>
                    <w:tr2bl w:val="nil"/>
                  </w:tcBorders>
                  <w:noWrap w:val="0"/>
                  <w:vAlign w:val="center"/>
                </w:tcPr>
                <w:p w14:paraId="067834D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次氯酸钠</w:t>
                  </w:r>
                </w:p>
              </w:tc>
              <w:tc>
                <w:tcPr>
                  <w:tcW w:w="503" w:type="pct"/>
                  <w:tcBorders>
                    <w:tl2br w:val="nil"/>
                    <w:tr2bl w:val="nil"/>
                  </w:tcBorders>
                  <w:noWrap w:val="0"/>
                  <w:vAlign w:val="center"/>
                </w:tcPr>
                <w:p w14:paraId="22CAF9A3">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33</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1058" w:type="pct"/>
                  <w:tcBorders>
                    <w:tl2br w:val="nil"/>
                    <w:tr2bl w:val="nil"/>
                  </w:tcBorders>
                  <w:noWrap w:val="0"/>
                  <w:vAlign w:val="center"/>
                </w:tcPr>
                <w:p w14:paraId="3A7AD30A">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桶装，25</w:t>
                  </w:r>
                  <w:r>
                    <w:rPr>
                      <w:rFonts w:hint="eastAsia" w:cs="Times New Roman"/>
                      <w:i w:val="0"/>
                      <w:iCs w:val="0"/>
                      <w:color w:val="auto"/>
                      <w:kern w:val="0"/>
                      <w:sz w:val="21"/>
                      <w:szCs w:val="21"/>
                      <w:highlight w:val="none"/>
                      <w:u w:val="none"/>
                      <w:lang w:val="en-US" w:eastAsia="zh-CN" w:bidi="ar"/>
                    </w:rPr>
                    <w:t>k</w:t>
                  </w:r>
                  <w:r>
                    <w:rPr>
                      <w:rFonts w:hint="default" w:ascii="Times New Roman" w:hAnsi="Times New Roman" w:eastAsia="宋体" w:cs="Times New Roman"/>
                      <w:i w:val="0"/>
                      <w:iCs w:val="0"/>
                      <w:color w:val="auto"/>
                      <w:kern w:val="0"/>
                      <w:sz w:val="21"/>
                      <w:szCs w:val="21"/>
                      <w:highlight w:val="none"/>
                      <w:u w:val="none"/>
                      <w:lang w:val="en-US" w:eastAsia="zh-CN" w:bidi="ar"/>
                    </w:rPr>
                    <w:t>g/桶</w:t>
                  </w:r>
                </w:p>
              </w:tc>
              <w:tc>
                <w:tcPr>
                  <w:tcW w:w="688" w:type="pct"/>
                  <w:tcBorders>
                    <w:tl2br w:val="nil"/>
                    <w:tr2bl w:val="nil"/>
                  </w:tcBorders>
                  <w:noWrap w:val="0"/>
                  <w:vAlign w:val="center"/>
                </w:tcPr>
                <w:p w14:paraId="723D41F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0.65</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873" w:type="pct"/>
                  <w:tcBorders>
                    <w:tl2br w:val="nil"/>
                    <w:tr2bl w:val="nil"/>
                  </w:tcBorders>
                  <w:noWrap w:val="0"/>
                  <w:vAlign w:val="center"/>
                </w:tcPr>
                <w:p w14:paraId="29D48F21">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加药间</w:t>
                  </w:r>
                </w:p>
              </w:tc>
              <w:tc>
                <w:tcPr>
                  <w:tcW w:w="479" w:type="pct"/>
                  <w:tcBorders>
                    <w:tl2br w:val="nil"/>
                    <w:tr2bl w:val="nil"/>
                  </w:tcBorders>
                  <w:noWrap w:val="0"/>
                  <w:vAlign w:val="center"/>
                </w:tcPr>
                <w:p w14:paraId="0F116BFA">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外购</w:t>
                  </w:r>
                </w:p>
              </w:tc>
              <w:tc>
                <w:tcPr>
                  <w:tcW w:w="583" w:type="pct"/>
                  <w:tcBorders>
                    <w:tl2br w:val="nil"/>
                    <w:tr2bl w:val="nil"/>
                  </w:tcBorders>
                  <w:noWrap w:val="0"/>
                  <w:vAlign w:val="center"/>
                </w:tcPr>
                <w:p w14:paraId="25C110D5">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eastAsia" w:cs="Times New Roman"/>
                      <w:color w:val="auto"/>
                      <w:highlight w:val="none"/>
                      <w:lang w:eastAsia="zh-CN"/>
                    </w:rPr>
                    <w:t>消毒</w:t>
                  </w:r>
                </w:p>
              </w:tc>
            </w:tr>
            <w:tr w14:paraId="20A08B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pct"/>
                  <w:tcBorders>
                    <w:tl2br w:val="nil"/>
                    <w:tr2bl w:val="nil"/>
                  </w:tcBorders>
                  <w:noWrap w:val="0"/>
                  <w:vAlign w:val="center"/>
                </w:tcPr>
                <w:p w14:paraId="03C71B88">
                  <w:pPr>
                    <w:keepNext w:val="0"/>
                    <w:keepLines w:val="0"/>
                    <w:widowControl/>
                    <w:suppressLineNumbers w:val="0"/>
                    <w:jc w:val="center"/>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三氯化铁</w:t>
                  </w:r>
                </w:p>
              </w:tc>
              <w:tc>
                <w:tcPr>
                  <w:tcW w:w="503" w:type="pct"/>
                  <w:tcBorders>
                    <w:tl2br w:val="nil"/>
                    <w:tr2bl w:val="nil"/>
                  </w:tcBorders>
                  <w:noWrap w:val="0"/>
                  <w:vAlign w:val="center"/>
                </w:tcPr>
                <w:p w14:paraId="015B7282">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22</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1058" w:type="pct"/>
                  <w:tcBorders>
                    <w:tl2br w:val="nil"/>
                    <w:tr2bl w:val="nil"/>
                  </w:tcBorders>
                  <w:noWrap w:val="0"/>
                  <w:vAlign w:val="center"/>
                </w:tcPr>
                <w:p w14:paraId="4CA89C70">
                  <w:pPr>
                    <w:keepNext w:val="0"/>
                    <w:keepLines w:val="0"/>
                    <w:widowControl/>
                    <w:suppressLineNumbers w:val="0"/>
                    <w:jc w:val="center"/>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88" w:type="pct"/>
                  <w:tcBorders>
                    <w:tl2br w:val="nil"/>
                    <w:tr2bl w:val="nil"/>
                  </w:tcBorders>
                  <w:noWrap w:val="0"/>
                  <w:vAlign w:val="center"/>
                </w:tcPr>
                <w:p w14:paraId="4EFCDEBD">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0.5</w:t>
                  </w:r>
                  <w:r>
                    <w:rPr>
                      <w:rFonts w:hint="eastAsia" w:ascii="Times New Roman" w:hAnsi="Times New Roman" w:eastAsia="宋体" w:cs="Times New Roman"/>
                      <w:i w:val="0"/>
                      <w:iCs w:val="0"/>
                      <w:color w:val="auto"/>
                      <w:kern w:val="0"/>
                      <w:sz w:val="21"/>
                      <w:szCs w:val="21"/>
                      <w:highlight w:val="none"/>
                      <w:u w:val="none"/>
                      <w:lang w:val="en-US" w:eastAsia="zh-CN" w:bidi="ar"/>
                    </w:rPr>
                    <w:t>t/a</w:t>
                  </w:r>
                </w:p>
              </w:tc>
              <w:tc>
                <w:tcPr>
                  <w:tcW w:w="873" w:type="pct"/>
                  <w:tcBorders>
                    <w:tl2br w:val="nil"/>
                    <w:tr2bl w:val="nil"/>
                  </w:tcBorders>
                  <w:noWrap w:val="0"/>
                  <w:vAlign w:val="center"/>
                </w:tcPr>
                <w:p w14:paraId="662CC82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污泥脱水间</w:t>
                  </w:r>
                </w:p>
              </w:tc>
              <w:tc>
                <w:tcPr>
                  <w:tcW w:w="479" w:type="pct"/>
                  <w:tcBorders>
                    <w:tl2br w:val="nil"/>
                    <w:tr2bl w:val="nil"/>
                  </w:tcBorders>
                  <w:noWrap w:val="0"/>
                  <w:vAlign w:val="center"/>
                </w:tcPr>
                <w:p w14:paraId="7481BA91">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c>
                <w:tcPr>
                  <w:tcW w:w="583" w:type="pct"/>
                  <w:tcBorders>
                    <w:tl2br w:val="nil"/>
                    <w:tr2bl w:val="nil"/>
                  </w:tcBorders>
                  <w:noWrap w:val="0"/>
                  <w:vAlign w:val="center"/>
                </w:tcPr>
                <w:p w14:paraId="73ACCA9E">
                  <w:pPr>
                    <w:keepNext w:val="0"/>
                    <w:keepLines w:val="0"/>
                    <w:suppressLineNumbers w:val="0"/>
                    <w:kinsoku w:val="0"/>
                    <w:overflowPunct w:val="0"/>
                    <w:autoSpaceDE w:val="0"/>
                    <w:autoSpaceDN w:val="0"/>
                    <w:snapToGrid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絮凝</w:t>
                  </w:r>
                </w:p>
              </w:tc>
            </w:tr>
            <w:tr w14:paraId="4C245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pct"/>
                  <w:tcBorders>
                    <w:tl2br w:val="nil"/>
                    <w:tr2bl w:val="nil"/>
                  </w:tcBorders>
                  <w:noWrap w:val="0"/>
                  <w:vAlign w:val="center"/>
                </w:tcPr>
                <w:p w14:paraId="43B591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柴油</w:t>
                  </w:r>
                </w:p>
              </w:tc>
              <w:tc>
                <w:tcPr>
                  <w:tcW w:w="503" w:type="pct"/>
                  <w:tcBorders>
                    <w:tl2br w:val="nil"/>
                    <w:tr2bl w:val="nil"/>
                  </w:tcBorders>
                  <w:noWrap w:val="0"/>
                  <w:vAlign w:val="center"/>
                </w:tcPr>
                <w:p w14:paraId="317B95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0.01t/a</w:t>
                  </w:r>
                </w:p>
              </w:tc>
              <w:tc>
                <w:tcPr>
                  <w:tcW w:w="1058" w:type="pct"/>
                  <w:tcBorders>
                    <w:tl2br w:val="nil"/>
                    <w:tr2bl w:val="nil"/>
                  </w:tcBorders>
                  <w:noWrap w:val="0"/>
                  <w:vAlign w:val="center"/>
                </w:tcPr>
                <w:p w14:paraId="5B28EA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箱装</w:t>
                  </w:r>
                </w:p>
              </w:tc>
              <w:tc>
                <w:tcPr>
                  <w:tcW w:w="688" w:type="pct"/>
                  <w:tcBorders>
                    <w:tl2br w:val="nil"/>
                    <w:tr2bl w:val="nil"/>
                  </w:tcBorders>
                  <w:noWrap w:val="0"/>
                  <w:vAlign w:val="center"/>
                </w:tcPr>
                <w:p w14:paraId="09C6C5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0.85kg/a</w:t>
                  </w:r>
                </w:p>
              </w:tc>
              <w:tc>
                <w:tcPr>
                  <w:tcW w:w="873" w:type="pct"/>
                  <w:tcBorders>
                    <w:tl2br w:val="nil"/>
                    <w:tr2bl w:val="nil"/>
                  </w:tcBorders>
                  <w:noWrap w:val="0"/>
                  <w:vAlign w:val="center"/>
                </w:tcPr>
                <w:p w14:paraId="3336A93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发电机房内储油间</w:t>
                  </w:r>
                </w:p>
              </w:tc>
              <w:tc>
                <w:tcPr>
                  <w:tcW w:w="479" w:type="pct"/>
                  <w:tcBorders>
                    <w:tl2br w:val="nil"/>
                    <w:tr2bl w:val="nil"/>
                  </w:tcBorders>
                  <w:noWrap w:val="0"/>
                  <w:vAlign w:val="center"/>
                </w:tcPr>
                <w:p w14:paraId="4EC217E6">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c>
                <w:tcPr>
                  <w:tcW w:w="583" w:type="pct"/>
                  <w:tcBorders>
                    <w:tl2br w:val="nil"/>
                    <w:tr2bl w:val="nil"/>
                  </w:tcBorders>
                  <w:noWrap w:val="0"/>
                  <w:vAlign w:val="center"/>
                </w:tcPr>
                <w:p w14:paraId="598D5A42">
                  <w:pPr>
                    <w:keepNext w:val="0"/>
                    <w:keepLines w:val="0"/>
                    <w:suppressLineNumbers w:val="0"/>
                    <w:kinsoku w:val="0"/>
                    <w:overflowPunct w:val="0"/>
                    <w:autoSpaceDE w:val="0"/>
                    <w:autoSpaceDN w:val="0"/>
                    <w:snapToGrid w:val="0"/>
                    <w:spacing w:before="0" w:beforeAutospacing="0" w:after="0" w:afterAutospacing="0"/>
                    <w:ind w:left="0" w:right="0"/>
                    <w:jc w:val="center"/>
                    <w:rPr>
                      <w:rFonts w:hint="eastAsia" w:cs="Times New Roman"/>
                      <w:color w:val="auto"/>
                      <w:highlight w:val="none"/>
                      <w:lang w:eastAsia="zh-CN"/>
                    </w:rPr>
                  </w:pPr>
                  <w:r>
                    <w:rPr>
                      <w:rFonts w:hint="eastAsia" w:cs="Times New Roman"/>
                      <w:color w:val="auto"/>
                      <w:highlight w:val="none"/>
                      <w:lang w:eastAsia="zh-CN"/>
                    </w:rPr>
                    <w:t>发电机燃料</w:t>
                  </w:r>
                </w:p>
              </w:tc>
            </w:tr>
            <w:tr w14:paraId="2DAC8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pct"/>
                  <w:tcBorders>
                    <w:tl2br w:val="nil"/>
                    <w:tr2bl w:val="nil"/>
                  </w:tcBorders>
                  <w:noWrap w:val="0"/>
                  <w:vAlign w:val="center"/>
                </w:tcPr>
                <w:p w14:paraId="2980135B">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润滑油</w:t>
                  </w:r>
                </w:p>
              </w:tc>
              <w:tc>
                <w:tcPr>
                  <w:tcW w:w="817" w:type="dxa"/>
                  <w:tcBorders>
                    <w:tl2br w:val="nil"/>
                    <w:tr2bl w:val="nil"/>
                  </w:tcBorders>
                  <w:noWrap w:val="0"/>
                  <w:vAlign w:val="center"/>
                </w:tcPr>
                <w:p w14:paraId="50EEC699">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1t/a</w:t>
                  </w:r>
                </w:p>
              </w:tc>
              <w:tc>
                <w:tcPr>
                  <w:tcW w:w="1717" w:type="dxa"/>
                  <w:tcBorders>
                    <w:tl2br w:val="nil"/>
                    <w:tr2bl w:val="nil"/>
                  </w:tcBorders>
                  <w:noWrap w:val="0"/>
                  <w:vAlign w:val="center"/>
                </w:tcPr>
                <w:p w14:paraId="2CDEA970">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桶装，50kg/桶</w:t>
                  </w:r>
                </w:p>
              </w:tc>
              <w:tc>
                <w:tcPr>
                  <w:tcW w:w="1116" w:type="dxa"/>
                  <w:tcBorders>
                    <w:tl2br w:val="nil"/>
                    <w:tr2bl w:val="nil"/>
                  </w:tcBorders>
                  <w:noWrap w:val="0"/>
                  <w:vAlign w:val="center"/>
                </w:tcPr>
                <w:p w14:paraId="75F50A2C">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0.1t/a</w:t>
                  </w:r>
                </w:p>
              </w:tc>
              <w:tc>
                <w:tcPr>
                  <w:tcW w:w="1417" w:type="dxa"/>
                  <w:tcBorders>
                    <w:tl2br w:val="nil"/>
                    <w:tr2bl w:val="nil"/>
                  </w:tcBorders>
                  <w:noWrap w:val="0"/>
                  <w:vAlign w:val="center"/>
                </w:tcPr>
                <w:p w14:paraId="60367D56">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储油区</w:t>
                  </w:r>
                </w:p>
              </w:tc>
              <w:tc>
                <w:tcPr>
                  <w:tcW w:w="778" w:type="dxa"/>
                  <w:tcBorders>
                    <w:tl2br w:val="nil"/>
                    <w:tr2bl w:val="nil"/>
                  </w:tcBorders>
                  <w:noWrap w:val="0"/>
                  <w:vAlign w:val="center"/>
                </w:tcPr>
                <w:p w14:paraId="1F1F9C88">
                  <w:pPr>
                    <w:keepNext w:val="0"/>
                    <w:keepLines w:val="0"/>
                    <w:suppressLineNumbers w:val="0"/>
                    <w:kinsoku w:val="0"/>
                    <w:overflowPunct w:val="0"/>
                    <w:autoSpaceDE w:val="0"/>
                    <w:autoSpaceDN w:val="0"/>
                    <w:snapToGrid w:val="0"/>
                    <w:spacing w:before="0" w:beforeAutospacing="0" w:after="0" w:afterAutospacing="0"/>
                    <w:ind w:left="0" w:leftChars="0" w:right="0" w:right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c>
                <w:tcPr>
                  <w:tcW w:w="947" w:type="dxa"/>
                  <w:tcBorders>
                    <w:tl2br w:val="nil"/>
                    <w:tr2bl w:val="nil"/>
                  </w:tcBorders>
                  <w:noWrap w:val="0"/>
                  <w:vAlign w:val="center"/>
                </w:tcPr>
                <w:p w14:paraId="396A7CCE">
                  <w:pPr>
                    <w:keepNext w:val="0"/>
                    <w:keepLines w:val="0"/>
                    <w:suppressLineNumbers w:val="0"/>
                    <w:kinsoku w:val="0"/>
                    <w:overflowPunct w:val="0"/>
                    <w:autoSpaceDE w:val="0"/>
                    <w:autoSpaceDN w:val="0"/>
                    <w:snapToGrid w:val="0"/>
                    <w:spacing w:before="0" w:beforeAutospacing="0" w:after="0" w:afterAutospacing="0"/>
                    <w:ind w:left="0" w:leftChars="0" w:right="0" w:rightChars="0"/>
                    <w:jc w:val="center"/>
                    <w:rPr>
                      <w:rFonts w:hint="eastAsia" w:cs="Times New Roman"/>
                      <w:color w:val="auto"/>
                      <w:highlight w:val="none"/>
                      <w:lang w:eastAsia="zh-CN"/>
                    </w:rPr>
                  </w:pPr>
                  <w:r>
                    <w:rPr>
                      <w:rFonts w:hint="eastAsia" w:cs="Times New Roman"/>
                      <w:color w:val="auto"/>
                      <w:highlight w:val="none"/>
                      <w:lang w:eastAsia="zh-CN"/>
                    </w:rPr>
                    <w:t>设备</w:t>
                  </w:r>
                </w:p>
                <w:p w14:paraId="6FED9197">
                  <w:pPr>
                    <w:keepNext w:val="0"/>
                    <w:keepLines w:val="0"/>
                    <w:suppressLineNumbers w:val="0"/>
                    <w:kinsoku w:val="0"/>
                    <w:overflowPunct w:val="0"/>
                    <w:autoSpaceDE w:val="0"/>
                    <w:autoSpaceDN w:val="0"/>
                    <w:snapToGrid w:val="0"/>
                    <w:spacing w:before="0" w:beforeAutospacing="0" w:after="0" w:afterAutospacing="0"/>
                    <w:ind w:left="0" w:leftChars="0" w:right="0" w:rightChars="0"/>
                    <w:jc w:val="center"/>
                    <w:rPr>
                      <w:rFonts w:hint="eastAsia" w:cs="Times New Roman"/>
                      <w:color w:val="auto"/>
                      <w:highlight w:val="none"/>
                      <w:lang w:eastAsia="zh-CN"/>
                    </w:rPr>
                  </w:pPr>
                  <w:r>
                    <w:rPr>
                      <w:rFonts w:hint="eastAsia" w:cs="Times New Roman"/>
                      <w:color w:val="auto"/>
                      <w:highlight w:val="none"/>
                      <w:lang w:eastAsia="zh-CN"/>
                    </w:rPr>
                    <w:t>维护</w:t>
                  </w:r>
                </w:p>
              </w:tc>
            </w:tr>
            <w:tr w14:paraId="6F8F3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2" w:type="pct"/>
                  <w:tcBorders>
                    <w:tl2br w:val="nil"/>
                    <w:tr2bl w:val="nil"/>
                  </w:tcBorders>
                  <w:noWrap w:val="0"/>
                  <w:vAlign w:val="center"/>
                </w:tcPr>
                <w:p w14:paraId="37DA0813">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电</w:t>
                  </w:r>
                </w:p>
              </w:tc>
              <w:tc>
                <w:tcPr>
                  <w:tcW w:w="1562" w:type="pct"/>
                  <w:gridSpan w:val="2"/>
                  <w:tcBorders>
                    <w:tl2br w:val="nil"/>
                    <w:tr2bl w:val="nil"/>
                  </w:tcBorders>
                  <w:noWrap w:val="0"/>
                  <w:vAlign w:val="center"/>
                </w:tcPr>
                <w:p w14:paraId="6B23A1C1">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w:t>
                  </w:r>
                  <w:r>
                    <w:rPr>
                      <w:rFonts w:hint="default" w:ascii="Times New Roman" w:hAnsi="Times New Roman" w:eastAsia="宋体" w:cs="Times New Roman"/>
                      <w:color w:val="auto"/>
                      <w:kern w:val="0"/>
                      <w:sz w:val="21"/>
                      <w:szCs w:val="21"/>
                      <w:highlight w:val="none"/>
                      <w:lang w:val="en-US" w:eastAsia="zh-CN" w:bidi="ar"/>
                    </w:rPr>
                    <w:t>万kW·h/a</w:t>
                  </w:r>
                </w:p>
              </w:tc>
              <w:tc>
                <w:tcPr>
                  <w:tcW w:w="2625" w:type="pct"/>
                  <w:gridSpan w:val="4"/>
                  <w:tcBorders>
                    <w:tl2br w:val="nil"/>
                    <w:tr2bl w:val="nil"/>
                  </w:tcBorders>
                  <w:noWrap w:val="0"/>
                  <w:vAlign w:val="center"/>
                </w:tcPr>
                <w:p w14:paraId="7F877B92">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谢村</w:t>
                  </w:r>
                  <w:r>
                    <w:rPr>
                      <w:rFonts w:hint="default" w:ascii="Times New Roman" w:hAnsi="Times New Roman" w:cs="Times New Roman"/>
                      <w:color w:val="auto"/>
                      <w:sz w:val="21"/>
                      <w:szCs w:val="21"/>
                      <w:highlight w:val="none"/>
                      <w:lang w:eastAsia="zh-CN"/>
                    </w:rPr>
                    <w:t>镇</w:t>
                  </w:r>
                  <w:r>
                    <w:rPr>
                      <w:rFonts w:hint="default" w:ascii="Times New Roman" w:hAnsi="Times New Roman" w:eastAsia="宋体" w:cs="Times New Roman"/>
                      <w:color w:val="auto"/>
                      <w:sz w:val="21"/>
                      <w:szCs w:val="21"/>
                      <w:highlight w:val="none"/>
                      <w:lang w:val="en-US" w:eastAsia="zh-CN"/>
                    </w:rPr>
                    <w:t>供</w:t>
                  </w:r>
                  <w:r>
                    <w:rPr>
                      <w:rFonts w:hint="default" w:ascii="Times New Roman" w:hAnsi="Times New Roman" w:eastAsia="宋体" w:cs="Times New Roman"/>
                      <w:color w:val="auto"/>
                      <w:sz w:val="21"/>
                      <w:szCs w:val="21"/>
                      <w:highlight w:val="none"/>
                      <w:lang w:eastAsia="zh-CN"/>
                    </w:rPr>
                    <w:t>电网</w:t>
                  </w:r>
                </w:p>
              </w:tc>
            </w:tr>
            <w:tr w14:paraId="7B4DE9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2" w:type="pct"/>
                  <w:tcBorders>
                    <w:tl2br w:val="nil"/>
                    <w:tr2bl w:val="nil"/>
                  </w:tcBorders>
                  <w:noWrap w:val="0"/>
                  <w:vAlign w:val="center"/>
                </w:tcPr>
                <w:p w14:paraId="370BCA2F">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cs="Times New Roman"/>
                      <w:color w:val="auto"/>
                      <w:highlight w:val="none"/>
                      <w:lang w:eastAsia="zh-CN"/>
                    </w:rPr>
                  </w:pPr>
                  <w:r>
                    <w:rPr>
                      <w:rFonts w:hint="eastAsia" w:cs="Times New Roman"/>
                      <w:color w:val="auto"/>
                      <w:highlight w:val="none"/>
                      <w:lang w:eastAsia="zh-CN"/>
                    </w:rPr>
                    <w:t>水</w:t>
                  </w:r>
                </w:p>
              </w:tc>
              <w:tc>
                <w:tcPr>
                  <w:tcW w:w="1562" w:type="pct"/>
                  <w:gridSpan w:val="2"/>
                  <w:tcBorders>
                    <w:tl2br w:val="nil"/>
                    <w:tr2bl w:val="nil"/>
                  </w:tcBorders>
                  <w:noWrap w:val="0"/>
                  <w:vAlign w:val="center"/>
                </w:tcPr>
                <w:p w14:paraId="40AEFE04">
                  <w:pPr>
                    <w:keepNext w:val="0"/>
                    <w:keepLines w:val="0"/>
                    <w:suppressLineNumbers w:val="0"/>
                    <w:kinsoku w:val="0"/>
                    <w:overflowPunct w:val="0"/>
                    <w:autoSpaceDE w:val="0"/>
                    <w:autoSpaceDN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255.5m</w:t>
                  </w:r>
                  <w:r>
                    <w:rPr>
                      <w:rFonts w:hint="eastAsia" w:cs="Times New Roman"/>
                      <w:color w:val="auto"/>
                      <w:kern w:val="0"/>
                      <w:sz w:val="21"/>
                      <w:szCs w:val="21"/>
                      <w:highlight w:val="none"/>
                      <w:vertAlign w:val="superscript"/>
                      <w:lang w:val="en-US" w:eastAsia="zh-CN" w:bidi="ar"/>
                    </w:rPr>
                    <w:t>3</w:t>
                  </w:r>
                  <w:r>
                    <w:rPr>
                      <w:rFonts w:hint="eastAsia" w:cs="Times New Roman"/>
                      <w:color w:val="auto"/>
                      <w:kern w:val="0"/>
                      <w:sz w:val="21"/>
                      <w:szCs w:val="21"/>
                      <w:highlight w:val="none"/>
                      <w:lang w:val="en-US" w:eastAsia="zh-CN" w:bidi="ar"/>
                    </w:rPr>
                    <w:t>/a</w:t>
                  </w:r>
                </w:p>
              </w:tc>
              <w:tc>
                <w:tcPr>
                  <w:tcW w:w="2625" w:type="pct"/>
                  <w:gridSpan w:val="4"/>
                  <w:tcBorders>
                    <w:tl2br w:val="nil"/>
                    <w:tr2bl w:val="nil"/>
                  </w:tcBorders>
                  <w:noWrap w:val="0"/>
                  <w:vAlign w:val="center"/>
                </w:tcPr>
                <w:p w14:paraId="349E35F6">
                  <w:pPr>
                    <w:keepNext w:val="0"/>
                    <w:keepLines w:val="0"/>
                    <w:suppressLineNumbers w:val="0"/>
                    <w:kinsoku w:val="0"/>
                    <w:overflowPunct w:val="0"/>
                    <w:autoSpaceDE w:val="0"/>
                    <w:autoSpaceDN w:val="0"/>
                    <w:snapToGrid w:val="0"/>
                    <w:spacing w:before="0" w:beforeAutospacing="0" w:after="0" w:afterAutospacing="0"/>
                    <w:ind w:left="0" w:right="0"/>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谢村</w:t>
                  </w:r>
                  <w:r>
                    <w:rPr>
                      <w:rFonts w:hint="default" w:ascii="Times New Roman" w:hAnsi="Times New Roman" w:cs="Times New Roman"/>
                      <w:color w:val="auto"/>
                      <w:sz w:val="21"/>
                      <w:szCs w:val="21"/>
                      <w:highlight w:val="none"/>
                      <w:lang w:eastAsia="zh-CN"/>
                    </w:rPr>
                    <w:t>镇</w:t>
                  </w:r>
                  <w:r>
                    <w:rPr>
                      <w:rFonts w:hint="default" w:ascii="Times New Roman" w:hAnsi="Times New Roman" w:eastAsia="宋体" w:cs="Times New Roman"/>
                      <w:color w:val="auto"/>
                      <w:sz w:val="21"/>
                      <w:szCs w:val="21"/>
                      <w:highlight w:val="none"/>
                      <w:lang w:val="en-US" w:eastAsia="zh-CN"/>
                    </w:rPr>
                    <w:t>供</w:t>
                  </w:r>
                  <w:r>
                    <w:rPr>
                      <w:rFonts w:hint="eastAsia" w:cs="Times New Roman"/>
                      <w:color w:val="auto"/>
                      <w:sz w:val="21"/>
                      <w:szCs w:val="21"/>
                      <w:highlight w:val="none"/>
                      <w:lang w:eastAsia="zh-CN"/>
                    </w:rPr>
                    <w:t>水管</w:t>
                  </w:r>
                  <w:r>
                    <w:rPr>
                      <w:rFonts w:hint="default" w:ascii="Times New Roman" w:hAnsi="Times New Roman" w:eastAsia="宋体" w:cs="Times New Roman"/>
                      <w:color w:val="auto"/>
                      <w:sz w:val="21"/>
                      <w:szCs w:val="21"/>
                      <w:highlight w:val="none"/>
                      <w:lang w:eastAsia="zh-CN"/>
                    </w:rPr>
                    <w:t>网</w:t>
                  </w:r>
                </w:p>
              </w:tc>
            </w:tr>
          </w:tbl>
          <w:p w14:paraId="74FF0525">
            <w:pPr>
              <w:adjustRightInd w:val="0"/>
              <w:snapToGrid w:val="0"/>
              <w:spacing w:beforeLines="50" w:line="360" w:lineRule="auto"/>
              <w:ind w:firstLine="480" w:firstLineChars="200"/>
              <w:rPr>
                <w:rFonts w:ascii="Times New Roman" w:hAnsi="Times New Roman" w:cs="Times New Roman"/>
                <w:bCs/>
                <w:color w:val="auto"/>
                <w:sz w:val="24"/>
                <w:highlight w:val="none"/>
              </w:rPr>
            </w:pPr>
            <w:r>
              <w:rPr>
                <w:rFonts w:hint="default" w:ascii="Times New Roman" w:hAnsi="Times New Roman" w:eastAsia="宋体" w:cs="Times New Roman"/>
                <w:bCs/>
                <w:color w:val="auto"/>
                <w:sz w:val="24"/>
                <w:szCs w:val="24"/>
                <w:highlight w:val="none"/>
                <w:lang w:val="en-US" w:eastAsia="zh-CN"/>
              </w:rPr>
              <w:t>本项目原辅材料均随用随取，定期外购补充，不在</w:t>
            </w:r>
            <w:r>
              <w:rPr>
                <w:rFonts w:hint="eastAsia" w:cs="Times New Roman"/>
                <w:bCs/>
                <w:color w:val="auto"/>
                <w:sz w:val="24"/>
                <w:szCs w:val="24"/>
                <w:highlight w:val="none"/>
                <w:lang w:val="en-US" w:eastAsia="zh-CN"/>
              </w:rPr>
              <w:t>厂区</w:t>
            </w:r>
            <w:r>
              <w:rPr>
                <w:rFonts w:hint="default" w:ascii="Times New Roman" w:hAnsi="Times New Roman" w:eastAsia="宋体" w:cs="Times New Roman"/>
                <w:bCs/>
                <w:color w:val="auto"/>
                <w:sz w:val="24"/>
                <w:szCs w:val="24"/>
                <w:highlight w:val="none"/>
                <w:lang w:val="en-US" w:eastAsia="zh-CN"/>
              </w:rPr>
              <w:t>内大量储存。</w:t>
            </w:r>
            <w:r>
              <w:rPr>
                <w:rFonts w:hint="eastAsia" w:ascii="Times New Roman" w:hAnsi="Times New Roman" w:cs="Times New Roman"/>
                <w:bCs/>
                <w:color w:val="auto"/>
                <w:sz w:val="24"/>
                <w:highlight w:val="none"/>
              </w:rPr>
              <w:t>次氯酸钠为液体，使用时需要兑水，药剂与水的比例为1:10</w:t>
            </w:r>
            <w:r>
              <w:rPr>
                <w:rFonts w:ascii="Times New Roman" w:hAnsi="Times New Roman" w:cs="Times New Roman"/>
                <w:bCs/>
                <w:color w:val="auto"/>
                <w:sz w:val="24"/>
                <w:highlight w:val="none"/>
              </w:rPr>
              <w:t>。</w:t>
            </w:r>
          </w:p>
          <w:p w14:paraId="423064D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auto"/>
                <w:sz w:val="24"/>
                <w:szCs w:val="28"/>
                <w:highlight w:val="none"/>
                <w:lang w:val="en-US" w:eastAsia="zh-CN"/>
              </w:rPr>
            </w:pPr>
            <w:r>
              <w:rPr>
                <w:rFonts w:hint="default" w:ascii="Times New Roman" w:hAnsi="Times New Roman" w:cs="Times New Roman"/>
                <w:b/>
                <w:bCs/>
                <w:color w:val="auto"/>
                <w:sz w:val="24"/>
                <w:szCs w:val="28"/>
                <w:highlight w:val="none"/>
                <w:lang w:val="en-US" w:eastAsia="zh-CN"/>
              </w:rPr>
              <w:t>原辅材料理化性质：</w:t>
            </w:r>
          </w:p>
          <w:p w14:paraId="6AF32BB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聚丙烯酰胺</w:t>
            </w:r>
            <w:r>
              <w:rPr>
                <w:rFonts w:hint="eastAsia" w:cs="Times New Roman"/>
                <w:bCs/>
                <w:color w:val="auto"/>
                <w:sz w:val="24"/>
                <w:szCs w:val="24"/>
                <w:highlight w:val="none"/>
                <w:lang w:val="en-US" w:eastAsia="zh-CN"/>
              </w:rPr>
              <w:t>：是一种线状的有机高分子聚合物，同时也是一种高分子水处理絮凝剂</w:t>
            </w:r>
            <w:r>
              <w:rPr>
                <w:rFonts w:hint="eastAsia" w:cs="Times New Roman"/>
                <w:bCs/>
                <w:color w:val="auto"/>
                <w:sz w:val="24"/>
                <w:szCs w:val="24"/>
                <w:highlight w:val="none"/>
                <w:lang w:val="en-US" w:eastAsia="zh-CN"/>
              </w:rPr>
              <w:fldChar w:fldCharType="begin"/>
            </w:r>
            <w:r>
              <w:rPr>
                <w:rFonts w:hint="eastAsia" w:cs="Times New Roman"/>
                <w:bCs/>
                <w:color w:val="auto"/>
                <w:sz w:val="24"/>
                <w:szCs w:val="24"/>
                <w:highlight w:val="none"/>
                <w:lang w:val="en-US" w:eastAsia="zh-CN"/>
              </w:rPr>
              <w:instrText xml:space="preserve"> HYPERLINK "https://baike.so.com/doc/409015-433180.html" \t "https://baike.so.com/doc/_blank" </w:instrText>
            </w:r>
            <w:r>
              <w:rPr>
                <w:rFonts w:hint="eastAsia" w:cs="Times New Roman"/>
                <w:bCs/>
                <w:color w:val="auto"/>
                <w:sz w:val="24"/>
                <w:szCs w:val="24"/>
                <w:highlight w:val="none"/>
                <w:lang w:val="en-US" w:eastAsia="zh-CN"/>
              </w:rPr>
              <w:fldChar w:fldCharType="separate"/>
            </w:r>
            <w:r>
              <w:rPr>
                <w:rFonts w:hint="eastAsia" w:cs="Times New Roman"/>
                <w:bCs/>
                <w:color w:val="auto"/>
                <w:sz w:val="24"/>
                <w:szCs w:val="24"/>
                <w:highlight w:val="none"/>
                <w:lang w:val="en-US" w:eastAsia="zh-CN"/>
              </w:rPr>
              <w:t>产品</w:t>
            </w:r>
            <w:r>
              <w:rPr>
                <w:rFonts w:hint="eastAsia" w:cs="Times New Roman"/>
                <w:bCs/>
                <w:color w:val="auto"/>
                <w:sz w:val="24"/>
                <w:szCs w:val="24"/>
                <w:highlight w:val="none"/>
                <w:lang w:val="en-US" w:eastAsia="zh-CN"/>
              </w:rPr>
              <w:fldChar w:fldCharType="end"/>
            </w:r>
            <w:r>
              <w:rPr>
                <w:rFonts w:hint="eastAsia" w:cs="Times New Roman"/>
                <w:bCs/>
                <w:color w:val="auto"/>
                <w:sz w:val="24"/>
                <w:szCs w:val="24"/>
                <w:highlight w:val="none"/>
                <w:lang w:val="en-US" w:eastAsia="zh-CN"/>
              </w:rPr>
              <w:t>，可以吸附水中的悬浮颗粒，在颗粒之间起链接架桥作用，使细颗粒形成比较大的絮团，可加快沉淀的速度。其分子式为(C</w:t>
            </w:r>
            <w:r>
              <w:rPr>
                <w:rFonts w:hint="eastAsia" w:cs="Times New Roman"/>
                <w:bCs/>
                <w:color w:val="auto"/>
                <w:sz w:val="24"/>
                <w:szCs w:val="24"/>
                <w:highlight w:val="none"/>
                <w:vertAlign w:val="subscript"/>
                <w:lang w:val="en-US" w:eastAsia="zh-CN"/>
              </w:rPr>
              <w:t>3</w:t>
            </w:r>
            <w:r>
              <w:rPr>
                <w:rFonts w:hint="eastAsia" w:cs="Times New Roman"/>
                <w:bCs/>
                <w:color w:val="auto"/>
                <w:sz w:val="24"/>
                <w:szCs w:val="24"/>
                <w:highlight w:val="none"/>
                <w:lang w:val="en-US" w:eastAsia="zh-CN"/>
              </w:rPr>
              <w:t>H</w:t>
            </w:r>
            <w:r>
              <w:rPr>
                <w:rFonts w:hint="eastAsia" w:cs="Times New Roman"/>
                <w:bCs/>
                <w:color w:val="auto"/>
                <w:sz w:val="24"/>
                <w:szCs w:val="24"/>
                <w:highlight w:val="none"/>
                <w:vertAlign w:val="subscript"/>
                <w:lang w:val="en-US" w:eastAsia="zh-CN"/>
              </w:rPr>
              <w:t>5</w:t>
            </w:r>
            <w:r>
              <w:rPr>
                <w:rFonts w:hint="eastAsia" w:cs="Times New Roman"/>
                <w:bCs/>
                <w:color w:val="auto"/>
                <w:sz w:val="24"/>
                <w:szCs w:val="24"/>
                <w:highlight w:val="none"/>
                <w:lang w:val="en-US" w:eastAsia="zh-CN"/>
              </w:rPr>
              <w:t>NO)n，无毒，不溶于苯、甲苯、二甲苯、汽油等，但溶于水；其固体稳定性较好，一般在220</w:t>
            </w:r>
            <w:r>
              <w:rPr>
                <w:rFonts w:hint="eastAsia" w:ascii="宋体" w:hAnsi="宋体" w:eastAsia="宋体" w:cs="宋体"/>
                <w:bCs/>
                <w:color w:val="auto"/>
                <w:sz w:val="24"/>
                <w:szCs w:val="24"/>
                <w:highlight w:val="none"/>
                <w:lang w:val="en-US" w:eastAsia="zh-CN"/>
              </w:rPr>
              <w:t>℃</w:t>
            </w:r>
            <w:r>
              <w:rPr>
                <w:rFonts w:hint="eastAsia" w:cs="Times New Roman"/>
                <w:bCs/>
                <w:color w:val="auto"/>
                <w:sz w:val="24"/>
                <w:szCs w:val="24"/>
                <w:highlight w:val="none"/>
                <w:lang w:val="en-US" w:eastAsia="zh-CN"/>
              </w:rPr>
              <w:t>~230</w:t>
            </w:r>
            <w:r>
              <w:rPr>
                <w:rFonts w:hint="eastAsia" w:ascii="宋体" w:hAnsi="宋体" w:eastAsia="宋体" w:cs="宋体"/>
                <w:bCs/>
                <w:color w:val="auto"/>
                <w:sz w:val="24"/>
                <w:szCs w:val="24"/>
                <w:highlight w:val="none"/>
                <w:lang w:val="en-US" w:eastAsia="zh-CN"/>
              </w:rPr>
              <w:t>℃软化，水溶液在</w:t>
            </w:r>
            <w:r>
              <w:rPr>
                <w:rFonts w:hint="default" w:ascii="Times New Roman" w:hAnsi="Times New Roman" w:eastAsia="宋体" w:cs="Times New Roman"/>
                <w:bCs/>
                <w:color w:val="auto"/>
                <w:sz w:val="24"/>
                <w:szCs w:val="24"/>
                <w:highlight w:val="none"/>
                <w:lang w:val="en-US" w:eastAsia="zh-CN"/>
              </w:rPr>
              <w:t>110℃以</w:t>
            </w:r>
            <w:r>
              <w:rPr>
                <w:rFonts w:hint="eastAsia" w:ascii="宋体" w:hAnsi="宋体" w:eastAsia="宋体" w:cs="宋体"/>
                <w:bCs/>
                <w:color w:val="auto"/>
                <w:sz w:val="24"/>
                <w:szCs w:val="24"/>
                <w:highlight w:val="none"/>
                <w:lang w:val="en-US" w:eastAsia="zh-CN"/>
              </w:rPr>
              <w:t>后才发生明显降解。</w:t>
            </w:r>
          </w:p>
          <w:p w14:paraId="70F35C4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聚合氯化铝：无机高分子水处理药剂，主要用于污水处理过程中除铁工序。其无毒无害，为无色或黄色固体，溶液为无色或黄褐色透明液体；易溶于水及稀酒精，不溶于</w:t>
            </w:r>
            <w:r>
              <w:rPr>
                <w:rFonts w:hint="eastAsia" w:cs="Times New Roman"/>
                <w:bCs/>
                <w:color w:val="auto"/>
                <w:sz w:val="24"/>
                <w:szCs w:val="24"/>
                <w:highlight w:val="none"/>
                <w:lang w:val="en-US" w:eastAsia="zh-CN"/>
              </w:rPr>
              <w:fldChar w:fldCharType="begin"/>
            </w:r>
            <w:r>
              <w:rPr>
                <w:rFonts w:hint="eastAsia" w:cs="Times New Roman"/>
                <w:bCs/>
                <w:color w:val="auto"/>
                <w:sz w:val="24"/>
                <w:szCs w:val="24"/>
                <w:highlight w:val="none"/>
                <w:lang w:val="en-US" w:eastAsia="zh-CN"/>
              </w:rPr>
              <w:instrText xml:space="preserve"> HYPERLINK "https://baike.so.com/doc/6758475-6973078.html" \t "https://baike.so.com/doc/_blank" </w:instrText>
            </w:r>
            <w:r>
              <w:rPr>
                <w:rFonts w:hint="eastAsia" w:cs="Times New Roman"/>
                <w:bCs/>
                <w:color w:val="auto"/>
                <w:sz w:val="24"/>
                <w:szCs w:val="24"/>
                <w:highlight w:val="none"/>
                <w:lang w:val="en-US" w:eastAsia="zh-CN"/>
              </w:rPr>
              <w:fldChar w:fldCharType="separate"/>
            </w:r>
            <w:r>
              <w:rPr>
                <w:rFonts w:hint="eastAsia" w:cs="Times New Roman"/>
                <w:bCs/>
                <w:color w:val="auto"/>
                <w:sz w:val="24"/>
                <w:szCs w:val="24"/>
                <w:highlight w:val="none"/>
                <w:lang w:val="en-US" w:eastAsia="zh-CN"/>
              </w:rPr>
              <w:t>无水酒精</w:t>
            </w:r>
            <w:r>
              <w:rPr>
                <w:rFonts w:hint="eastAsia" w:cs="Times New Roman"/>
                <w:bCs/>
                <w:color w:val="auto"/>
                <w:sz w:val="24"/>
                <w:szCs w:val="24"/>
                <w:highlight w:val="none"/>
                <w:lang w:val="en-US" w:eastAsia="zh-CN"/>
              </w:rPr>
              <w:fldChar w:fldCharType="end"/>
            </w:r>
            <w:r>
              <w:rPr>
                <w:rFonts w:hint="eastAsia" w:cs="Times New Roman"/>
                <w:bCs/>
                <w:color w:val="auto"/>
                <w:sz w:val="24"/>
                <w:szCs w:val="24"/>
                <w:highlight w:val="none"/>
                <w:lang w:val="en-US" w:eastAsia="zh-CN"/>
              </w:rPr>
              <w:t>及</w:t>
            </w:r>
            <w:r>
              <w:rPr>
                <w:rFonts w:hint="eastAsia" w:cs="Times New Roman"/>
                <w:bCs/>
                <w:color w:val="auto"/>
                <w:sz w:val="24"/>
                <w:szCs w:val="24"/>
                <w:highlight w:val="none"/>
                <w:lang w:val="en-US" w:eastAsia="zh-CN"/>
              </w:rPr>
              <w:fldChar w:fldCharType="begin"/>
            </w:r>
            <w:r>
              <w:rPr>
                <w:rFonts w:hint="eastAsia" w:cs="Times New Roman"/>
                <w:bCs/>
                <w:color w:val="auto"/>
                <w:sz w:val="24"/>
                <w:szCs w:val="24"/>
                <w:highlight w:val="none"/>
                <w:lang w:val="en-US" w:eastAsia="zh-CN"/>
              </w:rPr>
              <w:instrText xml:space="preserve"> HYPERLINK "https://baike.so.com/doc/5364132-7125050.html" \t "https://baike.so.com/doc/_blank" </w:instrText>
            </w:r>
            <w:r>
              <w:rPr>
                <w:rFonts w:hint="eastAsia" w:cs="Times New Roman"/>
                <w:bCs/>
                <w:color w:val="auto"/>
                <w:sz w:val="24"/>
                <w:szCs w:val="24"/>
                <w:highlight w:val="none"/>
                <w:lang w:val="en-US" w:eastAsia="zh-CN"/>
              </w:rPr>
              <w:fldChar w:fldCharType="separate"/>
            </w:r>
            <w:r>
              <w:rPr>
                <w:rFonts w:hint="eastAsia" w:cs="Times New Roman"/>
                <w:bCs/>
                <w:color w:val="auto"/>
                <w:sz w:val="24"/>
                <w:szCs w:val="24"/>
                <w:highlight w:val="none"/>
                <w:lang w:val="en-US" w:eastAsia="zh-CN"/>
              </w:rPr>
              <w:t>甘油</w:t>
            </w:r>
            <w:r>
              <w:rPr>
                <w:rFonts w:hint="eastAsia" w:cs="Times New Roman"/>
                <w:bCs/>
                <w:color w:val="auto"/>
                <w:sz w:val="24"/>
                <w:szCs w:val="24"/>
                <w:highlight w:val="none"/>
                <w:lang w:val="en-US" w:eastAsia="zh-CN"/>
              </w:rPr>
              <w:fldChar w:fldCharType="end"/>
            </w:r>
            <w:r>
              <w:rPr>
                <w:rFonts w:hint="eastAsia" w:cs="Times New Roman"/>
                <w:bCs/>
                <w:color w:val="auto"/>
                <w:sz w:val="24"/>
                <w:szCs w:val="24"/>
                <w:highlight w:val="none"/>
                <w:lang w:val="en-US" w:eastAsia="zh-CN"/>
              </w:rPr>
              <w:t>。</w:t>
            </w:r>
          </w:p>
          <w:p w14:paraId="18D78A9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次氯酸钠：是一种无机化合物，化学式为NaClO，微黄色溶液或白色粉末，有似氯气的气味，溶于水，不稳定，见光分解，具有强氧化性。次氯酸钠是常见的一种消毒剂，在污水处理过程中，通常将次氯酸钠加入到混合池或者接触池中进行消毒处理。</w:t>
            </w:r>
          </w:p>
          <w:p w14:paraId="38B3DD43">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szCs w:val="28"/>
                <w:highlight w:val="none"/>
                <w:lang w:val="en-US" w:eastAsia="zh-CN"/>
              </w:rPr>
            </w:pPr>
            <w:r>
              <w:rPr>
                <w:rFonts w:hint="eastAsia" w:cs="Times New Roman"/>
                <w:color w:val="auto"/>
                <w:sz w:val="24"/>
                <w:szCs w:val="28"/>
                <w:highlight w:val="none"/>
                <w:lang w:val="en-US" w:eastAsia="zh-CN"/>
              </w:rPr>
              <w:t>三氯化铁</w:t>
            </w:r>
            <w:r>
              <w:rPr>
                <w:rFonts w:hint="default" w:ascii="Times New Roman" w:hAnsi="Times New Roman" w:cs="Times New Roman"/>
                <w:color w:val="auto"/>
                <w:sz w:val="24"/>
                <w:szCs w:val="28"/>
                <w:highlight w:val="none"/>
                <w:lang w:val="en-US" w:eastAsia="zh-CN"/>
              </w:rPr>
              <w:t>：</w:t>
            </w:r>
            <w:r>
              <w:rPr>
                <w:rFonts w:hint="eastAsia" w:cs="Times New Roman"/>
                <w:color w:val="auto"/>
                <w:sz w:val="24"/>
                <w:szCs w:val="28"/>
                <w:highlight w:val="none"/>
                <w:lang w:val="en-US" w:eastAsia="zh-CN"/>
              </w:rPr>
              <w:t>一种</w:t>
            </w:r>
            <w:r>
              <w:rPr>
                <w:rFonts w:hint="default" w:ascii="Times New Roman" w:hAnsi="Times New Roman" w:cs="Times New Roman"/>
                <w:color w:val="auto"/>
                <w:sz w:val="24"/>
                <w:szCs w:val="28"/>
                <w:highlight w:val="none"/>
                <w:lang w:val="en-US" w:eastAsia="zh-CN"/>
              </w:rPr>
              <w:t>共价化合物</w:t>
            </w:r>
            <w:r>
              <w:rPr>
                <w:rFonts w:hint="eastAsia" w:cs="Times New Roman"/>
                <w:color w:val="auto"/>
                <w:sz w:val="24"/>
                <w:szCs w:val="28"/>
                <w:highlight w:val="none"/>
                <w:lang w:val="en-US" w:eastAsia="zh-CN"/>
              </w:rPr>
              <w:t>，用于污水处理过程絮凝沉淀工序。其为</w:t>
            </w:r>
            <w:r>
              <w:rPr>
                <w:rFonts w:hint="default" w:ascii="Times New Roman" w:hAnsi="Times New Roman" w:cs="Times New Roman"/>
                <w:color w:val="auto"/>
                <w:sz w:val="24"/>
                <w:szCs w:val="28"/>
                <w:highlight w:val="none"/>
                <w:lang w:val="en-US" w:eastAsia="zh-CN"/>
              </w:rPr>
              <w:t>黑色粉末</w:t>
            </w:r>
            <w:r>
              <w:rPr>
                <w:rFonts w:hint="eastAsia" w:cs="Times New Roman"/>
                <w:color w:val="auto"/>
                <w:sz w:val="24"/>
                <w:szCs w:val="28"/>
                <w:highlight w:val="none"/>
                <w:lang w:val="en-US" w:eastAsia="zh-CN"/>
              </w:rPr>
              <w:t>，</w:t>
            </w:r>
            <w:r>
              <w:rPr>
                <w:rFonts w:hint="default" w:ascii="Times New Roman" w:hAnsi="Times New Roman" w:cs="Times New Roman"/>
                <w:color w:val="auto"/>
                <w:sz w:val="24"/>
                <w:szCs w:val="28"/>
                <w:highlight w:val="none"/>
                <w:lang w:val="en-US" w:eastAsia="zh-CN"/>
              </w:rPr>
              <w:t>熔点306℃、沸点315℃，易溶于水并且有强烈的</w:t>
            </w:r>
            <w:r>
              <w:rPr>
                <w:rFonts w:hint="default" w:ascii="Times New Roman" w:hAnsi="Times New Roman" w:cs="Times New Roman"/>
                <w:color w:val="auto"/>
                <w:sz w:val="24"/>
                <w:szCs w:val="28"/>
                <w:highlight w:val="none"/>
                <w:lang w:val="en-US" w:eastAsia="zh-CN"/>
              </w:rPr>
              <w:fldChar w:fldCharType="begin"/>
            </w:r>
            <w:r>
              <w:rPr>
                <w:rFonts w:hint="default" w:ascii="Times New Roman" w:hAnsi="Times New Roman" w:cs="Times New Roman"/>
                <w:color w:val="auto"/>
                <w:sz w:val="24"/>
                <w:szCs w:val="28"/>
                <w:highlight w:val="none"/>
                <w:lang w:val="en-US" w:eastAsia="zh-CN"/>
              </w:rPr>
              <w:instrText xml:space="preserve"> HYPERLINK "https://baike.so.com/doc/6728418-6942701.html" \t "https://baike.so.com/doc/_blank" </w:instrText>
            </w:r>
            <w:r>
              <w:rPr>
                <w:rFonts w:hint="default" w:ascii="Times New Roman" w:hAnsi="Times New Roman" w:cs="Times New Roman"/>
                <w:color w:val="auto"/>
                <w:sz w:val="24"/>
                <w:szCs w:val="28"/>
                <w:highlight w:val="none"/>
                <w:lang w:val="en-US" w:eastAsia="zh-CN"/>
              </w:rPr>
              <w:fldChar w:fldCharType="separate"/>
            </w:r>
            <w:r>
              <w:rPr>
                <w:rFonts w:hint="default" w:ascii="Times New Roman" w:hAnsi="Times New Roman" w:cs="Times New Roman"/>
                <w:color w:val="auto"/>
                <w:sz w:val="24"/>
                <w:szCs w:val="28"/>
                <w:highlight w:val="none"/>
                <w:lang w:val="en-US" w:eastAsia="zh-CN"/>
              </w:rPr>
              <w:t>吸水性</w:t>
            </w:r>
            <w:r>
              <w:rPr>
                <w:rFonts w:hint="default" w:ascii="Times New Roman" w:hAnsi="Times New Roman" w:cs="Times New Roman"/>
                <w:color w:val="auto"/>
                <w:sz w:val="24"/>
                <w:szCs w:val="28"/>
                <w:highlight w:val="none"/>
                <w:lang w:val="en-US" w:eastAsia="zh-CN"/>
              </w:rPr>
              <w:fldChar w:fldCharType="end"/>
            </w:r>
            <w:r>
              <w:rPr>
                <w:rFonts w:hint="default" w:ascii="Times New Roman" w:hAnsi="Times New Roman" w:cs="Times New Roman"/>
                <w:color w:val="auto"/>
                <w:sz w:val="24"/>
                <w:szCs w:val="28"/>
                <w:highlight w:val="none"/>
                <w:lang w:val="en-US" w:eastAsia="zh-CN"/>
              </w:rPr>
              <w:t>，能吸收空气里的水分而潮解。</w:t>
            </w:r>
          </w:p>
          <w:p w14:paraId="212E22F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both"/>
              <w:textAlignment w:val="auto"/>
              <w:rPr>
                <w:rFonts w:hint="default" w:ascii="Times New Roman" w:hAnsi="Times New Roman" w:cs="Times New Roman"/>
                <w:b/>
                <w:bCs w:val="0"/>
                <w:color w:val="auto"/>
                <w:sz w:val="24"/>
                <w:szCs w:val="24"/>
                <w:highlight w:val="none"/>
                <w:lang w:val="en-US" w:eastAsia="zh-CN"/>
              </w:rPr>
            </w:pPr>
            <w:r>
              <w:rPr>
                <w:rFonts w:hint="eastAsia" w:cs="Times New Roman"/>
                <w:b/>
                <w:bCs w:val="0"/>
                <w:color w:val="auto"/>
                <w:sz w:val="24"/>
                <w:szCs w:val="24"/>
                <w:highlight w:val="none"/>
                <w:lang w:val="en-US" w:eastAsia="zh-CN"/>
              </w:rPr>
              <w:t>3、</w:t>
            </w:r>
            <w:r>
              <w:rPr>
                <w:rFonts w:hint="default" w:ascii="Times New Roman" w:hAnsi="Times New Roman" w:cs="Times New Roman"/>
                <w:b/>
                <w:bCs w:val="0"/>
                <w:color w:val="auto"/>
                <w:sz w:val="24"/>
                <w:szCs w:val="24"/>
                <w:highlight w:val="none"/>
                <w:lang w:val="en-US" w:eastAsia="zh-CN"/>
              </w:rPr>
              <w:t>设备清单</w:t>
            </w:r>
          </w:p>
          <w:p w14:paraId="7F58C777">
            <w:pPr>
              <w:snapToGrid w:val="0"/>
              <w:jc w:val="center"/>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color w:val="auto"/>
                <w:highlight w:val="none"/>
              </w:rPr>
              <w:t>表</w:t>
            </w: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3</w:t>
            </w:r>
            <w:r>
              <w:rPr>
                <w:rFonts w:hint="default" w:ascii="Times New Roman" w:hAnsi="Times New Roman" w:cs="Times New Roman"/>
                <w:b/>
                <w:bCs/>
                <w:color w:val="auto"/>
                <w:highlight w:val="none"/>
              </w:rPr>
              <w:t xml:space="preserve">  主要</w:t>
            </w:r>
            <w:r>
              <w:rPr>
                <w:rFonts w:hint="eastAsia" w:cs="Times New Roman"/>
                <w:b/>
                <w:bCs/>
                <w:color w:val="auto"/>
                <w:highlight w:val="none"/>
                <w:lang w:eastAsia="zh-CN"/>
              </w:rPr>
              <w:t>设备一览</w:t>
            </w:r>
            <w:r>
              <w:rPr>
                <w:rFonts w:hint="default" w:ascii="Times New Roman" w:hAnsi="Times New Roman" w:cs="Times New Roman"/>
                <w:b/>
                <w:bCs/>
                <w:color w:val="auto"/>
                <w:highlight w:val="none"/>
              </w:rPr>
              <w:t>表</w:t>
            </w:r>
          </w:p>
          <w:tbl>
            <w:tblPr>
              <w:tblStyle w:val="109"/>
              <w:tblW w:w="8010" w:type="dxa"/>
              <w:tblInd w:w="-7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25"/>
              <w:gridCol w:w="1365"/>
              <w:gridCol w:w="1560"/>
              <w:gridCol w:w="2985"/>
              <w:gridCol w:w="795"/>
              <w:gridCol w:w="780"/>
            </w:tblGrid>
            <w:tr w14:paraId="3AB2B0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25" w:type="dxa"/>
                  <w:tcBorders>
                    <w:tl2br w:val="nil"/>
                    <w:tr2bl w:val="nil"/>
                  </w:tcBorders>
                  <w:vAlign w:val="top"/>
                </w:tcPr>
                <w:p w14:paraId="0F6F8C85">
                  <w:pPr>
                    <w:pStyle w:val="108"/>
                    <w:spacing w:before="133" w:line="230" w:lineRule="auto"/>
                    <w:jc w:val="center"/>
                    <w:rPr>
                      <w:color w:val="auto"/>
                      <w:highlight w:val="none"/>
                    </w:rPr>
                  </w:pPr>
                  <w:r>
                    <w:rPr>
                      <w:b/>
                      <w:bCs/>
                      <w:color w:val="auto"/>
                      <w:spacing w:val="4"/>
                      <w:highlight w:val="none"/>
                    </w:rPr>
                    <w:t>序号</w:t>
                  </w:r>
                </w:p>
              </w:tc>
              <w:tc>
                <w:tcPr>
                  <w:tcW w:w="1365" w:type="dxa"/>
                  <w:tcBorders>
                    <w:tl2br w:val="nil"/>
                    <w:tr2bl w:val="nil"/>
                  </w:tcBorders>
                  <w:vAlign w:val="top"/>
                </w:tcPr>
                <w:p w14:paraId="6CE90BD5">
                  <w:pPr>
                    <w:pStyle w:val="108"/>
                    <w:spacing w:before="133" w:line="230" w:lineRule="auto"/>
                    <w:jc w:val="center"/>
                    <w:rPr>
                      <w:color w:val="auto"/>
                      <w:highlight w:val="none"/>
                    </w:rPr>
                  </w:pPr>
                  <w:r>
                    <w:rPr>
                      <w:b/>
                      <w:bCs/>
                      <w:color w:val="auto"/>
                      <w:spacing w:val="6"/>
                      <w:highlight w:val="none"/>
                    </w:rPr>
                    <w:t>设备工艺名称</w:t>
                  </w:r>
                </w:p>
              </w:tc>
              <w:tc>
                <w:tcPr>
                  <w:tcW w:w="1560" w:type="dxa"/>
                  <w:tcBorders>
                    <w:tl2br w:val="nil"/>
                    <w:tr2bl w:val="nil"/>
                  </w:tcBorders>
                  <w:vAlign w:val="top"/>
                </w:tcPr>
                <w:p w14:paraId="22DC1D2B">
                  <w:pPr>
                    <w:pStyle w:val="108"/>
                    <w:spacing w:before="133" w:line="228" w:lineRule="auto"/>
                    <w:jc w:val="center"/>
                    <w:rPr>
                      <w:color w:val="auto"/>
                      <w:highlight w:val="none"/>
                    </w:rPr>
                  </w:pPr>
                  <w:r>
                    <w:rPr>
                      <w:b/>
                      <w:bCs/>
                      <w:color w:val="auto"/>
                      <w:spacing w:val="5"/>
                      <w:highlight w:val="none"/>
                    </w:rPr>
                    <w:t>设备类型</w:t>
                  </w:r>
                </w:p>
              </w:tc>
              <w:tc>
                <w:tcPr>
                  <w:tcW w:w="2985" w:type="dxa"/>
                  <w:tcBorders>
                    <w:tl2br w:val="nil"/>
                    <w:tr2bl w:val="nil"/>
                  </w:tcBorders>
                  <w:vAlign w:val="top"/>
                </w:tcPr>
                <w:p w14:paraId="5B182C8E">
                  <w:pPr>
                    <w:pStyle w:val="108"/>
                    <w:spacing w:before="133" w:line="228" w:lineRule="auto"/>
                    <w:jc w:val="center"/>
                    <w:rPr>
                      <w:color w:val="auto"/>
                      <w:highlight w:val="none"/>
                    </w:rPr>
                  </w:pPr>
                  <w:r>
                    <w:rPr>
                      <w:b/>
                      <w:bCs/>
                      <w:color w:val="auto"/>
                      <w:spacing w:val="-4"/>
                      <w:highlight w:val="none"/>
                    </w:rPr>
                    <w:t>型号及规格</w:t>
                  </w:r>
                </w:p>
              </w:tc>
              <w:tc>
                <w:tcPr>
                  <w:tcW w:w="795" w:type="dxa"/>
                  <w:tcBorders>
                    <w:tl2br w:val="nil"/>
                    <w:tr2bl w:val="nil"/>
                  </w:tcBorders>
                  <w:vAlign w:val="top"/>
                </w:tcPr>
                <w:p w14:paraId="3570082E">
                  <w:pPr>
                    <w:pStyle w:val="108"/>
                    <w:spacing w:before="133" w:line="229" w:lineRule="auto"/>
                    <w:jc w:val="center"/>
                    <w:rPr>
                      <w:color w:val="auto"/>
                      <w:highlight w:val="none"/>
                    </w:rPr>
                  </w:pPr>
                  <w:r>
                    <w:rPr>
                      <w:b/>
                      <w:bCs/>
                      <w:color w:val="auto"/>
                      <w:spacing w:val="3"/>
                      <w:highlight w:val="none"/>
                    </w:rPr>
                    <w:t>单位</w:t>
                  </w:r>
                </w:p>
              </w:tc>
              <w:tc>
                <w:tcPr>
                  <w:tcW w:w="780" w:type="dxa"/>
                  <w:tcBorders>
                    <w:tl2br w:val="nil"/>
                    <w:tr2bl w:val="nil"/>
                  </w:tcBorders>
                  <w:vAlign w:val="top"/>
                </w:tcPr>
                <w:p w14:paraId="2D3ECC1E">
                  <w:pPr>
                    <w:pStyle w:val="108"/>
                    <w:spacing w:before="133" w:line="228" w:lineRule="auto"/>
                    <w:jc w:val="center"/>
                    <w:rPr>
                      <w:color w:val="auto"/>
                      <w:highlight w:val="none"/>
                    </w:rPr>
                  </w:pPr>
                  <w:r>
                    <w:rPr>
                      <w:b/>
                      <w:bCs/>
                      <w:color w:val="auto"/>
                      <w:spacing w:val="3"/>
                      <w:highlight w:val="none"/>
                    </w:rPr>
                    <w:t>数量</w:t>
                  </w:r>
                </w:p>
              </w:tc>
            </w:tr>
            <w:tr w14:paraId="778BF3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25" w:type="dxa"/>
                  <w:tcBorders>
                    <w:tl2br w:val="nil"/>
                    <w:tr2bl w:val="nil"/>
                  </w:tcBorders>
                  <w:vAlign w:val="center"/>
                </w:tcPr>
                <w:p w14:paraId="23D94925">
                  <w:pPr>
                    <w:spacing w:before="16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c>
                <w:tcPr>
                  <w:tcW w:w="1365" w:type="dxa"/>
                  <w:tcBorders>
                    <w:tl2br w:val="nil"/>
                    <w:tr2bl w:val="nil"/>
                  </w:tcBorders>
                  <w:vAlign w:val="center"/>
                </w:tcPr>
                <w:p w14:paraId="1A4FEFA2">
                  <w:pPr>
                    <w:pStyle w:val="108"/>
                    <w:spacing w:before="129" w:line="228" w:lineRule="auto"/>
                    <w:jc w:val="center"/>
                    <w:rPr>
                      <w:color w:val="auto"/>
                      <w:highlight w:val="none"/>
                    </w:rPr>
                  </w:pPr>
                  <w:r>
                    <w:rPr>
                      <w:color w:val="auto"/>
                      <w:spacing w:val="7"/>
                      <w:highlight w:val="none"/>
                    </w:rPr>
                    <w:t>进水闸板</w:t>
                  </w:r>
                </w:p>
              </w:tc>
              <w:tc>
                <w:tcPr>
                  <w:tcW w:w="1560" w:type="dxa"/>
                  <w:tcBorders>
                    <w:tl2br w:val="nil"/>
                    <w:tr2bl w:val="nil"/>
                  </w:tcBorders>
                  <w:vAlign w:val="center"/>
                </w:tcPr>
                <w:p w14:paraId="21075E62">
                  <w:pPr>
                    <w:pStyle w:val="108"/>
                    <w:spacing w:before="129" w:line="228" w:lineRule="auto"/>
                    <w:jc w:val="center"/>
                    <w:rPr>
                      <w:color w:val="auto"/>
                      <w:highlight w:val="none"/>
                    </w:rPr>
                  </w:pPr>
                  <w:r>
                    <w:rPr>
                      <w:color w:val="auto"/>
                      <w:spacing w:val="8"/>
                      <w:highlight w:val="none"/>
                    </w:rPr>
                    <w:t>手电两用启闭机</w:t>
                  </w:r>
                </w:p>
              </w:tc>
              <w:tc>
                <w:tcPr>
                  <w:tcW w:w="2985" w:type="dxa"/>
                  <w:tcBorders>
                    <w:tl2br w:val="nil"/>
                    <w:tr2bl w:val="nil"/>
                  </w:tcBorders>
                  <w:vAlign w:val="center"/>
                </w:tcPr>
                <w:p w14:paraId="12B9C3D7">
                  <w:pPr>
                    <w:pStyle w:val="108"/>
                    <w:spacing w:before="101" w:line="274" w:lineRule="exact"/>
                    <w:jc w:val="center"/>
                    <w:rPr>
                      <w:rFonts w:ascii="Times New Roman" w:hAnsi="Times New Roman" w:eastAsia="Times New Roman" w:cs="Times New Roman"/>
                      <w:color w:val="auto"/>
                      <w:highlight w:val="none"/>
                    </w:rPr>
                  </w:pPr>
                  <w:r>
                    <w:rPr>
                      <w:color w:val="auto"/>
                      <w:spacing w:val="5"/>
                      <w:position w:val="2"/>
                      <w:highlight w:val="none"/>
                    </w:rPr>
                    <w:t>尺寸</w:t>
                  </w:r>
                  <w:r>
                    <w:rPr>
                      <w:color w:val="auto"/>
                      <w:spacing w:val="-37"/>
                      <w:position w:val="2"/>
                      <w:highlight w:val="none"/>
                    </w:rPr>
                    <w:t xml:space="preserve"> </w:t>
                  </w:r>
                  <w:r>
                    <w:rPr>
                      <w:rFonts w:ascii="Times New Roman" w:hAnsi="Times New Roman" w:eastAsia="Times New Roman" w:cs="Times New Roman"/>
                      <w:color w:val="auto"/>
                      <w:spacing w:val="5"/>
                      <w:position w:val="2"/>
                      <w:highlight w:val="none"/>
                    </w:rPr>
                    <w:t>00X300</w:t>
                  </w:r>
                  <w:r>
                    <w:rPr>
                      <w:rFonts w:hint="eastAsia" w:ascii="Times New Roman" w:hAnsi="Times New Roman" w:cs="Times New Roman"/>
                      <w:color w:val="auto"/>
                      <w:spacing w:val="5"/>
                      <w:position w:val="2"/>
                      <w:highlight w:val="none"/>
                      <w:lang w:eastAsia="zh-CN"/>
                    </w:rPr>
                    <w:t>，</w:t>
                  </w:r>
                  <w:r>
                    <w:rPr>
                      <w:rFonts w:ascii="Times New Roman" w:hAnsi="Times New Roman" w:eastAsia="Times New Roman" w:cs="Times New Roman"/>
                      <w:color w:val="auto"/>
                      <w:spacing w:val="5"/>
                      <w:position w:val="2"/>
                      <w:highlight w:val="none"/>
                    </w:rPr>
                    <w:t>N=0.75</w:t>
                  </w:r>
                  <w:r>
                    <w:rPr>
                      <w:rFonts w:hint="eastAsia" w:ascii="Times New Roman" w:hAnsi="Times New Roman" w:eastAsia="宋体" w:cs="Times New Roman"/>
                      <w:color w:val="auto"/>
                      <w:spacing w:val="5"/>
                      <w:position w:val="2"/>
                      <w:highlight w:val="none"/>
                      <w:lang w:eastAsia="zh-CN"/>
                    </w:rPr>
                    <w:t>kW</w:t>
                  </w:r>
                </w:p>
              </w:tc>
              <w:tc>
                <w:tcPr>
                  <w:tcW w:w="795" w:type="dxa"/>
                  <w:tcBorders>
                    <w:tl2br w:val="nil"/>
                    <w:tr2bl w:val="nil"/>
                  </w:tcBorders>
                  <w:vAlign w:val="center"/>
                </w:tcPr>
                <w:p w14:paraId="521CFC7F">
                  <w:pPr>
                    <w:pStyle w:val="108"/>
                    <w:spacing w:before="129" w:line="231" w:lineRule="auto"/>
                    <w:jc w:val="center"/>
                    <w:rPr>
                      <w:color w:val="auto"/>
                      <w:highlight w:val="none"/>
                    </w:rPr>
                  </w:pPr>
                  <w:r>
                    <w:rPr>
                      <w:color w:val="auto"/>
                      <w:highlight w:val="none"/>
                    </w:rPr>
                    <w:t>台</w:t>
                  </w:r>
                </w:p>
              </w:tc>
              <w:tc>
                <w:tcPr>
                  <w:tcW w:w="780" w:type="dxa"/>
                  <w:tcBorders>
                    <w:tl2br w:val="nil"/>
                    <w:tr2bl w:val="nil"/>
                  </w:tcBorders>
                  <w:vAlign w:val="center"/>
                </w:tcPr>
                <w:p w14:paraId="018F6760">
                  <w:pPr>
                    <w:spacing w:before="16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2542EF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25" w:type="dxa"/>
                  <w:tcBorders>
                    <w:tl2br w:val="nil"/>
                    <w:tr2bl w:val="nil"/>
                  </w:tcBorders>
                  <w:vAlign w:val="center"/>
                </w:tcPr>
                <w:p w14:paraId="54C29F00">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c>
                <w:tcPr>
                  <w:tcW w:w="1365" w:type="dxa"/>
                  <w:tcBorders>
                    <w:tl2br w:val="nil"/>
                    <w:tr2bl w:val="nil"/>
                  </w:tcBorders>
                  <w:vAlign w:val="center"/>
                </w:tcPr>
                <w:p w14:paraId="15231CF4">
                  <w:pPr>
                    <w:pStyle w:val="108"/>
                    <w:spacing w:before="131" w:line="228" w:lineRule="auto"/>
                    <w:jc w:val="center"/>
                    <w:rPr>
                      <w:color w:val="auto"/>
                      <w:highlight w:val="none"/>
                    </w:rPr>
                  </w:pPr>
                  <w:r>
                    <w:rPr>
                      <w:color w:val="auto"/>
                      <w:spacing w:val="6"/>
                      <w:highlight w:val="none"/>
                    </w:rPr>
                    <w:t>粗格栅</w:t>
                  </w:r>
                </w:p>
              </w:tc>
              <w:tc>
                <w:tcPr>
                  <w:tcW w:w="1560" w:type="dxa"/>
                  <w:tcBorders>
                    <w:tl2br w:val="nil"/>
                    <w:tr2bl w:val="nil"/>
                  </w:tcBorders>
                  <w:vAlign w:val="center"/>
                </w:tcPr>
                <w:p w14:paraId="20D45974">
                  <w:pPr>
                    <w:pStyle w:val="108"/>
                    <w:spacing w:before="130" w:line="228" w:lineRule="auto"/>
                    <w:jc w:val="center"/>
                    <w:rPr>
                      <w:color w:val="auto"/>
                      <w:highlight w:val="none"/>
                    </w:rPr>
                  </w:pPr>
                  <w:r>
                    <w:rPr>
                      <w:color w:val="auto"/>
                      <w:spacing w:val="5"/>
                      <w:highlight w:val="none"/>
                    </w:rPr>
                    <w:t>回转式机械格栅</w:t>
                  </w:r>
                </w:p>
              </w:tc>
              <w:tc>
                <w:tcPr>
                  <w:tcW w:w="2985" w:type="dxa"/>
                  <w:tcBorders>
                    <w:tl2br w:val="nil"/>
                    <w:tr2bl w:val="nil"/>
                  </w:tcBorders>
                  <w:vAlign w:val="center"/>
                </w:tcPr>
                <w:p w14:paraId="5658B618">
                  <w:pPr>
                    <w:pStyle w:val="108"/>
                    <w:spacing w:before="102" w:line="274" w:lineRule="exact"/>
                    <w:jc w:val="center"/>
                    <w:rPr>
                      <w:rFonts w:ascii="Times New Roman" w:hAnsi="Times New Roman" w:eastAsia="Times New Roman" w:cs="Times New Roman"/>
                      <w:color w:val="auto"/>
                      <w:highlight w:val="none"/>
                    </w:rPr>
                  </w:pPr>
                  <w:r>
                    <w:rPr>
                      <w:rFonts w:ascii="Times New Roman" w:hAnsi="Times New Roman" w:eastAsia="Times New Roman" w:cs="Times New Roman"/>
                      <w:color w:val="auto"/>
                      <w:spacing w:val="6"/>
                      <w:position w:val="2"/>
                      <w:highlight w:val="none"/>
                    </w:rPr>
                    <w:t>b=15</w:t>
                  </w:r>
                  <w:r>
                    <w:rPr>
                      <w:rFonts w:ascii="Times New Roman" w:hAnsi="Times New Roman" w:eastAsia="Times New Roman" w:cs="Times New Roman"/>
                      <w:color w:val="auto"/>
                      <w:position w:val="2"/>
                      <w:highlight w:val="none"/>
                    </w:rPr>
                    <w:t>mm</w:t>
                  </w:r>
                  <w:r>
                    <w:rPr>
                      <w:rFonts w:hint="eastAsia" w:ascii="Times New Roman" w:hAnsi="Times New Roman" w:cs="Times New Roman"/>
                      <w:color w:val="auto"/>
                      <w:spacing w:val="6"/>
                      <w:position w:val="2"/>
                      <w:highlight w:val="none"/>
                      <w:lang w:eastAsia="zh-CN"/>
                    </w:rPr>
                    <w:t>，</w:t>
                  </w:r>
                  <w:r>
                    <w:rPr>
                      <w:color w:val="auto"/>
                      <w:spacing w:val="6"/>
                      <w:position w:val="2"/>
                      <w:highlight w:val="none"/>
                    </w:rPr>
                    <w:t>安装角度</w:t>
                  </w:r>
                  <w:r>
                    <w:rPr>
                      <w:rFonts w:ascii="Times New Roman" w:hAnsi="Times New Roman" w:eastAsia="Times New Roman" w:cs="Times New Roman"/>
                      <w:color w:val="auto"/>
                      <w:spacing w:val="6"/>
                      <w:position w:val="2"/>
                      <w:highlight w:val="none"/>
                    </w:rPr>
                    <w:t>75°</w:t>
                  </w:r>
                  <w:r>
                    <w:rPr>
                      <w:rFonts w:hint="eastAsia" w:ascii="Times New Roman" w:hAnsi="Times New Roman" w:cs="Times New Roman"/>
                      <w:color w:val="auto"/>
                      <w:spacing w:val="6"/>
                      <w:position w:val="2"/>
                      <w:highlight w:val="none"/>
                      <w:lang w:eastAsia="zh-CN"/>
                    </w:rPr>
                    <w:t>，</w:t>
                  </w:r>
                  <w:r>
                    <w:rPr>
                      <w:rFonts w:ascii="Times New Roman" w:hAnsi="Times New Roman" w:eastAsia="Times New Roman" w:cs="Times New Roman"/>
                      <w:color w:val="auto"/>
                      <w:spacing w:val="6"/>
                      <w:position w:val="2"/>
                      <w:highlight w:val="none"/>
                    </w:rPr>
                    <w:t>0.75</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1C066537">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2BFCD25F">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10C330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25" w:type="dxa"/>
                  <w:tcBorders>
                    <w:tl2br w:val="nil"/>
                    <w:tr2bl w:val="nil"/>
                  </w:tcBorders>
                  <w:vAlign w:val="center"/>
                </w:tcPr>
                <w:p w14:paraId="6E9CE0CF">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w:t>
                  </w:r>
                </w:p>
              </w:tc>
              <w:tc>
                <w:tcPr>
                  <w:tcW w:w="1365" w:type="dxa"/>
                  <w:tcBorders>
                    <w:tl2br w:val="nil"/>
                    <w:tr2bl w:val="nil"/>
                  </w:tcBorders>
                  <w:vAlign w:val="center"/>
                </w:tcPr>
                <w:p w14:paraId="5D45F1FB">
                  <w:pPr>
                    <w:pStyle w:val="108"/>
                    <w:spacing w:before="131" w:line="228" w:lineRule="auto"/>
                    <w:jc w:val="center"/>
                    <w:rPr>
                      <w:color w:val="auto"/>
                      <w:highlight w:val="none"/>
                    </w:rPr>
                  </w:pPr>
                  <w:r>
                    <w:rPr>
                      <w:color w:val="auto"/>
                      <w:spacing w:val="6"/>
                      <w:highlight w:val="none"/>
                    </w:rPr>
                    <w:t>细格栅</w:t>
                  </w:r>
                </w:p>
              </w:tc>
              <w:tc>
                <w:tcPr>
                  <w:tcW w:w="1560" w:type="dxa"/>
                  <w:tcBorders>
                    <w:tl2br w:val="nil"/>
                    <w:tr2bl w:val="nil"/>
                  </w:tcBorders>
                  <w:vAlign w:val="center"/>
                </w:tcPr>
                <w:p w14:paraId="4E7321C7">
                  <w:pPr>
                    <w:pStyle w:val="108"/>
                    <w:spacing w:before="130" w:line="228" w:lineRule="auto"/>
                    <w:jc w:val="center"/>
                    <w:rPr>
                      <w:color w:val="auto"/>
                      <w:highlight w:val="none"/>
                    </w:rPr>
                  </w:pPr>
                  <w:r>
                    <w:rPr>
                      <w:color w:val="auto"/>
                      <w:spacing w:val="5"/>
                      <w:highlight w:val="none"/>
                    </w:rPr>
                    <w:t>回转式机械格栅</w:t>
                  </w:r>
                </w:p>
              </w:tc>
              <w:tc>
                <w:tcPr>
                  <w:tcW w:w="2985" w:type="dxa"/>
                  <w:tcBorders>
                    <w:tl2br w:val="nil"/>
                    <w:tr2bl w:val="nil"/>
                  </w:tcBorders>
                  <w:vAlign w:val="center"/>
                </w:tcPr>
                <w:p w14:paraId="65C89749">
                  <w:pPr>
                    <w:pStyle w:val="108"/>
                    <w:spacing w:before="102" w:line="275" w:lineRule="exact"/>
                    <w:jc w:val="center"/>
                    <w:rPr>
                      <w:rFonts w:ascii="Times New Roman" w:hAnsi="Times New Roman" w:eastAsia="Times New Roman" w:cs="Times New Roman"/>
                      <w:color w:val="auto"/>
                      <w:highlight w:val="none"/>
                    </w:rPr>
                  </w:pPr>
                  <w:r>
                    <w:rPr>
                      <w:rFonts w:ascii="Times New Roman" w:hAnsi="Times New Roman" w:eastAsia="Times New Roman" w:cs="Times New Roman"/>
                      <w:color w:val="auto"/>
                      <w:spacing w:val="6"/>
                      <w:position w:val="2"/>
                      <w:highlight w:val="none"/>
                    </w:rPr>
                    <w:t>b=1</w:t>
                  </w:r>
                  <w:r>
                    <w:rPr>
                      <w:rFonts w:ascii="Times New Roman" w:hAnsi="Times New Roman" w:eastAsia="Times New Roman" w:cs="Times New Roman"/>
                      <w:color w:val="auto"/>
                      <w:position w:val="2"/>
                      <w:highlight w:val="none"/>
                    </w:rPr>
                    <w:t>mm</w:t>
                  </w:r>
                  <w:r>
                    <w:rPr>
                      <w:rFonts w:hint="eastAsia" w:ascii="Times New Roman" w:hAnsi="Times New Roman" w:cs="Times New Roman"/>
                      <w:color w:val="auto"/>
                      <w:spacing w:val="6"/>
                      <w:position w:val="2"/>
                      <w:highlight w:val="none"/>
                      <w:lang w:eastAsia="zh-CN"/>
                    </w:rPr>
                    <w:t>，</w:t>
                  </w:r>
                  <w:r>
                    <w:rPr>
                      <w:color w:val="auto"/>
                      <w:spacing w:val="6"/>
                      <w:position w:val="2"/>
                      <w:highlight w:val="none"/>
                    </w:rPr>
                    <w:t>安装角度</w:t>
                  </w:r>
                  <w:r>
                    <w:rPr>
                      <w:rFonts w:ascii="Times New Roman" w:hAnsi="Times New Roman" w:eastAsia="Times New Roman" w:cs="Times New Roman"/>
                      <w:color w:val="auto"/>
                      <w:spacing w:val="6"/>
                      <w:position w:val="2"/>
                      <w:highlight w:val="none"/>
                    </w:rPr>
                    <w:t>75°</w:t>
                  </w:r>
                  <w:r>
                    <w:rPr>
                      <w:rFonts w:hint="eastAsia" w:ascii="Times New Roman" w:hAnsi="Times New Roman" w:cs="Times New Roman"/>
                      <w:color w:val="auto"/>
                      <w:spacing w:val="6"/>
                      <w:position w:val="2"/>
                      <w:highlight w:val="none"/>
                      <w:lang w:eastAsia="zh-CN"/>
                    </w:rPr>
                    <w:t>，</w:t>
                  </w:r>
                  <w:r>
                    <w:rPr>
                      <w:rFonts w:ascii="Times New Roman" w:hAnsi="Times New Roman" w:eastAsia="Times New Roman" w:cs="Times New Roman"/>
                      <w:color w:val="auto"/>
                      <w:spacing w:val="6"/>
                      <w:position w:val="2"/>
                      <w:highlight w:val="none"/>
                    </w:rPr>
                    <w:t>0.75</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7A61DDC0">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31F4BBE9">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6EE778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525" w:type="dxa"/>
                  <w:tcBorders>
                    <w:tl2br w:val="nil"/>
                    <w:tr2bl w:val="nil"/>
                  </w:tcBorders>
                  <w:vAlign w:val="center"/>
                </w:tcPr>
                <w:p w14:paraId="6A859700">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4</w:t>
                  </w:r>
                </w:p>
              </w:tc>
              <w:tc>
                <w:tcPr>
                  <w:tcW w:w="1365" w:type="dxa"/>
                  <w:tcBorders>
                    <w:tl2br w:val="nil"/>
                    <w:tr2bl w:val="nil"/>
                  </w:tcBorders>
                  <w:vAlign w:val="center"/>
                </w:tcPr>
                <w:p w14:paraId="0AFC1D02">
                  <w:pPr>
                    <w:pStyle w:val="108"/>
                    <w:spacing w:before="133" w:line="228" w:lineRule="auto"/>
                    <w:jc w:val="center"/>
                    <w:rPr>
                      <w:color w:val="auto"/>
                      <w:highlight w:val="none"/>
                    </w:rPr>
                  </w:pPr>
                  <w:r>
                    <w:rPr>
                      <w:color w:val="auto"/>
                      <w:spacing w:val="2"/>
                      <w:highlight w:val="none"/>
                    </w:rPr>
                    <w:t>出水闸板</w:t>
                  </w:r>
                </w:p>
              </w:tc>
              <w:tc>
                <w:tcPr>
                  <w:tcW w:w="1560" w:type="dxa"/>
                  <w:tcBorders>
                    <w:tl2br w:val="nil"/>
                    <w:tr2bl w:val="nil"/>
                  </w:tcBorders>
                  <w:vAlign w:val="center"/>
                </w:tcPr>
                <w:p w14:paraId="0AF7463A">
                  <w:pPr>
                    <w:pStyle w:val="108"/>
                    <w:spacing w:before="133" w:line="228" w:lineRule="auto"/>
                    <w:jc w:val="center"/>
                    <w:rPr>
                      <w:color w:val="auto"/>
                      <w:highlight w:val="none"/>
                    </w:rPr>
                  </w:pPr>
                  <w:r>
                    <w:rPr>
                      <w:color w:val="auto"/>
                      <w:spacing w:val="8"/>
                      <w:highlight w:val="none"/>
                    </w:rPr>
                    <w:t>手电两用启闭机</w:t>
                  </w:r>
                </w:p>
              </w:tc>
              <w:tc>
                <w:tcPr>
                  <w:tcW w:w="2985" w:type="dxa"/>
                  <w:tcBorders>
                    <w:tl2br w:val="nil"/>
                    <w:tr2bl w:val="nil"/>
                  </w:tcBorders>
                  <w:vAlign w:val="center"/>
                </w:tcPr>
                <w:p w14:paraId="3FA315AB">
                  <w:pPr>
                    <w:pStyle w:val="108"/>
                    <w:spacing w:before="103" w:line="274" w:lineRule="exact"/>
                    <w:jc w:val="center"/>
                    <w:rPr>
                      <w:rFonts w:ascii="Times New Roman" w:hAnsi="Times New Roman" w:eastAsia="Times New Roman" w:cs="Times New Roman"/>
                      <w:color w:val="auto"/>
                      <w:highlight w:val="none"/>
                    </w:rPr>
                  </w:pPr>
                  <w:r>
                    <w:rPr>
                      <w:color w:val="auto"/>
                      <w:spacing w:val="5"/>
                      <w:position w:val="2"/>
                      <w:highlight w:val="none"/>
                    </w:rPr>
                    <w:t>尺寸</w:t>
                  </w:r>
                  <w:r>
                    <w:rPr>
                      <w:color w:val="auto"/>
                      <w:spacing w:val="-37"/>
                      <w:position w:val="2"/>
                      <w:highlight w:val="none"/>
                    </w:rPr>
                    <w:t xml:space="preserve"> </w:t>
                  </w:r>
                  <w:r>
                    <w:rPr>
                      <w:rFonts w:ascii="Times New Roman" w:hAnsi="Times New Roman" w:eastAsia="Times New Roman" w:cs="Times New Roman"/>
                      <w:color w:val="auto"/>
                      <w:spacing w:val="5"/>
                      <w:position w:val="2"/>
                      <w:highlight w:val="none"/>
                    </w:rPr>
                    <w:t>300X300</w:t>
                  </w:r>
                  <w:r>
                    <w:rPr>
                      <w:rFonts w:hint="eastAsia" w:ascii="Times New Roman" w:hAnsi="Times New Roman" w:cs="Times New Roman"/>
                      <w:color w:val="auto"/>
                      <w:spacing w:val="5"/>
                      <w:position w:val="2"/>
                      <w:highlight w:val="none"/>
                      <w:lang w:eastAsia="zh-CN"/>
                    </w:rPr>
                    <w:t>，</w:t>
                  </w:r>
                  <w:r>
                    <w:rPr>
                      <w:rFonts w:ascii="Times New Roman" w:hAnsi="Times New Roman" w:eastAsia="Times New Roman" w:cs="Times New Roman"/>
                      <w:color w:val="auto"/>
                      <w:spacing w:val="5"/>
                      <w:position w:val="2"/>
                      <w:highlight w:val="none"/>
                    </w:rPr>
                    <w:t>N=0.75</w:t>
                  </w:r>
                  <w:r>
                    <w:rPr>
                      <w:rFonts w:hint="eastAsia" w:ascii="Times New Roman" w:hAnsi="Times New Roman" w:eastAsia="宋体" w:cs="Times New Roman"/>
                      <w:color w:val="auto"/>
                      <w:spacing w:val="5"/>
                      <w:position w:val="2"/>
                      <w:highlight w:val="none"/>
                      <w:lang w:eastAsia="zh-CN"/>
                    </w:rPr>
                    <w:t>kW</w:t>
                  </w:r>
                </w:p>
              </w:tc>
              <w:tc>
                <w:tcPr>
                  <w:tcW w:w="795" w:type="dxa"/>
                  <w:tcBorders>
                    <w:tl2br w:val="nil"/>
                    <w:tr2bl w:val="nil"/>
                  </w:tcBorders>
                  <w:vAlign w:val="center"/>
                </w:tcPr>
                <w:p w14:paraId="365FE51E">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6CCD9FC7">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14140C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525" w:type="dxa"/>
                  <w:tcBorders>
                    <w:tl2br w:val="nil"/>
                    <w:tr2bl w:val="nil"/>
                  </w:tcBorders>
                  <w:vAlign w:val="center"/>
                </w:tcPr>
                <w:p w14:paraId="038F434B">
                  <w:pPr>
                    <w:spacing w:before="169" w:line="192"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w:t>
                  </w:r>
                </w:p>
              </w:tc>
              <w:tc>
                <w:tcPr>
                  <w:tcW w:w="1365" w:type="dxa"/>
                  <w:tcBorders>
                    <w:tl2br w:val="nil"/>
                    <w:tr2bl w:val="nil"/>
                  </w:tcBorders>
                  <w:vAlign w:val="center"/>
                </w:tcPr>
                <w:p w14:paraId="70CB99B5">
                  <w:pPr>
                    <w:pStyle w:val="108"/>
                    <w:spacing w:before="130" w:line="228" w:lineRule="auto"/>
                    <w:jc w:val="center"/>
                    <w:rPr>
                      <w:color w:val="auto"/>
                      <w:highlight w:val="none"/>
                    </w:rPr>
                  </w:pPr>
                  <w:r>
                    <w:rPr>
                      <w:color w:val="auto"/>
                      <w:spacing w:val="8"/>
                      <w:highlight w:val="none"/>
                    </w:rPr>
                    <w:t>集水池提升泵</w:t>
                  </w:r>
                </w:p>
              </w:tc>
              <w:tc>
                <w:tcPr>
                  <w:tcW w:w="1560" w:type="dxa"/>
                  <w:tcBorders>
                    <w:tl2br w:val="nil"/>
                    <w:tr2bl w:val="nil"/>
                  </w:tcBorders>
                  <w:vAlign w:val="center"/>
                </w:tcPr>
                <w:p w14:paraId="6354DBDE">
                  <w:pPr>
                    <w:pStyle w:val="108"/>
                    <w:spacing w:before="130" w:line="228" w:lineRule="auto"/>
                    <w:jc w:val="center"/>
                    <w:rPr>
                      <w:color w:val="auto"/>
                      <w:highlight w:val="none"/>
                    </w:rPr>
                  </w:pPr>
                  <w:r>
                    <w:rPr>
                      <w:color w:val="auto"/>
                      <w:spacing w:val="7"/>
                      <w:highlight w:val="none"/>
                    </w:rPr>
                    <w:t>潜污泵</w:t>
                  </w:r>
                </w:p>
              </w:tc>
              <w:tc>
                <w:tcPr>
                  <w:tcW w:w="2985" w:type="dxa"/>
                  <w:tcBorders>
                    <w:tl2br w:val="nil"/>
                    <w:tr2bl w:val="nil"/>
                  </w:tcBorders>
                  <w:vAlign w:val="center"/>
                </w:tcPr>
                <w:p w14:paraId="3EB6BF74">
                  <w:pPr>
                    <w:spacing w:before="99"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position w:val="3"/>
                      <w:sz w:val="20"/>
                      <w:szCs w:val="20"/>
                      <w:highlight w:val="none"/>
                    </w:rPr>
                    <w:t>Q=150m</w:t>
                  </w:r>
                  <w:r>
                    <w:rPr>
                      <w:rFonts w:ascii="Times New Roman" w:hAnsi="Times New Roman" w:eastAsia="Times New Roman" w:cs="Times New Roman"/>
                      <w:color w:val="auto"/>
                      <w:spacing w:val="2"/>
                      <w:position w:val="9"/>
                      <w:sz w:val="13"/>
                      <w:szCs w:val="13"/>
                      <w:highlight w:val="none"/>
                    </w:rPr>
                    <w:t>3</w:t>
                  </w:r>
                  <w:r>
                    <w:rPr>
                      <w:rFonts w:ascii="Times New Roman" w:hAnsi="Times New Roman" w:eastAsia="Times New Roman" w:cs="Times New Roman"/>
                      <w:color w:val="auto"/>
                      <w:spacing w:val="2"/>
                      <w:position w:val="3"/>
                      <w:sz w:val="20"/>
                      <w:szCs w:val="20"/>
                      <w:highlight w:val="none"/>
                    </w:rPr>
                    <w:t>/h</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H=12m</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N=11</w:t>
                  </w:r>
                  <w:r>
                    <w:rPr>
                      <w:rFonts w:hint="eastAsia" w:eastAsia="宋体" w:cs="Times New Roman"/>
                      <w:color w:val="auto"/>
                      <w:spacing w:val="2"/>
                      <w:position w:val="3"/>
                      <w:sz w:val="20"/>
                      <w:szCs w:val="20"/>
                      <w:highlight w:val="none"/>
                      <w:lang w:eastAsia="zh-CN"/>
                    </w:rPr>
                    <w:t>kW</w:t>
                  </w:r>
                </w:p>
              </w:tc>
              <w:tc>
                <w:tcPr>
                  <w:tcW w:w="795" w:type="dxa"/>
                  <w:tcBorders>
                    <w:tl2br w:val="nil"/>
                    <w:tr2bl w:val="nil"/>
                  </w:tcBorders>
                  <w:vAlign w:val="center"/>
                </w:tcPr>
                <w:p w14:paraId="7340AA4D">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67076F86">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0326C9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25" w:type="dxa"/>
                  <w:tcBorders>
                    <w:tl2br w:val="nil"/>
                    <w:tr2bl w:val="nil"/>
                  </w:tcBorders>
                  <w:vAlign w:val="center"/>
                </w:tcPr>
                <w:p w14:paraId="41F3052C">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w:t>
                  </w:r>
                </w:p>
              </w:tc>
              <w:tc>
                <w:tcPr>
                  <w:tcW w:w="1365" w:type="dxa"/>
                  <w:tcBorders>
                    <w:tl2br w:val="nil"/>
                    <w:tr2bl w:val="nil"/>
                  </w:tcBorders>
                  <w:vAlign w:val="center"/>
                </w:tcPr>
                <w:p w14:paraId="4D238D05">
                  <w:pPr>
                    <w:pStyle w:val="108"/>
                    <w:spacing w:before="131" w:line="228" w:lineRule="auto"/>
                    <w:jc w:val="center"/>
                    <w:rPr>
                      <w:color w:val="auto"/>
                      <w:highlight w:val="none"/>
                    </w:rPr>
                  </w:pPr>
                  <w:r>
                    <w:rPr>
                      <w:color w:val="auto"/>
                      <w:spacing w:val="8"/>
                      <w:highlight w:val="none"/>
                    </w:rPr>
                    <w:t>调节池潜水搅拌器</w:t>
                  </w:r>
                </w:p>
              </w:tc>
              <w:tc>
                <w:tcPr>
                  <w:tcW w:w="1560" w:type="dxa"/>
                  <w:tcBorders>
                    <w:tl2br w:val="nil"/>
                    <w:tr2bl w:val="nil"/>
                  </w:tcBorders>
                  <w:vAlign w:val="center"/>
                </w:tcPr>
                <w:p w14:paraId="6A4BAE5B">
                  <w:pPr>
                    <w:pStyle w:val="108"/>
                    <w:spacing w:before="131" w:line="228" w:lineRule="auto"/>
                    <w:jc w:val="center"/>
                    <w:rPr>
                      <w:color w:val="auto"/>
                      <w:highlight w:val="none"/>
                    </w:rPr>
                  </w:pPr>
                  <w:r>
                    <w:rPr>
                      <w:color w:val="auto"/>
                      <w:spacing w:val="8"/>
                      <w:highlight w:val="none"/>
                    </w:rPr>
                    <w:t>潜水搅拌器</w:t>
                  </w:r>
                </w:p>
              </w:tc>
              <w:tc>
                <w:tcPr>
                  <w:tcW w:w="2985" w:type="dxa"/>
                  <w:tcBorders>
                    <w:tl2br w:val="nil"/>
                    <w:tr2bl w:val="nil"/>
                  </w:tcBorders>
                  <w:vAlign w:val="center"/>
                </w:tcPr>
                <w:p w14:paraId="22456FA8">
                  <w:pPr>
                    <w:pStyle w:val="108"/>
                    <w:spacing w:before="102" w:line="274" w:lineRule="exact"/>
                    <w:jc w:val="center"/>
                    <w:rPr>
                      <w:rFonts w:ascii="Times New Roman" w:hAnsi="Times New Roman" w:eastAsia="Times New Roman" w:cs="Times New Roman"/>
                      <w:color w:val="auto"/>
                      <w:highlight w:val="none"/>
                    </w:rPr>
                  </w:pPr>
                  <w:r>
                    <w:rPr>
                      <w:color w:val="auto"/>
                      <w:spacing w:val="6"/>
                      <w:position w:val="2"/>
                      <w:highlight w:val="none"/>
                    </w:rPr>
                    <w:t>转速</w:t>
                  </w:r>
                  <w:r>
                    <w:rPr>
                      <w:rFonts w:ascii="Times New Roman" w:hAnsi="Times New Roman" w:eastAsia="Times New Roman" w:cs="Times New Roman"/>
                      <w:color w:val="auto"/>
                      <w:spacing w:val="6"/>
                      <w:position w:val="2"/>
                      <w:highlight w:val="none"/>
                    </w:rPr>
                    <w:t>740</w:t>
                  </w:r>
                  <w:r>
                    <w:rPr>
                      <w:rFonts w:ascii="Times New Roman" w:hAnsi="Times New Roman" w:eastAsia="Times New Roman" w:cs="Times New Roman"/>
                      <w:color w:val="auto"/>
                      <w:position w:val="2"/>
                      <w:highlight w:val="none"/>
                    </w:rPr>
                    <w:t>rpm</w:t>
                  </w:r>
                  <w:r>
                    <w:rPr>
                      <w:rFonts w:hint="eastAsia" w:ascii="Times New Roman" w:hAnsi="Times New Roman" w:cs="Times New Roman"/>
                      <w:color w:val="auto"/>
                      <w:spacing w:val="6"/>
                      <w:position w:val="2"/>
                      <w:highlight w:val="none"/>
                      <w:lang w:eastAsia="zh-CN"/>
                    </w:rPr>
                    <w:t>，</w:t>
                  </w:r>
                  <w:r>
                    <w:rPr>
                      <w:rFonts w:ascii="Times New Roman" w:hAnsi="Times New Roman" w:eastAsia="Times New Roman" w:cs="Times New Roman"/>
                      <w:color w:val="auto"/>
                      <w:spacing w:val="6"/>
                      <w:position w:val="2"/>
                      <w:highlight w:val="none"/>
                    </w:rPr>
                    <w:t>N=3.0</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6006E420">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39284E5D">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23B92F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25" w:type="dxa"/>
                  <w:tcBorders>
                    <w:tl2br w:val="nil"/>
                    <w:tr2bl w:val="nil"/>
                  </w:tcBorders>
                  <w:vAlign w:val="center"/>
                </w:tcPr>
                <w:p w14:paraId="23A9F25D">
                  <w:pPr>
                    <w:spacing w:before="191" w:line="192"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7</w:t>
                  </w:r>
                </w:p>
              </w:tc>
              <w:tc>
                <w:tcPr>
                  <w:tcW w:w="1365" w:type="dxa"/>
                  <w:tcBorders>
                    <w:tl2br w:val="nil"/>
                    <w:tr2bl w:val="nil"/>
                  </w:tcBorders>
                  <w:vAlign w:val="center"/>
                </w:tcPr>
                <w:p w14:paraId="3731ACB5">
                  <w:pPr>
                    <w:pStyle w:val="108"/>
                    <w:spacing w:before="152" w:line="228" w:lineRule="auto"/>
                    <w:jc w:val="center"/>
                    <w:rPr>
                      <w:color w:val="auto"/>
                      <w:highlight w:val="none"/>
                    </w:rPr>
                  </w:pPr>
                  <w:r>
                    <w:rPr>
                      <w:color w:val="auto"/>
                      <w:spacing w:val="7"/>
                      <w:highlight w:val="none"/>
                    </w:rPr>
                    <w:t>调节池提升泵</w:t>
                  </w:r>
                </w:p>
              </w:tc>
              <w:tc>
                <w:tcPr>
                  <w:tcW w:w="1560" w:type="dxa"/>
                  <w:tcBorders>
                    <w:tl2br w:val="nil"/>
                    <w:tr2bl w:val="nil"/>
                  </w:tcBorders>
                  <w:vAlign w:val="center"/>
                </w:tcPr>
                <w:p w14:paraId="3B26DDCF">
                  <w:pPr>
                    <w:pStyle w:val="108"/>
                    <w:spacing w:before="152" w:line="228" w:lineRule="auto"/>
                    <w:jc w:val="center"/>
                    <w:rPr>
                      <w:color w:val="auto"/>
                      <w:highlight w:val="none"/>
                    </w:rPr>
                  </w:pPr>
                  <w:r>
                    <w:rPr>
                      <w:color w:val="auto"/>
                      <w:spacing w:val="7"/>
                      <w:highlight w:val="none"/>
                    </w:rPr>
                    <w:t>潜污泵</w:t>
                  </w:r>
                </w:p>
              </w:tc>
              <w:tc>
                <w:tcPr>
                  <w:tcW w:w="2985" w:type="dxa"/>
                  <w:tcBorders>
                    <w:tl2br w:val="nil"/>
                    <w:tr2bl w:val="nil"/>
                  </w:tcBorders>
                  <w:vAlign w:val="center"/>
                </w:tcPr>
                <w:p w14:paraId="78BECB11">
                  <w:pPr>
                    <w:spacing w:before="121"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Q=65m</w:t>
                  </w:r>
                  <w:r>
                    <w:rPr>
                      <w:rFonts w:ascii="Times New Roman" w:hAnsi="Times New Roman" w:eastAsia="Times New Roman" w:cs="Times New Roman"/>
                      <w:color w:val="auto"/>
                      <w:spacing w:val="4"/>
                      <w:position w:val="9"/>
                      <w:sz w:val="13"/>
                      <w:szCs w:val="13"/>
                      <w:highlight w:val="none"/>
                    </w:rPr>
                    <w:t>3</w:t>
                  </w:r>
                  <w:r>
                    <w:rPr>
                      <w:rFonts w:ascii="Times New Roman" w:hAnsi="Times New Roman" w:eastAsia="Times New Roman" w:cs="Times New Roman"/>
                      <w:color w:val="auto"/>
                      <w:spacing w:val="4"/>
                      <w:position w:val="3"/>
                      <w:sz w:val="20"/>
                      <w:szCs w:val="20"/>
                      <w:highlight w:val="none"/>
                    </w:rPr>
                    <w:t>/h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H=10m</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N=3</w:t>
                  </w:r>
                  <w:r>
                    <w:rPr>
                      <w:rFonts w:hint="eastAsia" w:eastAsia="宋体" w:cs="Times New Roman"/>
                      <w:color w:val="auto"/>
                      <w:spacing w:val="4"/>
                      <w:position w:val="3"/>
                      <w:sz w:val="20"/>
                      <w:szCs w:val="20"/>
                      <w:highlight w:val="none"/>
                      <w:lang w:eastAsia="zh-CN"/>
                    </w:rPr>
                    <w:t>kW</w:t>
                  </w:r>
                </w:p>
              </w:tc>
              <w:tc>
                <w:tcPr>
                  <w:tcW w:w="795" w:type="dxa"/>
                  <w:tcBorders>
                    <w:tl2br w:val="nil"/>
                    <w:tr2bl w:val="nil"/>
                  </w:tcBorders>
                  <w:vAlign w:val="center"/>
                </w:tcPr>
                <w:p w14:paraId="6C4B5204">
                  <w:pPr>
                    <w:pStyle w:val="108"/>
                    <w:spacing w:before="151" w:line="231" w:lineRule="auto"/>
                    <w:jc w:val="center"/>
                    <w:rPr>
                      <w:color w:val="auto"/>
                      <w:highlight w:val="none"/>
                    </w:rPr>
                  </w:pPr>
                  <w:r>
                    <w:rPr>
                      <w:color w:val="auto"/>
                      <w:highlight w:val="none"/>
                    </w:rPr>
                    <w:t>台</w:t>
                  </w:r>
                </w:p>
              </w:tc>
              <w:tc>
                <w:tcPr>
                  <w:tcW w:w="780" w:type="dxa"/>
                  <w:tcBorders>
                    <w:tl2br w:val="nil"/>
                    <w:tr2bl w:val="nil"/>
                  </w:tcBorders>
                  <w:vAlign w:val="center"/>
                </w:tcPr>
                <w:p w14:paraId="22EA1288">
                  <w:pPr>
                    <w:spacing w:before="18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5C7854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5711D0D4">
                  <w:pPr>
                    <w:spacing w:before="16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8</w:t>
                  </w:r>
                </w:p>
              </w:tc>
              <w:tc>
                <w:tcPr>
                  <w:tcW w:w="1365" w:type="dxa"/>
                  <w:tcBorders>
                    <w:tl2br w:val="nil"/>
                    <w:tr2bl w:val="nil"/>
                  </w:tcBorders>
                  <w:vAlign w:val="center"/>
                </w:tcPr>
                <w:p w14:paraId="00067546">
                  <w:pPr>
                    <w:pStyle w:val="108"/>
                    <w:spacing w:before="132" w:line="229" w:lineRule="auto"/>
                    <w:jc w:val="center"/>
                    <w:rPr>
                      <w:color w:val="auto"/>
                      <w:highlight w:val="none"/>
                    </w:rPr>
                  </w:pPr>
                  <w:r>
                    <w:rPr>
                      <w:color w:val="auto"/>
                      <w:spacing w:val="7"/>
                      <w:highlight w:val="none"/>
                    </w:rPr>
                    <w:t>旋流沉砂器</w:t>
                  </w:r>
                </w:p>
              </w:tc>
              <w:tc>
                <w:tcPr>
                  <w:tcW w:w="1560" w:type="dxa"/>
                  <w:tcBorders>
                    <w:tl2br w:val="nil"/>
                    <w:tr2bl w:val="nil"/>
                  </w:tcBorders>
                  <w:vAlign w:val="center"/>
                </w:tcPr>
                <w:p w14:paraId="426CAA9E">
                  <w:pPr>
                    <w:pStyle w:val="108"/>
                    <w:spacing w:before="132" w:line="229" w:lineRule="auto"/>
                    <w:jc w:val="center"/>
                    <w:rPr>
                      <w:color w:val="auto"/>
                      <w:highlight w:val="none"/>
                    </w:rPr>
                  </w:pPr>
                  <w:r>
                    <w:rPr>
                      <w:color w:val="auto"/>
                      <w:spacing w:val="7"/>
                      <w:highlight w:val="none"/>
                    </w:rPr>
                    <w:t>旋流沉砂器</w:t>
                  </w:r>
                </w:p>
              </w:tc>
              <w:tc>
                <w:tcPr>
                  <w:tcW w:w="2985" w:type="dxa"/>
                  <w:tcBorders>
                    <w:tl2br w:val="nil"/>
                    <w:tr2bl w:val="nil"/>
                  </w:tcBorders>
                  <w:vAlign w:val="center"/>
                </w:tcPr>
                <w:p w14:paraId="737078BA">
                  <w:pPr>
                    <w:pStyle w:val="108"/>
                    <w:spacing w:before="101" w:line="274" w:lineRule="exact"/>
                    <w:jc w:val="center"/>
                    <w:rPr>
                      <w:rFonts w:ascii="Times New Roman" w:hAnsi="Times New Roman" w:eastAsia="Times New Roman" w:cs="Times New Roman"/>
                      <w:color w:val="auto"/>
                      <w:highlight w:val="none"/>
                    </w:rPr>
                  </w:pPr>
                  <w:r>
                    <w:rPr>
                      <w:color w:val="auto"/>
                      <w:position w:val="2"/>
                      <w:highlight w:val="none"/>
                    </w:rPr>
                    <w:t>处理量</w:t>
                  </w:r>
                  <w:r>
                    <w:rPr>
                      <w:rFonts w:ascii="Times New Roman" w:hAnsi="Times New Roman" w:eastAsia="Times New Roman" w:cs="Times New Roman"/>
                      <w:color w:val="auto"/>
                      <w:position w:val="2"/>
                      <w:highlight w:val="none"/>
                    </w:rPr>
                    <w:t>180m</w:t>
                  </w:r>
                  <w:r>
                    <w:rPr>
                      <w:rFonts w:ascii="Times New Roman" w:hAnsi="Times New Roman" w:eastAsia="Times New Roman" w:cs="Times New Roman"/>
                      <w:color w:val="auto"/>
                      <w:position w:val="8"/>
                      <w:sz w:val="13"/>
                      <w:szCs w:val="13"/>
                      <w:highlight w:val="none"/>
                    </w:rPr>
                    <w:t>3</w:t>
                  </w:r>
                  <w:r>
                    <w:rPr>
                      <w:rFonts w:ascii="Times New Roman" w:hAnsi="Times New Roman" w:eastAsia="Times New Roman" w:cs="Times New Roman"/>
                      <w:color w:val="auto"/>
                      <w:position w:val="2"/>
                      <w:highlight w:val="none"/>
                    </w:rPr>
                    <w:t>/h</w:t>
                  </w:r>
                  <w:r>
                    <w:rPr>
                      <w:rFonts w:hint="eastAsia" w:ascii="Times New Roman" w:hAnsi="Times New Roman" w:cs="Times New Roman"/>
                      <w:color w:val="auto"/>
                      <w:position w:val="2"/>
                      <w:highlight w:val="none"/>
                      <w:lang w:eastAsia="zh-CN"/>
                    </w:rPr>
                    <w:t>，</w:t>
                  </w:r>
                  <w:r>
                    <w:rPr>
                      <w:rFonts w:ascii="Times New Roman" w:hAnsi="Times New Roman" w:eastAsia="Times New Roman" w:cs="Times New Roman"/>
                      <w:color w:val="auto"/>
                      <w:position w:val="2"/>
                      <w:highlight w:val="none"/>
                    </w:rPr>
                    <w:t>N=1.1</w:t>
                  </w:r>
                  <w:r>
                    <w:rPr>
                      <w:rFonts w:hint="eastAsia" w:ascii="Times New Roman" w:hAnsi="Times New Roman" w:eastAsia="宋体" w:cs="Times New Roman"/>
                      <w:color w:val="auto"/>
                      <w:position w:val="2"/>
                      <w:highlight w:val="none"/>
                      <w:lang w:eastAsia="zh-CN"/>
                    </w:rPr>
                    <w:t>kW</w:t>
                  </w:r>
                </w:p>
              </w:tc>
              <w:tc>
                <w:tcPr>
                  <w:tcW w:w="795" w:type="dxa"/>
                  <w:tcBorders>
                    <w:tl2br w:val="nil"/>
                    <w:tr2bl w:val="nil"/>
                  </w:tcBorders>
                  <w:vAlign w:val="center"/>
                </w:tcPr>
                <w:p w14:paraId="2BCCB77D">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06B7C1FA">
                  <w:pPr>
                    <w:spacing w:before="16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585989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25" w:type="dxa"/>
                  <w:tcBorders>
                    <w:tl2br w:val="nil"/>
                    <w:tr2bl w:val="nil"/>
                  </w:tcBorders>
                  <w:vAlign w:val="center"/>
                </w:tcPr>
                <w:p w14:paraId="7BDF0853">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9</w:t>
                  </w:r>
                </w:p>
              </w:tc>
              <w:tc>
                <w:tcPr>
                  <w:tcW w:w="1365" w:type="dxa"/>
                  <w:tcBorders>
                    <w:tl2br w:val="nil"/>
                    <w:tr2bl w:val="nil"/>
                  </w:tcBorders>
                  <w:vAlign w:val="center"/>
                </w:tcPr>
                <w:p w14:paraId="0966430E">
                  <w:pPr>
                    <w:pStyle w:val="108"/>
                    <w:spacing w:before="132" w:line="228" w:lineRule="auto"/>
                    <w:jc w:val="center"/>
                    <w:rPr>
                      <w:color w:val="auto"/>
                      <w:highlight w:val="none"/>
                    </w:rPr>
                  </w:pPr>
                  <w:r>
                    <w:rPr>
                      <w:color w:val="auto"/>
                      <w:spacing w:val="8"/>
                      <w:highlight w:val="none"/>
                    </w:rPr>
                    <w:t>气提除砂鼓风机</w:t>
                  </w:r>
                </w:p>
              </w:tc>
              <w:tc>
                <w:tcPr>
                  <w:tcW w:w="1560" w:type="dxa"/>
                  <w:tcBorders>
                    <w:tl2br w:val="nil"/>
                    <w:tr2bl w:val="nil"/>
                  </w:tcBorders>
                  <w:vAlign w:val="center"/>
                </w:tcPr>
                <w:p w14:paraId="33EB6942">
                  <w:pPr>
                    <w:pStyle w:val="108"/>
                    <w:spacing w:before="132" w:line="228" w:lineRule="auto"/>
                    <w:jc w:val="center"/>
                    <w:rPr>
                      <w:color w:val="auto"/>
                      <w:highlight w:val="none"/>
                    </w:rPr>
                  </w:pPr>
                  <w:r>
                    <w:rPr>
                      <w:color w:val="auto"/>
                      <w:spacing w:val="4"/>
                      <w:highlight w:val="none"/>
                    </w:rPr>
                    <w:t>回转式风机</w:t>
                  </w:r>
                </w:p>
              </w:tc>
              <w:tc>
                <w:tcPr>
                  <w:tcW w:w="2985" w:type="dxa"/>
                  <w:tcBorders>
                    <w:tl2br w:val="nil"/>
                    <w:tr2bl w:val="nil"/>
                  </w:tcBorders>
                  <w:vAlign w:val="center"/>
                </w:tcPr>
                <w:p w14:paraId="5280795D">
                  <w:pPr>
                    <w:pStyle w:val="108"/>
                    <w:spacing w:before="104" w:line="274" w:lineRule="exact"/>
                    <w:jc w:val="center"/>
                    <w:rPr>
                      <w:rFonts w:ascii="Times New Roman" w:hAnsi="Times New Roman" w:eastAsia="Times New Roman" w:cs="Times New Roman"/>
                      <w:color w:val="auto"/>
                      <w:highlight w:val="none"/>
                    </w:rPr>
                  </w:pPr>
                  <w:r>
                    <w:rPr>
                      <w:color w:val="auto"/>
                      <w:spacing w:val="3"/>
                      <w:position w:val="2"/>
                      <w:highlight w:val="none"/>
                    </w:rPr>
                    <w:t>风量</w:t>
                  </w:r>
                  <w:r>
                    <w:rPr>
                      <w:rFonts w:ascii="Times New Roman" w:hAnsi="Times New Roman" w:eastAsia="Times New Roman" w:cs="Times New Roman"/>
                      <w:color w:val="auto"/>
                      <w:spacing w:val="3"/>
                      <w:position w:val="2"/>
                      <w:highlight w:val="none"/>
                    </w:rPr>
                    <w:t>1.43m</w:t>
                  </w:r>
                  <w:r>
                    <w:rPr>
                      <w:rFonts w:ascii="Times New Roman" w:hAnsi="Times New Roman" w:eastAsia="Times New Roman" w:cs="Times New Roman"/>
                      <w:color w:val="auto"/>
                      <w:spacing w:val="3"/>
                      <w:position w:val="8"/>
                      <w:sz w:val="13"/>
                      <w:szCs w:val="13"/>
                      <w:highlight w:val="none"/>
                    </w:rPr>
                    <w:t>3</w:t>
                  </w:r>
                  <w:r>
                    <w:rPr>
                      <w:rFonts w:ascii="Times New Roman" w:hAnsi="Times New Roman" w:eastAsia="Times New Roman" w:cs="Times New Roman"/>
                      <w:color w:val="auto"/>
                      <w:spacing w:val="3"/>
                      <w:position w:val="2"/>
                      <w:highlight w:val="none"/>
                    </w:rPr>
                    <w:t>/</w:t>
                  </w:r>
                  <w:r>
                    <w:rPr>
                      <w:rFonts w:ascii="Times New Roman" w:hAnsi="Times New Roman" w:eastAsia="Times New Roman" w:cs="Times New Roman"/>
                      <w:color w:val="auto"/>
                      <w:position w:val="2"/>
                      <w:highlight w:val="none"/>
                    </w:rPr>
                    <w:t>min</w:t>
                  </w:r>
                  <w:r>
                    <w:rPr>
                      <w:rFonts w:hint="eastAsia" w:ascii="Times New Roman" w:hAnsi="Times New Roman" w:cs="Times New Roman"/>
                      <w:color w:val="auto"/>
                      <w:position w:val="2"/>
                      <w:highlight w:val="none"/>
                      <w:lang w:eastAsia="zh-CN"/>
                    </w:rPr>
                    <w:t>，</w:t>
                  </w:r>
                  <w:r>
                    <w:rPr>
                      <w:color w:val="auto"/>
                      <w:spacing w:val="3"/>
                      <w:position w:val="2"/>
                      <w:highlight w:val="none"/>
                    </w:rPr>
                    <w:t>功率</w:t>
                  </w:r>
                  <w:r>
                    <w:rPr>
                      <w:rFonts w:ascii="Times New Roman" w:hAnsi="Times New Roman" w:eastAsia="Times New Roman" w:cs="Times New Roman"/>
                      <w:color w:val="auto"/>
                      <w:spacing w:val="3"/>
                      <w:position w:val="2"/>
                      <w:highlight w:val="none"/>
                    </w:rPr>
                    <w:t>1.5</w:t>
                  </w:r>
                  <w:r>
                    <w:rPr>
                      <w:rFonts w:hint="eastAsia" w:ascii="Times New Roman" w:hAnsi="Times New Roman" w:eastAsia="宋体" w:cs="Times New Roman"/>
                      <w:color w:val="auto"/>
                      <w:spacing w:val="3"/>
                      <w:position w:val="2"/>
                      <w:highlight w:val="none"/>
                      <w:lang w:eastAsia="zh-CN"/>
                    </w:rPr>
                    <w:t>kW</w:t>
                  </w:r>
                </w:p>
              </w:tc>
              <w:tc>
                <w:tcPr>
                  <w:tcW w:w="795" w:type="dxa"/>
                  <w:tcBorders>
                    <w:tl2br w:val="nil"/>
                    <w:tr2bl w:val="nil"/>
                  </w:tcBorders>
                  <w:vAlign w:val="center"/>
                </w:tcPr>
                <w:p w14:paraId="75B81210">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585D10A0">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060F0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5B6B1784">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10</w:t>
                  </w:r>
                </w:p>
              </w:tc>
              <w:tc>
                <w:tcPr>
                  <w:tcW w:w="1365" w:type="dxa"/>
                  <w:tcBorders>
                    <w:tl2br w:val="nil"/>
                    <w:tr2bl w:val="nil"/>
                  </w:tcBorders>
                  <w:vAlign w:val="center"/>
                </w:tcPr>
                <w:p w14:paraId="5E372EC9">
                  <w:pPr>
                    <w:pStyle w:val="108"/>
                    <w:spacing w:before="133" w:line="228" w:lineRule="auto"/>
                    <w:jc w:val="center"/>
                    <w:rPr>
                      <w:color w:val="auto"/>
                      <w:highlight w:val="none"/>
                    </w:rPr>
                  </w:pPr>
                  <w:r>
                    <w:rPr>
                      <w:color w:val="auto"/>
                      <w:spacing w:val="1"/>
                      <w:highlight w:val="none"/>
                    </w:rPr>
                    <w:t>电动葫芦</w:t>
                  </w:r>
                </w:p>
              </w:tc>
              <w:tc>
                <w:tcPr>
                  <w:tcW w:w="1560" w:type="dxa"/>
                  <w:tcBorders>
                    <w:tl2br w:val="nil"/>
                    <w:tr2bl w:val="nil"/>
                  </w:tcBorders>
                  <w:vAlign w:val="center"/>
                </w:tcPr>
                <w:p w14:paraId="40CE399E">
                  <w:pPr>
                    <w:pStyle w:val="108"/>
                    <w:spacing w:before="133" w:line="228" w:lineRule="auto"/>
                    <w:jc w:val="center"/>
                    <w:rPr>
                      <w:color w:val="auto"/>
                      <w:highlight w:val="none"/>
                    </w:rPr>
                  </w:pPr>
                  <w:r>
                    <w:rPr>
                      <w:color w:val="auto"/>
                      <w:spacing w:val="1"/>
                      <w:highlight w:val="none"/>
                    </w:rPr>
                    <w:t>电动葫芦</w:t>
                  </w:r>
                </w:p>
              </w:tc>
              <w:tc>
                <w:tcPr>
                  <w:tcW w:w="2985" w:type="dxa"/>
                  <w:tcBorders>
                    <w:tl2br w:val="nil"/>
                    <w:tr2bl w:val="nil"/>
                  </w:tcBorders>
                  <w:vAlign w:val="center"/>
                </w:tcPr>
                <w:p w14:paraId="3BF74B1F">
                  <w:pPr>
                    <w:pStyle w:val="108"/>
                    <w:spacing w:before="105" w:line="274" w:lineRule="exact"/>
                    <w:jc w:val="center"/>
                    <w:rPr>
                      <w:rFonts w:ascii="Times New Roman" w:hAnsi="Times New Roman" w:eastAsia="Times New Roman" w:cs="Times New Roman"/>
                      <w:color w:val="auto"/>
                      <w:highlight w:val="none"/>
                    </w:rPr>
                  </w:pPr>
                  <w:r>
                    <w:rPr>
                      <w:rFonts w:ascii="Times New Roman" w:hAnsi="Times New Roman" w:eastAsia="Times New Roman" w:cs="Times New Roman"/>
                      <w:color w:val="auto"/>
                      <w:position w:val="2"/>
                      <w:highlight w:val="none"/>
                    </w:rPr>
                    <w:t>Gn</w:t>
                  </w:r>
                  <w:r>
                    <w:rPr>
                      <w:rFonts w:ascii="Times New Roman" w:hAnsi="Times New Roman" w:eastAsia="Times New Roman" w:cs="Times New Roman"/>
                      <w:color w:val="auto"/>
                      <w:spacing w:val="3"/>
                      <w:position w:val="2"/>
                      <w:highlight w:val="none"/>
                    </w:rPr>
                    <w:t>=1.0t</w:t>
                  </w:r>
                  <w:r>
                    <w:rPr>
                      <w:rFonts w:hint="eastAsia" w:ascii="Times New Roman" w:hAnsi="Times New Roman" w:cs="Times New Roman"/>
                      <w:color w:val="auto"/>
                      <w:spacing w:val="3"/>
                      <w:position w:val="2"/>
                      <w:highlight w:val="none"/>
                      <w:lang w:eastAsia="zh-CN"/>
                    </w:rPr>
                    <w:t>，</w:t>
                  </w:r>
                  <w:r>
                    <w:rPr>
                      <w:color w:val="auto"/>
                      <w:spacing w:val="3"/>
                      <w:position w:val="2"/>
                      <w:highlight w:val="none"/>
                    </w:rPr>
                    <w:t>起升高度</w:t>
                  </w:r>
                  <w:r>
                    <w:rPr>
                      <w:rFonts w:ascii="Times New Roman" w:hAnsi="Times New Roman" w:eastAsia="Times New Roman" w:cs="Times New Roman"/>
                      <w:color w:val="auto"/>
                      <w:spacing w:val="3"/>
                      <w:position w:val="2"/>
                      <w:highlight w:val="none"/>
                    </w:rPr>
                    <w:t>12m</w:t>
                  </w:r>
                  <w:r>
                    <w:rPr>
                      <w:rFonts w:hint="eastAsia" w:ascii="Times New Roman" w:hAnsi="Times New Roman" w:cs="Times New Roman"/>
                      <w:color w:val="auto"/>
                      <w:spacing w:val="3"/>
                      <w:position w:val="2"/>
                      <w:highlight w:val="none"/>
                      <w:lang w:eastAsia="zh-CN"/>
                    </w:rPr>
                    <w:t>，</w:t>
                  </w:r>
                  <w:r>
                    <w:rPr>
                      <w:rFonts w:ascii="Times New Roman" w:hAnsi="Times New Roman" w:eastAsia="Times New Roman" w:cs="Times New Roman"/>
                      <w:color w:val="auto"/>
                      <w:spacing w:val="3"/>
                      <w:position w:val="2"/>
                      <w:highlight w:val="none"/>
                    </w:rPr>
                    <w:t>N=1.7</w:t>
                  </w:r>
                  <w:r>
                    <w:rPr>
                      <w:rFonts w:hint="eastAsia" w:ascii="Times New Roman" w:hAnsi="Times New Roman" w:eastAsia="宋体" w:cs="Times New Roman"/>
                      <w:color w:val="auto"/>
                      <w:spacing w:val="3"/>
                      <w:position w:val="2"/>
                      <w:highlight w:val="none"/>
                      <w:lang w:eastAsia="zh-CN"/>
                    </w:rPr>
                    <w:t>kW</w:t>
                  </w:r>
                </w:p>
              </w:tc>
              <w:tc>
                <w:tcPr>
                  <w:tcW w:w="795" w:type="dxa"/>
                  <w:tcBorders>
                    <w:tl2br w:val="nil"/>
                    <w:tr2bl w:val="nil"/>
                  </w:tcBorders>
                  <w:vAlign w:val="center"/>
                </w:tcPr>
                <w:p w14:paraId="4399F7AB">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1B552A5E">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5A2B20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42BF7F5B">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11</w:t>
                  </w:r>
                </w:p>
              </w:tc>
              <w:tc>
                <w:tcPr>
                  <w:tcW w:w="1365" w:type="dxa"/>
                  <w:tcBorders>
                    <w:tl2br w:val="nil"/>
                    <w:tr2bl w:val="nil"/>
                  </w:tcBorders>
                  <w:vAlign w:val="center"/>
                </w:tcPr>
                <w:p w14:paraId="0B377A71">
                  <w:pPr>
                    <w:pStyle w:val="108"/>
                    <w:spacing w:before="133" w:line="228" w:lineRule="auto"/>
                    <w:jc w:val="center"/>
                    <w:rPr>
                      <w:color w:val="auto"/>
                      <w:highlight w:val="none"/>
                    </w:rPr>
                  </w:pPr>
                  <w:r>
                    <w:rPr>
                      <w:color w:val="auto"/>
                      <w:spacing w:val="8"/>
                      <w:highlight w:val="none"/>
                    </w:rPr>
                    <w:t>砂水分离器</w:t>
                  </w:r>
                </w:p>
              </w:tc>
              <w:tc>
                <w:tcPr>
                  <w:tcW w:w="1560" w:type="dxa"/>
                  <w:tcBorders>
                    <w:tl2br w:val="nil"/>
                    <w:tr2bl w:val="nil"/>
                  </w:tcBorders>
                  <w:vAlign w:val="center"/>
                </w:tcPr>
                <w:p w14:paraId="118A82E8">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2E90CC2D">
                  <w:pPr>
                    <w:pStyle w:val="108"/>
                    <w:spacing w:before="104" w:line="275" w:lineRule="exact"/>
                    <w:jc w:val="center"/>
                    <w:rPr>
                      <w:rFonts w:ascii="Times New Roman" w:hAnsi="Times New Roman" w:eastAsia="Times New Roman" w:cs="Times New Roman"/>
                      <w:color w:val="auto"/>
                      <w:highlight w:val="none"/>
                    </w:rPr>
                  </w:pPr>
                  <w:r>
                    <w:rPr>
                      <w:color w:val="auto"/>
                      <w:spacing w:val="3"/>
                      <w:position w:val="2"/>
                      <w:highlight w:val="none"/>
                    </w:rPr>
                    <w:t>处理量</w:t>
                  </w:r>
                  <w:r>
                    <w:rPr>
                      <w:rFonts w:ascii="Times New Roman" w:hAnsi="Times New Roman" w:eastAsia="Times New Roman" w:cs="Times New Roman"/>
                      <w:color w:val="auto"/>
                      <w:spacing w:val="3"/>
                      <w:position w:val="2"/>
                      <w:highlight w:val="none"/>
                    </w:rPr>
                    <w:t>5~12L/s</w:t>
                  </w:r>
                  <w:r>
                    <w:rPr>
                      <w:rFonts w:hint="eastAsia" w:ascii="Times New Roman" w:hAnsi="Times New Roman" w:cs="Times New Roman"/>
                      <w:color w:val="auto"/>
                      <w:spacing w:val="3"/>
                      <w:position w:val="2"/>
                      <w:highlight w:val="none"/>
                      <w:lang w:eastAsia="zh-CN"/>
                    </w:rPr>
                    <w:t>，</w:t>
                  </w:r>
                  <w:r>
                    <w:rPr>
                      <w:rFonts w:ascii="Times New Roman" w:hAnsi="Times New Roman" w:eastAsia="Times New Roman" w:cs="Times New Roman"/>
                      <w:color w:val="auto"/>
                      <w:spacing w:val="3"/>
                      <w:position w:val="2"/>
                      <w:highlight w:val="none"/>
                    </w:rPr>
                    <w:t>N=0.37</w:t>
                  </w:r>
                  <w:r>
                    <w:rPr>
                      <w:rFonts w:hint="eastAsia" w:ascii="Times New Roman" w:hAnsi="Times New Roman" w:eastAsia="宋体" w:cs="Times New Roman"/>
                      <w:color w:val="auto"/>
                      <w:spacing w:val="3"/>
                      <w:position w:val="2"/>
                      <w:highlight w:val="none"/>
                      <w:lang w:eastAsia="zh-CN"/>
                    </w:rPr>
                    <w:t>kW</w:t>
                  </w:r>
                </w:p>
              </w:tc>
              <w:tc>
                <w:tcPr>
                  <w:tcW w:w="795" w:type="dxa"/>
                  <w:tcBorders>
                    <w:tl2br w:val="nil"/>
                    <w:tr2bl w:val="nil"/>
                  </w:tcBorders>
                  <w:vAlign w:val="center"/>
                </w:tcPr>
                <w:p w14:paraId="32F305D2">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1EEB2185">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1ED020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525" w:type="dxa"/>
                  <w:tcBorders>
                    <w:tl2br w:val="nil"/>
                    <w:tr2bl w:val="nil"/>
                  </w:tcBorders>
                  <w:vAlign w:val="center"/>
                </w:tcPr>
                <w:p w14:paraId="62F475ED">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12</w:t>
                  </w:r>
                </w:p>
              </w:tc>
              <w:tc>
                <w:tcPr>
                  <w:tcW w:w="1365" w:type="dxa"/>
                  <w:tcBorders>
                    <w:tl2br w:val="nil"/>
                    <w:tr2bl w:val="nil"/>
                  </w:tcBorders>
                  <w:vAlign w:val="center"/>
                </w:tcPr>
                <w:p w14:paraId="174C4DC5">
                  <w:pPr>
                    <w:pStyle w:val="108"/>
                    <w:spacing w:before="135" w:line="228" w:lineRule="auto"/>
                    <w:jc w:val="center"/>
                    <w:rPr>
                      <w:color w:val="auto"/>
                      <w:highlight w:val="none"/>
                    </w:rPr>
                  </w:pPr>
                  <w:r>
                    <w:rPr>
                      <w:color w:val="auto"/>
                      <w:spacing w:val="7"/>
                      <w:highlight w:val="none"/>
                    </w:rPr>
                    <w:t>栅渣小车</w:t>
                  </w:r>
                </w:p>
              </w:tc>
              <w:tc>
                <w:tcPr>
                  <w:tcW w:w="1560" w:type="dxa"/>
                  <w:tcBorders>
                    <w:tl2br w:val="nil"/>
                    <w:tr2bl w:val="nil"/>
                  </w:tcBorders>
                  <w:vAlign w:val="center"/>
                </w:tcPr>
                <w:p w14:paraId="2BD6C3DB">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044C44F9">
                  <w:pPr>
                    <w:spacing w:before="104" w:line="274" w:lineRule="exact"/>
                    <w:jc w:val="center"/>
                    <w:rPr>
                      <w:rFonts w:ascii="Times New Roman" w:hAnsi="Times New Roman" w:eastAsia="Times New Roman" w:cs="Times New Roman"/>
                      <w:color w:val="auto"/>
                      <w:sz w:val="13"/>
                      <w:szCs w:val="13"/>
                      <w:highlight w:val="none"/>
                    </w:rPr>
                  </w:pPr>
                  <w:r>
                    <w:rPr>
                      <w:rFonts w:ascii="Times New Roman" w:hAnsi="Times New Roman" w:eastAsia="Times New Roman" w:cs="Times New Roman"/>
                      <w:color w:val="auto"/>
                      <w:spacing w:val="4"/>
                      <w:position w:val="1"/>
                      <w:sz w:val="20"/>
                      <w:szCs w:val="20"/>
                      <w:highlight w:val="none"/>
                    </w:rPr>
                    <w:t>V=0.3m</w:t>
                  </w:r>
                  <w:r>
                    <w:rPr>
                      <w:rFonts w:ascii="Times New Roman" w:hAnsi="Times New Roman" w:eastAsia="Times New Roman" w:cs="Times New Roman"/>
                      <w:color w:val="auto"/>
                      <w:spacing w:val="4"/>
                      <w:position w:val="7"/>
                      <w:sz w:val="13"/>
                      <w:szCs w:val="13"/>
                      <w:highlight w:val="none"/>
                    </w:rPr>
                    <w:t>3</w:t>
                  </w:r>
                </w:p>
              </w:tc>
              <w:tc>
                <w:tcPr>
                  <w:tcW w:w="795" w:type="dxa"/>
                  <w:tcBorders>
                    <w:tl2br w:val="nil"/>
                    <w:tr2bl w:val="nil"/>
                  </w:tcBorders>
                  <w:vAlign w:val="center"/>
                </w:tcPr>
                <w:p w14:paraId="763ADCE0">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74DA85D8">
                  <w:pPr>
                    <w:spacing w:before="174" w:line="192"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w:t>
                  </w:r>
                </w:p>
              </w:tc>
            </w:tr>
            <w:tr w14:paraId="46493A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4DA69250">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13</w:t>
                  </w:r>
                </w:p>
              </w:tc>
              <w:tc>
                <w:tcPr>
                  <w:tcW w:w="1365" w:type="dxa"/>
                  <w:tcBorders>
                    <w:tl2br w:val="nil"/>
                    <w:tr2bl w:val="nil"/>
                  </w:tcBorders>
                  <w:vAlign w:val="center"/>
                </w:tcPr>
                <w:p w14:paraId="17E0CBDF">
                  <w:pPr>
                    <w:pStyle w:val="108"/>
                    <w:spacing w:before="134" w:line="228" w:lineRule="auto"/>
                    <w:jc w:val="center"/>
                    <w:rPr>
                      <w:color w:val="auto"/>
                      <w:highlight w:val="none"/>
                    </w:rPr>
                  </w:pPr>
                  <w:r>
                    <w:rPr>
                      <w:color w:val="auto"/>
                      <w:spacing w:val="8"/>
                      <w:highlight w:val="none"/>
                    </w:rPr>
                    <w:t>厌氧池搅拌机</w:t>
                  </w:r>
                </w:p>
              </w:tc>
              <w:tc>
                <w:tcPr>
                  <w:tcW w:w="1560" w:type="dxa"/>
                  <w:tcBorders>
                    <w:tl2br w:val="nil"/>
                    <w:tr2bl w:val="nil"/>
                  </w:tcBorders>
                  <w:vAlign w:val="center"/>
                </w:tcPr>
                <w:p w14:paraId="10B7E241">
                  <w:pPr>
                    <w:pStyle w:val="108"/>
                    <w:spacing w:before="135" w:line="228" w:lineRule="auto"/>
                    <w:jc w:val="center"/>
                    <w:rPr>
                      <w:color w:val="auto"/>
                      <w:highlight w:val="none"/>
                    </w:rPr>
                  </w:pPr>
                  <w:r>
                    <w:rPr>
                      <w:color w:val="auto"/>
                      <w:spacing w:val="8"/>
                      <w:highlight w:val="none"/>
                    </w:rPr>
                    <w:t>潜水搅拌器</w:t>
                  </w:r>
                </w:p>
              </w:tc>
              <w:tc>
                <w:tcPr>
                  <w:tcW w:w="2985" w:type="dxa"/>
                  <w:tcBorders>
                    <w:tl2br w:val="nil"/>
                    <w:tr2bl w:val="nil"/>
                  </w:tcBorders>
                  <w:vAlign w:val="center"/>
                </w:tcPr>
                <w:p w14:paraId="38F1163D">
                  <w:pPr>
                    <w:pStyle w:val="108"/>
                    <w:spacing w:before="104" w:line="274" w:lineRule="exact"/>
                    <w:jc w:val="center"/>
                    <w:rPr>
                      <w:rFonts w:ascii="Times New Roman" w:hAnsi="Times New Roman" w:eastAsia="Times New Roman" w:cs="Times New Roman"/>
                      <w:color w:val="auto"/>
                      <w:highlight w:val="none"/>
                    </w:rPr>
                  </w:pPr>
                  <w:r>
                    <w:rPr>
                      <w:color w:val="auto"/>
                      <w:spacing w:val="3"/>
                      <w:position w:val="2"/>
                      <w:highlight w:val="none"/>
                    </w:rPr>
                    <w:t>转速</w:t>
                  </w:r>
                  <w:r>
                    <w:rPr>
                      <w:rFonts w:ascii="Times New Roman" w:hAnsi="Times New Roman" w:eastAsia="Times New Roman" w:cs="Times New Roman"/>
                      <w:color w:val="auto"/>
                      <w:spacing w:val="3"/>
                      <w:position w:val="2"/>
                      <w:highlight w:val="none"/>
                    </w:rPr>
                    <w:t>960</w:t>
                  </w:r>
                  <w:r>
                    <w:rPr>
                      <w:rFonts w:ascii="Times New Roman" w:hAnsi="Times New Roman" w:eastAsia="Times New Roman" w:cs="Times New Roman"/>
                      <w:color w:val="auto"/>
                      <w:position w:val="2"/>
                      <w:highlight w:val="none"/>
                    </w:rPr>
                    <w:t>rpm</w:t>
                  </w:r>
                  <w:r>
                    <w:rPr>
                      <w:rFonts w:hint="eastAsia" w:ascii="Times New Roman" w:hAnsi="Times New Roman" w:cs="Times New Roman"/>
                      <w:color w:val="auto"/>
                      <w:position w:val="2"/>
                      <w:highlight w:val="none"/>
                      <w:lang w:eastAsia="zh-CN"/>
                    </w:rPr>
                    <w:t>，</w:t>
                  </w:r>
                  <w:r>
                    <w:rPr>
                      <w:rFonts w:ascii="Times New Roman" w:hAnsi="Times New Roman" w:eastAsia="Times New Roman" w:cs="Times New Roman"/>
                      <w:color w:val="auto"/>
                      <w:spacing w:val="3"/>
                      <w:position w:val="2"/>
                      <w:highlight w:val="none"/>
                    </w:rPr>
                    <w:t>N=1.5</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133000DC">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70DDBBD1">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5B749A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08D8E308">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14</w:t>
                  </w:r>
                </w:p>
              </w:tc>
              <w:tc>
                <w:tcPr>
                  <w:tcW w:w="1365" w:type="dxa"/>
                  <w:tcBorders>
                    <w:tl2br w:val="nil"/>
                    <w:tr2bl w:val="nil"/>
                  </w:tcBorders>
                  <w:vAlign w:val="center"/>
                </w:tcPr>
                <w:p w14:paraId="318747E0">
                  <w:pPr>
                    <w:pStyle w:val="108"/>
                    <w:spacing w:before="134" w:line="228" w:lineRule="auto"/>
                    <w:jc w:val="center"/>
                    <w:rPr>
                      <w:color w:val="auto"/>
                      <w:highlight w:val="none"/>
                    </w:rPr>
                  </w:pPr>
                  <w:r>
                    <w:rPr>
                      <w:color w:val="auto"/>
                      <w:spacing w:val="8"/>
                      <w:highlight w:val="none"/>
                    </w:rPr>
                    <w:t>缺氧池搅拌机</w:t>
                  </w:r>
                </w:p>
              </w:tc>
              <w:tc>
                <w:tcPr>
                  <w:tcW w:w="1560" w:type="dxa"/>
                  <w:tcBorders>
                    <w:tl2br w:val="nil"/>
                    <w:tr2bl w:val="nil"/>
                  </w:tcBorders>
                  <w:vAlign w:val="center"/>
                </w:tcPr>
                <w:p w14:paraId="090072AA">
                  <w:pPr>
                    <w:pStyle w:val="108"/>
                    <w:spacing w:before="134" w:line="228" w:lineRule="auto"/>
                    <w:jc w:val="center"/>
                    <w:rPr>
                      <w:color w:val="auto"/>
                      <w:highlight w:val="none"/>
                    </w:rPr>
                  </w:pPr>
                  <w:r>
                    <w:rPr>
                      <w:color w:val="auto"/>
                      <w:spacing w:val="8"/>
                      <w:highlight w:val="none"/>
                    </w:rPr>
                    <w:t>潜水搅拌器</w:t>
                  </w:r>
                </w:p>
              </w:tc>
              <w:tc>
                <w:tcPr>
                  <w:tcW w:w="2985" w:type="dxa"/>
                  <w:tcBorders>
                    <w:tl2br w:val="nil"/>
                    <w:tr2bl w:val="nil"/>
                  </w:tcBorders>
                  <w:vAlign w:val="center"/>
                </w:tcPr>
                <w:p w14:paraId="7815376F">
                  <w:pPr>
                    <w:pStyle w:val="108"/>
                    <w:spacing w:before="103" w:line="274" w:lineRule="exact"/>
                    <w:jc w:val="center"/>
                    <w:rPr>
                      <w:rFonts w:ascii="Times New Roman" w:hAnsi="Times New Roman" w:eastAsia="Times New Roman" w:cs="Times New Roman"/>
                      <w:color w:val="auto"/>
                      <w:highlight w:val="none"/>
                    </w:rPr>
                  </w:pPr>
                  <w:r>
                    <w:rPr>
                      <w:color w:val="auto"/>
                      <w:spacing w:val="5"/>
                      <w:position w:val="2"/>
                      <w:highlight w:val="none"/>
                    </w:rPr>
                    <w:t>转速</w:t>
                  </w:r>
                  <w:r>
                    <w:rPr>
                      <w:rFonts w:ascii="Times New Roman" w:hAnsi="Times New Roman" w:eastAsia="Times New Roman" w:cs="Times New Roman"/>
                      <w:color w:val="auto"/>
                      <w:spacing w:val="5"/>
                      <w:position w:val="2"/>
                      <w:highlight w:val="none"/>
                    </w:rPr>
                    <w:t>1470</w:t>
                  </w:r>
                  <w:r>
                    <w:rPr>
                      <w:rFonts w:ascii="Times New Roman" w:hAnsi="Times New Roman" w:eastAsia="Times New Roman" w:cs="Times New Roman"/>
                      <w:color w:val="auto"/>
                      <w:position w:val="2"/>
                      <w:highlight w:val="none"/>
                    </w:rPr>
                    <w:t>rpm</w:t>
                  </w:r>
                  <w:r>
                    <w:rPr>
                      <w:rFonts w:hint="eastAsia" w:ascii="Times New Roman" w:hAnsi="Times New Roman" w:cs="Times New Roman"/>
                      <w:color w:val="auto"/>
                      <w:spacing w:val="5"/>
                      <w:position w:val="2"/>
                      <w:highlight w:val="none"/>
                      <w:lang w:eastAsia="zh-CN"/>
                    </w:rPr>
                    <w:t>，</w:t>
                  </w:r>
                  <w:r>
                    <w:rPr>
                      <w:rFonts w:ascii="Times New Roman" w:hAnsi="Times New Roman" w:eastAsia="Times New Roman" w:cs="Times New Roman"/>
                      <w:color w:val="auto"/>
                      <w:spacing w:val="5"/>
                      <w:position w:val="2"/>
                      <w:highlight w:val="none"/>
                    </w:rPr>
                    <w:t>N=2.2</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26B2A1DA">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067910E1">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6DB406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691F0424">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15</w:t>
                  </w:r>
                </w:p>
              </w:tc>
              <w:tc>
                <w:tcPr>
                  <w:tcW w:w="1365" w:type="dxa"/>
                  <w:tcBorders>
                    <w:tl2br w:val="nil"/>
                    <w:tr2bl w:val="nil"/>
                  </w:tcBorders>
                  <w:vAlign w:val="center"/>
                </w:tcPr>
                <w:p w14:paraId="2AFA1765">
                  <w:pPr>
                    <w:pStyle w:val="108"/>
                    <w:spacing w:before="134" w:line="228" w:lineRule="auto"/>
                    <w:jc w:val="center"/>
                    <w:rPr>
                      <w:color w:val="auto"/>
                      <w:highlight w:val="none"/>
                    </w:rPr>
                  </w:pPr>
                  <w:r>
                    <w:rPr>
                      <w:color w:val="auto"/>
                      <w:spacing w:val="7"/>
                      <w:highlight w:val="none"/>
                    </w:rPr>
                    <w:t>混合液回流泵</w:t>
                  </w:r>
                </w:p>
              </w:tc>
              <w:tc>
                <w:tcPr>
                  <w:tcW w:w="1560" w:type="dxa"/>
                  <w:tcBorders>
                    <w:tl2br w:val="nil"/>
                    <w:tr2bl w:val="nil"/>
                  </w:tcBorders>
                  <w:vAlign w:val="center"/>
                </w:tcPr>
                <w:p w14:paraId="3810BED3">
                  <w:pPr>
                    <w:pStyle w:val="108"/>
                    <w:spacing w:before="134" w:line="228" w:lineRule="auto"/>
                    <w:jc w:val="center"/>
                    <w:rPr>
                      <w:color w:val="auto"/>
                      <w:highlight w:val="none"/>
                    </w:rPr>
                  </w:pPr>
                  <w:r>
                    <w:rPr>
                      <w:color w:val="auto"/>
                      <w:spacing w:val="7"/>
                      <w:highlight w:val="none"/>
                    </w:rPr>
                    <w:t>潜污泵</w:t>
                  </w:r>
                </w:p>
              </w:tc>
              <w:tc>
                <w:tcPr>
                  <w:tcW w:w="2985" w:type="dxa"/>
                  <w:tcBorders>
                    <w:tl2br w:val="nil"/>
                    <w:tr2bl w:val="nil"/>
                  </w:tcBorders>
                  <w:vAlign w:val="center"/>
                </w:tcPr>
                <w:p w14:paraId="494EBB84">
                  <w:pPr>
                    <w:spacing w:before="105"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position w:val="3"/>
                      <w:sz w:val="20"/>
                      <w:szCs w:val="20"/>
                      <w:highlight w:val="none"/>
                    </w:rPr>
                    <w:t>Q=125m</w:t>
                  </w:r>
                  <w:r>
                    <w:rPr>
                      <w:rFonts w:ascii="Times New Roman" w:hAnsi="Times New Roman" w:eastAsia="Times New Roman" w:cs="Times New Roman"/>
                      <w:color w:val="auto"/>
                      <w:spacing w:val="2"/>
                      <w:position w:val="9"/>
                      <w:sz w:val="13"/>
                      <w:szCs w:val="13"/>
                      <w:highlight w:val="none"/>
                    </w:rPr>
                    <w:t>3</w:t>
                  </w:r>
                  <w:r>
                    <w:rPr>
                      <w:rFonts w:ascii="Times New Roman" w:hAnsi="Times New Roman" w:eastAsia="Times New Roman" w:cs="Times New Roman"/>
                      <w:color w:val="auto"/>
                      <w:spacing w:val="2"/>
                      <w:position w:val="3"/>
                      <w:sz w:val="20"/>
                      <w:szCs w:val="20"/>
                      <w:highlight w:val="none"/>
                    </w:rPr>
                    <w:t>/h</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H=10m</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N=11</w:t>
                  </w:r>
                  <w:r>
                    <w:rPr>
                      <w:rFonts w:hint="eastAsia" w:eastAsia="宋体" w:cs="Times New Roman"/>
                      <w:color w:val="auto"/>
                      <w:spacing w:val="2"/>
                      <w:position w:val="3"/>
                      <w:sz w:val="20"/>
                      <w:szCs w:val="20"/>
                      <w:highlight w:val="none"/>
                      <w:lang w:eastAsia="zh-CN"/>
                    </w:rPr>
                    <w:t>kW</w:t>
                  </w:r>
                </w:p>
              </w:tc>
              <w:tc>
                <w:tcPr>
                  <w:tcW w:w="795" w:type="dxa"/>
                  <w:tcBorders>
                    <w:tl2br w:val="nil"/>
                    <w:tr2bl w:val="nil"/>
                  </w:tcBorders>
                  <w:vAlign w:val="center"/>
                </w:tcPr>
                <w:p w14:paraId="6C315982">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2718DCB5">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4</w:t>
                  </w:r>
                </w:p>
              </w:tc>
            </w:tr>
            <w:tr w14:paraId="0F7792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63FC9997">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16</w:t>
                  </w:r>
                </w:p>
              </w:tc>
              <w:tc>
                <w:tcPr>
                  <w:tcW w:w="1365" w:type="dxa"/>
                  <w:tcBorders>
                    <w:tl2br w:val="nil"/>
                    <w:tr2bl w:val="nil"/>
                  </w:tcBorders>
                  <w:vAlign w:val="center"/>
                </w:tcPr>
                <w:p w14:paraId="2D9949B5">
                  <w:pPr>
                    <w:pStyle w:val="108"/>
                    <w:spacing w:before="134" w:line="228" w:lineRule="auto"/>
                    <w:jc w:val="center"/>
                    <w:rPr>
                      <w:color w:val="auto"/>
                      <w:highlight w:val="none"/>
                    </w:rPr>
                  </w:pPr>
                  <w:r>
                    <w:rPr>
                      <w:color w:val="auto"/>
                      <w:spacing w:val="8"/>
                      <w:highlight w:val="none"/>
                    </w:rPr>
                    <w:t>微孔曝气盘</w:t>
                  </w:r>
                </w:p>
              </w:tc>
              <w:tc>
                <w:tcPr>
                  <w:tcW w:w="1560" w:type="dxa"/>
                  <w:tcBorders>
                    <w:tl2br w:val="nil"/>
                    <w:tr2bl w:val="nil"/>
                  </w:tcBorders>
                  <w:vAlign w:val="center"/>
                </w:tcPr>
                <w:p w14:paraId="6BFD709A">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4B28AB4E">
                  <w:pPr>
                    <w:pStyle w:val="108"/>
                    <w:spacing w:before="133" w:line="223" w:lineRule="auto"/>
                    <w:jc w:val="center"/>
                    <w:rPr>
                      <w:rFonts w:ascii="Times New Roman" w:hAnsi="Times New Roman" w:eastAsia="Times New Roman" w:cs="Times New Roman"/>
                      <w:color w:val="auto"/>
                      <w:highlight w:val="none"/>
                    </w:rPr>
                  </w:pPr>
                  <w:r>
                    <w:rPr>
                      <w:rFonts w:ascii="Times New Roman" w:hAnsi="Times New Roman" w:eastAsia="Times New Roman" w:cs="Times New Roman"/>
                      <w:color w:val="auto"/>
                      <w:spacing w:val="5"/>
                      <w:highlight w:val="none"/>
                    </w:rPr>
                    <w:t>φ215</w:t>
                  </w:r>
                  <w:r>
                    <w:rPr>
                      <w:rFonts w:hint="eastAsia" w:ascii="Times New Roman" w:hAnsi="Times New Roman" w:cs="Times New Roman"/>
                      <w:color w:val="auto"/>
                      <w:spacing w:val="5"/>
                      <w:highlight w:val="none"/>
                      <w:lang w:eastAsia="zh-CN"/>
                    </w:rPr>
                    <w:t>，</w:t>
                  </w:r>
                  <w:r>
                    <w:rPr>
                      <w:color w:val="auto"/>
                      <w:spacing w:val="5"/>
                      <w:highlight w:val="none"/>
                    </w:rPr>
                    <w:t>服务面积</w:t>
                  </w:r>
                  <w:r>
                    <w:rPr>
                      <w:rFonts w:ascii="Times New Roman" w:hAnsi="Times New Roman" w:eastAsia="Times New Roman" w:cs="Times New Roman"/>
                      <w:color w:val="auto"/>
                      <w:spacing w:val="5"/>
                      <w:highlight w:val="none"/>
                    </w:rPr>
                    <w:t>:0.4~0.8m</w:t>
                  </w:r>
                  <w:r>
                    <w:rPr>
                      <w:rFonts w:ascii="Times New Roman" w:hAnsi="Times New Roman" w:eastAsia="Times New Roman" w:cs="Times New Roman"/>
                      <w:color w:val="auto"/>
                      <w:spacing w:val="5"/>
                      <w:highlight w:val="none"/>
                      <w:vertAlign w:val="superscript"/>
                    </w:rPr>
                    <w:t>2</w:t>
                  </w:r>
                </w:p>
              </w:tc>
              <w:tc>
                <w:tcPr>
                  <w:tcW w:w="795" w:type="dxa"/>
                  <w:tcBorders>
                    <w:tl2br w:val="nil"/>
                    <w:tr2bl w:val="nil"/>
                  </w:tcBorders>
                  <w:vAlign w:val="center"/>
                </w:tcPr>
                <w:p w14:paraId="04751B2E">
                  <w:pPr>
                    <w:pStyle w:val="108"/>
                    <w:spacing w:before="133" w:line="229" w:lineRule="auto"/>
                    <w:jc w:val="center"/>
                    <w:rPr>
                      <w:color w:val="auto"/>
                      <w:highlight w:val="none"/>
                    </w:rPr>
                  </w:pPr>
                  <w:r>
                    <w:rPr>
                      <w:color w:val="auto"/>
                      <w:highlight w:val="none"/>
                    </w:rPr>
                    <w:t>套</w:t>
                  </w:r>
                </w:p>
              </w:tc>
              <w:tc>
                <w:tcPr>
                  <w:tcW w:w="780" w:type="dxa"/>
                  <w:tcBorders>
                    <w:tl2br w:val="nil"/>
                    <w:tr2bl w:val="nil"/>
                  </w:tcBorders>
                  <w:vAlign w:val="center"/>
                </w:tcPr>
                <w:p w14:paraId="5309B09B">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168</w:t>
                  </w:r>
                </w:p>
              </w:tc>
            </w:tr>
            <w:tr w14:paraId="1D69F7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25" w:type="dxa"/>
                  <w:tcBorders>
                    <w:tl2br w:val="nil"/>
                    <w:tr2bl w:val="nil"/>
                  </w:tcBorders>
                  <w:vAlign w:val="center"/>
                </w:tcPr>
                <w:p w14:paraId="5C887CE3">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17</w:t>
                  </w:r>
                </w:p>
              </w:tc>
              <w:tc>
                <w:tcPr>
                  <w:tcW w:w="1365" w:type="dxa"/>
                  <w:tcBorders>
                    <w:tl2br w:val="nil"/>
                    <w:tr2bl w:val="nil"/>
                  </w:tcBorders>
                  <w:vAlign w:val="center"/>
                </w:tcPr>
                <w:p w14:paraId="4B1C144B">
                  <w:pPr>
                    <w:pStyle w:val="108"/>
                    <w:spacing w:before="132" w:line="228" w:lineRule="auto"/>
                    <w:jc w:val="center"/>
                    <w:rPr>
                      <w:color w:val="auto"/>
                      <w:highlight w:val="none"/>
                    </w:rPr>
                  </w:pPr>
                  <w:r>
                    <w:rPr>
                      <w:color w:val="auto"/>
                      <w:spacing w:val="7"/>
                      <w:highlight w:val="none"/>
                    </w:rPr>
                    <w:t>二沉池刮泥机</w:t>
                  </w:r>
                </w:p>
              </w:tc>
              <w:tc>
                <w:tcPr>
                  <w:tcW w:w="1560" w:type="dxa"/>
                  <w:tcBorders>
                    <w:tl2br w:val="nil"/>
                    <w:tr2bl w:val="nil"/>
                  </w:tcBorders>
                  <w:vAlign w:val="center"/>
                </w:tcPr>
                <w:p w14:paraId="4B820394">
                  <w:pPr>
                    <w:pStyle w:val="108"/>
                    <w:spacing w:before="132" w:line="228" w:lineRule="auto"/>
                    <w:jc w:val="center"/>
                    <w:rPr>
                      <w:color w:val="auto"/>
                      <w:highlight w:val="none"/>
                    </w:rPr>
                  </w:pPr>
                  <w:r>
                    <w:rPr>
                      <w:color w:val="auto"/>
                      <w:spacing w:val="8"/>
                      <w:highlight w:val="none"/>
                    </w:rPr>
                    <w:t>周边传动刮泥机</w:t>
                  </w:r>
                </w:p>
              </w:tc>
              <w:tc>
                <w:tcPr>
                  <w:tcW w:w="2985" w:type="dxa"/>
                  <w:tcBorders>
                    <w:tl2br w:val="nil"/>
                    <w:tr2bl w:val="nil"/>
                  </w:tcBorders>
                  <w:vAlign w:val="center"/>
                </w:tcPr>
                <w:p w14:paraId="40456033">
                  <w:pPr>
                    <w:pStyle w:val="108"/>
                    <w:spacing w:before="104" w:line="275" w:lineRule="exact"/>
                    <w:jc w:val="center"/>
                    <w:rPr>
                      <w:rFonts w:ascii="Times New Roman" w:hAnsi="Times New Roman" w:eastAsia="Times New Roman" w:cs="Times New Roman"/>
                      <w:color w:val="auto"/>
                      <w:highlight w:val="none"/>
                    </w:rPr>
                  </w:pPr>
                  <w:r>
                    <w:rPr>
                      <w:color w:val="auto"/>
                      <w:spacing w:val="5"/>
                      <w:position w:val="2"/>
                      <w:highlight w:val="none"/>
                    </w:rPr>
                    <w:t>刮泥机直径</w:t>
                  </w:r>
                  <w:r>
                    <w:rPr>
                      <w:rFonts w:ascii="Times New Roman" w:hAnsi="Times New Roman" w:eastAsia="Times New Roman" w:cs="Times New Roman"/>
                      <w:color w:val="auto"/>
                      <w:spacing w:val="5"/>
                      <w:position w:val="2"/>
                      <w:highlight w:val="none"/>
                    </w:rPr>
                    <w:t>10m</w:t>
                  </w:r>
                  <w:r>
                    <w:rPr>
                      <w:rFonts w:hint="eastAsia" w:ascii="Times New Roman" w:hAnsi="Times New Roman" w:cs="Times New Roman"/>
                      <w:color w:val="auto"/>
                      <w:spacing w:val="5"/>
                      <w:position w:val="2"/>
                      <w:highlight w:val="none"/>
                      <w:lang w:eastAsia="zh-CN"/>
                    </w:rPr>
                    <w:t>，</w:t>
                  </w:r>
                  <w:r>
                    <w:rPr>
                      <w:rFonts w:ascii="Times New Roman" w:hAnsi="Times New Roman" w:eastAsia="Times New Roman" w:cs="Times New Roman"/>
                      <w:color w:val="auto"/>
                      <w:spacing w:val="5"/>
                      <w:position w:val="2"/>
                      <w:highlight w:val="none"/>
                    </w:rPr>
                    <w:t>N=0.75</w:t>
                  </w:r>
                  <w:r>
                    <w:rPr>
                      <w:rFonts w:hint="eastAsia" w:ascii="Times New Roman" w:hAnsi="Times New Roman" w:eastAsia="宋体" w:cs="Times New Roman"/>
                      <w:color w:val="auto"/>
                      <w:spacing w:val="5"/>
                      <w:position w:val="2"/>
                      <w:highlight w:val="none"/>
                      <w:lang w:eastAsia="zh-CN"/>
                    </w:rPr>
                    <w:t>kW</w:t>
                  </w:r>
                </w:p>
              </w:tc>
              <w:tc>
                <w:tcPr>
                  <w:tcW w:w="795" w:type="dxa"/>
                  <w:tcBorders>
                    <w:tl2br w:val="nil"/>
                    <w:tr2bl w:val="nil"/>
                  </w:tcBorders>
                  <w:vAlign w:val="center"/>
                </w:tcPr>
                <w:p w14:paraId="34ED01C4">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6CC4A5EA">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6EBB8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525" w:type="dxa"/>
                  <w:tcBorders>
                    <w:tl2br w:val="nil"/>
                    <w:tr2bl w:val="nil"/>
                  </w:tcBorders>
                  <w:vAlign w:val="center"/>
                </w:tcPr>
                <w:p w14:paraId="5DB181B5">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18</w:t>
                  </w:r>
                </w:p>
              </w:tc>
              <w:tc>
                <w:tcPr>
                  <w:tcW w:w="1365" w:type="dxa"/>
                  <w:tcBorders>
                    <w:tl2br w:val="nil"/>
                    <w:tr2bl w:val="nil"/>
                  </w:tcBorders>
                  <w:vAlign w:val="center"/>
                </w:tcPr>
                <w:p w14:paraId="44695F5B">
                  <w:pPr>
                    <w:pStyle w:val="108"/>
                    <w:spacing w:before="135" w:line="228" w:lineRule="auto"/>
                    <w:jc w:val="center"/>
                    <w:rPr>
                      <w:color w:val="auto"/>
                      <w:highlight w:val="none"/>
                    </w:rPr>
                  </w:pPr>
                  <w:r>
                    <w:rPr>
                      <w:color w:val="auto"/>
                      <w:spacing w:val="7"/>
                      <w:highlight w:val="none"/>
                    </w:rPr>
                    <w:t>污泥回流泵</w:t>
                  </w:r>
                </w:p>
              </w:tc>
              <w:tc>
                <w:tcPr>
                  <w:tcW w:w="1560" w:type="dxa"/>
                  <w:tcBorders>
                    <w:tl2br w:val="nil"/>
                    <w:tr2bl w:val="nil"/>
                  </w:tcBorders>
                  <w:vAlign w:val="center"/>
                </w:tcPr>
                <w:p w14:paraId="1E52AFFC">
                  <w:pPr>
                    <w:pStyle w:val="108"/>
                    <w:spacing w:before="135" w:line="228" w:lineRule="auto"/>
                    <w:jc w:val="center"/>
                    <w:rPr>
                      <w:color w:val="auto"/>
                      <w:highlight w:val="none"/>
                    </w:rPr>
                  </w:pPr>
                  <w:r>
                    <w:rPr>
                      <w:color w:val="auto"/>
                      <w:spacing w:val="7"/>
                      <w:highlight w:val="none"/>
                    </w:rPr>
                    <w:t>潜污泵</w:t>
                  </w:r>
                </w:p>
              </w:tc>
              <w:tc>
                <w:tcPr>
                  <w:tcW w:w="2985" w:type="dxa"/>
                  <w:tcBorders>
                    <w:tl2br w:val="nil"/>
                    <w:tr2bl w:val="nil"/>
                  </w:tcBorders>
                  <w:vAlign w:val="center"/>
                </w:tcPr>
                <w:p w14:paraId="00090BFB">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Q=40m</w:t>
                  </w:r>
                  <w:r>
                    <w:rPr>
                      <w:rFonts w:ascii="Times New Roman" w:hAnsi="Times New Roman" w:eastAsia="Times New Roman" w:cs="Times New Roman"/>
                      <w:color w:val="auto"/>
                      <w:spacing w:val="4"/>
                      <w:position w:val="9"/>
                      <w:sz w:val="13"/>
                      <w:szCs w:val="13"/>
                      <w:highlight w:val="none"/>
                    </w:rPr>
                    <w:t>3</w:t>
                  </w:r>
                  <w:r>
                    <w:rPr>
                      <w:rFonts w:ascii="Times New Roman" w:hAnsi="Times New Roman" w:eastAsia="Times New Roman" w:cs="Times New Roman"/>
                      <w:color w:val="auto"/>
                      <w:spacing w:val="4"/>
                      <w:position w:val="3"/>
                      <w:sz w:val="20"/>
                      <w:szCs w:val="20"/>
                      <w:highlight w:val="none"/>
                    </w:rPr>
                    <w:t>/h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H=10m</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N=2.2</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159BD47F">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4C772EFC">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409DC3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525" w:type="dxa"/>
                  <w:tcBorders>
                    <w:tl2br w:val="nil"/>
                    <w:tr2bl w:val="nil"/>
                  </w:tcBorders>
                  <w:vAlign w:val="center"/>
                </w:tcPr>
                <w:p w14:paraId="3BA2B934">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8"/>
                      <w:sz w:val="20"/>
                      <w:szCs w:val="20"/>
                      <w:highlight w:val="none"/>
                    </w:rPr>
                    <w:t>19</w:t>
                  </w:r>
                </w:p>
              </w:tc>
              <w:tc>
                <w:tcPr>
                  <w:tcW w:w="1365" w:type="dxa"/>
                  <w:tcBorders>
                    <w:tl2br w:val="nil"/>
                    <w:tr2bl w:val="nil"/>
                  </w:tcBorders>
                  <w:vAlign w:val="center"/>
                </w:tcPr>
                <w:p w14:paraId="2FF17B6E">
                  <w:pPr>
                    <w:pStyle w:val="108"/>
                    <w:spacing w:before="135" w:line="228" w:lineRule="auto"/>
                    <w:jc w:val="center"/>
                    <w:rPr>
                      <w:color w:val="auto"/>
                      <w:highlight w:val="none"/>
                    </w:rPr>
                  </w:pPr>
                  <w:r>
                    <w:rPr>
                      <w:color w:val="auto"/>
                      <w:spacing w:val="8"/>
                      <w:highlight w:val="none"/>
                    </w:rPr>
                    <w:t>剩余污泥泵</w:t>
                  </w:r>
                </w:p>
              </w:tc>
              <w:tc>
                <w:tcPr>
                  <w:tcW w:w="1560" w:type="dxa"/>
                  <w:tcBorders>
                    <w:tl2br w:val="nil"/>
                    <w:tr2bl w:val="nil"/>
                  </w:tcBorders>
                  <w:vAlign w:val="center"/>
                </w:tcPr>
                <w:p w14:paraId="43B5F26F">
                  <w:pPr>
                    <w:pStyle w:val="108"/>
                    <w:spacing w:before="135" w:line="228" w:lineRule="auto"/>
                    <w:jc w:val="center"/>
                    <w:rPr>
                      <w:color w:val="auto"/>
                      <w:highlight w:val="none"/>
                    </w:rPr>
                  </w:pPr>
                  <w:r>
                    <w:rPr>
                      <w:color w:val="auto"/>
                      <w:spacing w:val="7"/>
                      <w:highlight w:val="none"/>
                    </w:rPr>
                    <w:t>潜污泵</w:t>
                  </w:r>
                </w:p>
              </w:tc>
              <w:tc>
                <w:tcPr>
                  <w:tcW w:w="2985" w:type="dxa"/>
                  <w:tcBorders>
                    <w:tl2br w:val="nil"/>
                    <w:tr2bl w:val="nil"/>
                  </w:tcBorders>
                  <w:vAlign w:val="center"/>
                </w:tcPr>
                <w:p w14:paraId="3B4001C3">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Q=10m</w:t>
                  </w:r>
                  <w:r>
                    <w:rPr>
                      <w:rFonts w:ascii="Times New Roman" w:hAnsi="Times New Roman" w:eastAsia="Times New Roman" w:cs="Times New Roman"/>
                      <w:color w:val="auto"/>
                      <w:spacing w:val="4"/>
                      <w:position w:val="9"/>
                      <w:sz w:val="13"/>
                      <w:szCs w:val="13"/>
                      <w:highlight w:val="none"/>
                    </w:rPr>
                    <w:t>3</w:t>
                  </w:r>
                  <w:r>
                    <w:rPr>
                      <w:rFonts w:ascii="Times New Roman" w:hAnsi="Times New Roman" w:eastAsia="Times New Roman" w:cs="Times New Roman"/>
                      <w:color w:val="auto"/>
                      <w:spacing w:val="4"/>
                      <w:position w:val="3"/>
                      <w:sz w:val="20"/>
                      <w:szCs w:val="20"/>
                      <w:highlight w:val="none"/>
                    </w:rPr>
                    <w:t>/h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H=10m</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N=0.75</w:t>
                  </w:r>
                  <w:r>
                    <w:rPr>
                      <w:rFonts w:hint="eastAsia" w:eastAsia="宋体" w:cs="Times New Roman"/>
                      <w:color w:val="auto"/>
                      <w:spacing w:val="4"/>
                      <w:position w:val="3"/>
                      <w:sz w:val="20"/>
                      <w:szCs w:val="20"/>
                      <w:highlight w:val="none"/>
                      <w:lang w:eastAsia="zh-CN"/>
                    </w:rPr>
                    <w:t>kW</w:t>
                  </w:r>
                </w:p>
              </w:tc>
              <w:tc>
                <w:tcPr>
                  <w:tcW w:w="795" w:type="dxa"/>
                  <w:tcBorders>
                    <w:tl2br w:val="nil"/>
                    <w:tr2bl w:val="nil"/>
                  </w:tcBorders>
                  <w:vAlign w:val="center"/>
                </w:tcPr>
                <w:p w14:paraId="3A4A37D8">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34361220">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647429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064748E2">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20</w:t>
                  </w:r>
                </w:p>
              </w:tc>
              <w:tc>
                <w:tcPr>
                  <w:tcW w:w="1365" w:type="dxa"/>
                  <w:tcBorders>
                    <w:tl2br w:val="nil"/>
                    <w:tr2bl w:val="nil"/>
                  </w:tcBorders>
                  <w:vAlign w:val="center"/>
                </w:tcPr>
                <w:p w14:paraId="66E4FC0A">
                  <w:pPr>
                    <w:pStyle w:val="108"/>
                    <w:spacing w:before="134" w:line="228" w:lineRule="auto"/>
                    <w:jc w:val="center"/>
                    <w:rPr>
                      <w:color w:val="auto"/>
                      <w:highlight w:val="none"/>
                    </w:rPr>
                  </w:pPr>
                  <w:r>
                    <w:rPr>
                      <w:color w:val="auto"/>
                      <w:spacing w:val="8"/>
                      <w:highlight w:val="none"/>
                    </w:rPr>
                    <w:t>反应池搅拌器</w:t>
                  </w:r>
                </w:p>
              </w:tc>
              <w:tc>
                <w:tcPr>
                  <w:tcW w:w="1560" w:type="dxa"/>
                  <w:tcBorders>
                    <w:tl2br w:val="nil"/>
                    <w:tr2bl w:val="nil"/>
                  </w:tcBorders>
                  <w:vAlign w:val="center"/>
                </w:tcPr>
                <w:p w14:paraId="2CBE9E61">
                  <w:pPr>
                    <w:pStyle w:val="108"/>
                    <w:spacing w:before="134" w:line="228" w:lineRule="auto"/>
                    <w:jc w:val="center"/>
                    <w:rPr>
                      <w:color w:val="auto"/>
                      <w:highlight w:val="none"/>
                    </w:rPr>
                  </w:pPr>
                  <w:r>
                    <w:rPr>
                      <w:color w:val="auto"/>
                      <w:spacing w:val="8"/>
                      <w:highlight w:val="none"/>
                    </w:rPr>
                    <w:t>桨叶式搅拌机</w:t>
                  </w:r>
                </w:p>
              </w:tc>
              <w:tc>
                <w:tcPr>
                  <w:tcW w:w="2985" w:type="dxa"/>
                  <w:tcBorders>
                    <w:tl2br w:val="nil"/>
                    <w:tr2bl w:val="nil"/>
                  </w:tcBorders>
                  <w:vAlign w:val="center"/>
                </w:tcPr>
                <w:p w14:paraId="236A9091">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position w:val="3"/>
                      <w:sz w:val="20"/>
                      <w:szCs w:val="20"/>
                      <w:highlight w:val="none"/>
                    </w:rPr>
                    <w:t>N=1.1</w:t>
                  </w:r>
                  <w:r>
                    <w:rPr>
                      <w:rFonts w:ascii="Times New Roman" w:hAnsi="Times New Roman" w:eastAsia="Times New Roman" w:cs="Times New Roman"/>
                      <w:color w:val="auto"/>
                      <w:position w:val="3"/>
                      <w:sz w:val="20"/>
                      <w:szCs w:val="20"/>
                      <w:highlight w:val="none"/>
                    </w:rPr>
                    <w:t>kW</w:t>
                  </w:r>
                  <w:r>
                    <w:rPr>
                      <w:rFonts w:hint="eastAsia" w:ascii="Times New Roman" w:hAnsi="Times New Roman" w:eastAsia="宋体" w:cs="Times New Roman"/>
                      <w:color w:val="auto"/>
                      <w:position w:val="3"/>
                      <w:sz w:val="20"/>
                      <w:szCs w:val="20"/>
                      <w:highlight w:val="none"/>
                      <w:lang w:eastAsia="zh-CN"/>
                    </w:rPr>
                    <w:t>，</w:t>
                  </w:r>
                  <w:r>
                    <w:rPr>
                      <w:rFonts w:ascii="Times New Roman" w:hAnsi="Times New Roman" w:eastAsia="Times New Roman" w:cs="Times New Roman"/>
                      <w:color w:val="auto"/>
                      <w:spacing w:val="3"/>
                      <w:position w:val="3"/>
                      <w:sz w:val="20"/>
                      <w:szCs w:val="20"/>
                      <w:highlight w:val="none"/>
                    </w:rPr>
                    <w:t>R=96</w:t>
                  </w:r>
                  <w:r>
                    <w:rPr>
                      <w:rFonts w:ascii="Times New Roman" w:hAnsi="Times New Roman" w:eastAsia="Times New Roman" w:cs="Times New Roman"/>
                      <w:color w:val="auto"/>
                      <w:position w:val="3"/>
                      <w:sz w:val="20"/>
                      <w:szCs w:val="20"/>
                      <w:highlight w:val="none"/>
                    </w:rPr>
                    <w:t>rpm</w:t>
                  </w:r>
                </w:p>
              </w:tc>
              <w:tc>
                <w:tcPr>
                  <w:tcW w:w="795" w:type="dxa"/>
                  <w:tcBorders>
                    <w:tl2br w:val="nil"/>
                    <w:tr2bl w:val="nil"/>
                  </w:tcBorders>
                  <w:vAlign w:val="center"/>
                </w:tcPr>
                <w:p w14:paraId="7675A002">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2638085A">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05D0DF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525" w:type="dxa"/>
                  <w:tcBorders>
                    <w:tl2br w:val="nil"/>
                    <w:tr2bl w:val="nil"/>
                  </w:tcBorders>
                  <w:vAlign w:val="center"/>
                </w:tcPr>
                <w:p w14:paraId="529E582F">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21</w:t>
                  </w:r>
                </w:p>
              </w:tc>
              <w:tc>
                <w:tcPr>
                  <w:tcW w:w="1365" w:type="dxa"/>
                  <w:tcBorders>
                    <w:tl2br w:val="nil"/>
                    <w:tr2bl w:val="nil"/>
                  </w:tcBorders>
                  <w:vAlign w:val="center"/>
                </w:tcPr>
                <w:p w14:paraId="3CA2A0F4">
                  <w:pPr>
                    <w:pStyle w:val="108"/>
                    <w:spacing w:before="130" w:line="228" w:lineRule="auto"/>
                    <w:jc w:val="center"/>
                    <w:rPr>
                      <w:color w:val="auto"/>
                      <w:highlight w:val="none"/>
                    </w:rPr>
                  </w:pPr>
                  <w:r>
                    <w:rPr>
                      <w:color w:val="auto"/>
                      <w:spacing w:val="7"/>
                      <w:highlight w:val="none"/>
                    </w:rPr>
                    <w:t>絮凝池搅拌器</w:t>
                  </w:r>
                </w:p>
              </w:tc>
              <w:tc>
                <w:tcPr>
                  <w:tcW w:w="1560" w:type="dxa"/>
                  <w:tcBorders>
                    <w:tl2br w:val="nil"/>
                    <w:tr2bl w:val="nil"/>
                  </w:tcBorders>
                  <w:vAlign w:val="center"/>
                </w:tcPr>
                <w:p w14:paraId="5E52E768">
                  <w:pPr>
                    <w:pStyle w:val="108"/>
                    <w:spacing w:before="130" w:line="228" w:lineRule="auto"/>
                    <w:jc w:val="center"/>
                    <w:rPr>
                      <w:color w:val="auto"/>
                      <w:highlight w:val="none"/>
                    </w:rPr>
                  </w:pPr>
                  <w:r>
                    <w:rPr>
                      <w:color w:val="auto"/>
                      <w:spacing w:val="8"/>
                      <w:highlight w:val="none"/>
                    </w:rPr>
                    <w:t>桨叶式搅拌机</w:t>
                  </w:r>
                </w:p>
              </w:tc>
              <w:tc>
                <w:tcPr>
                  <w:tcW w:w="2985" w:type="dxa"/>
                  <w:tcBorders>
                    <w:tl2br w:val="nil"/>
                    <w:tr2bl w:val="nil"/>
                  </w:tcBorders>
                  <w:vAlign w:val="center"/>
                </w:tcPr>
                <w:p w14:paraId="5C768EE8">
                  <w:pPr>
                    <w:spacing w:before="99"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N=0.55</w:t>
                  </w:r>
                  <w:r>
                    <w:rPr>
                      <w:rFonts w:ascii="Times New Roman" w:hAnsi="Times New Roman" w:eastAsia="Times New Roman" w:cs="Times New Roman"/>
                      <w:color w:val="auto"/>
                      <w:position w:val="3"/>
                      <w:sz w:val="20"/>
                      <w:szCs w:val="20"/>
                      <w:highlight w:val="none"/>
                    </w:rPr>
                    <w:t>kW</w:t>
                  </w:r>
                  <w:r>
                    <w:rPr>
                      <w:rFonts w:hint="eastAsia" w:ascii="Times New Roman" w:hAnsi="Times New Roman" w:eastAsia="宋体" w:cs="Times New Roman"/>
                      <w:color w:val="auto"/>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R=18~52</w:t>
                  </w:r>
                  <w:r>
                    <w:rPr>
                      <w:rFonts w:ascii="Times New Roman" w:hAnsi="Times New Roman" w:eastAsia="Times New Roman" w:cs="Times New Roman"/>
                      <w:color w:val="auto"/>
                      <w:position w:val="3"/>
                      <w:sz w:val="20"/>
                      <w:szCs w:val="20"/>
                      <w:highlight w:val="none"/>
                    </w:rPr>
                    <w:t>rpm</w:t>
                  </w:r>
                </w:p>
              </w:tc>
              <w:tc>
                <w:tcPr>
                  <w:tcW w:w="795" w:type="dxa"/>
                  <w:tcBorders>
                    <w:tl2br w:val="nil"/>
                    <w:tr2bl w:val="nil"/>
                  </w:tcBorders>
                  <w:vAlign w:val="center"/>
                </w:tcPr>
                <w:p w14:paraId="0F225932">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002BBEF1">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3F7FC4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525" w:type="dxa"/>
                  <w:tcBorders>
                    <w:tl2br w:val="nil"/>
                    <w:tr2bl w:val="nil"/>
                  </w:tcBorders>
                  <w:vAlign w:val="center"/>
                </w:tcPr>
                <w:p w14:paraId="0E8CFD2B">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22</w:t>
                  </w:r>
                </w:p>
              </w:tc>
              <w:tc>
                <w:tcPr>
                  <w:tcW w:w="1365" w:type="dxa"/>
                  <w:tcBorders>
                    <w:tl2br w:val="nil"/>
                    <w:tr2bl w:val="nil"/>
                  </w:tcBorders>
                  <w:vAlign w:val="center"/>
                </w:tcPr>
                <w:p w14:paraId="49D39F83">
                  <w:pPr>
                    <w:pStyle w:val="108"/>
                    <w:spacing w:before="130" w:line="228" w:lineRule="auto"/>
                    <w:jc w:val="center"/>
                    <w:rPr>
                      <w:color w:val="auto"/>
                      <w:highlight w:val="none"/>
                    </w:rPr>
                  </w:pPr>
                  <w:r>
                    <w:rPr>
                      <w:color w:val="auto"/>
                      <w:spacing w:val="7"/>
                      <w:highlight w:val="none"/>
                    </w:rPr>
                    <w:t>高密池刮泥机</w:t>
                  </w:r>
                </w:p>
              </w:tc>
              <w:tc>
                <w:tcPr>
                  <w:tcW w:w="1560" w:type="dxa"/>
                  <w:tcBorders>
                    <w:tl2br w:val="nil"/>
                    <w:tr2bl w:val="nil"/>
                  </w:tcBorders>
                  <w:vAlign w:val="center"/>
                </w:tcPr>
                <w:p w14:paraId="102C5B26">
                  <w:pPr>
                    <w:pStyle w:val="108"/>
                    <w:spacing w:before="130" w:line="228" w:lineRule="auto"/>
                    <w:jc w:val="center"/>
                    <w:rPr>
                      <w:color w:val="auto"/>
                      <w:highlight w:val="none"/>
                    </w:rPr>
                  </w:pPr>
                  <w:r>
                    <w:rPr>
                      <w:color w:val="auto"/>
                      <w:spacing w:val="5"/>
                      <w:highlight w:val="none"/>
                    </w:rPr>
                    <w:t>中心传动刮泥机</w:t>
                  </w:r>
                </w:p>
              </w:tc>
              <w:tc>
                <w:tcPr>
                  <w:tcW w:w="2985" w:type="dxa"/>
                  <w:tcBorders>
                    <w:tl2br w:val="nil"/>
                    <w:tr2bl w:val="nil"/>
                  </w:tcBorders>
                  <w:vAlign w:val="center"/>
                </w:tcPr>
                <w:p w14:paraId="28FB5988">
                  <w:pPr>
                    <w:pStyle w:val="108"/>
                    <w:spacing w:before="102" w:line="274" w:lineRule="exact"/>
                    <w:jc w:val="center"/>
                    <w:rPr>
                      <w:rFonts w:ascii="Times New Roman" w:hAnsi="Times New Roman" w:eastAsia="Times New Roman" w:cs="Times New Roman"/>
                      <w:color w:val="auto"/>
                      <w:highlight w:val="none"/>
                    </w:rPr>
                  </w:pPr>
                  <w:r>
                    <w:rPr>
                      <w:color w:val="auto"/>
                      <w:spacing w:val="5"/>
                      <w:position w:val="2"/>
                      <w:highlight w:val="none"/>
                    </w:rPr>
                    <w:t>直边高度</w:t>
                  </w:r>
                  <w:r>
                    <w:rPr>
                      <w:rFonts w:ascii="Times New Roman" w:hAnsi="Times New Roman" w:eastAsia="Times New Roman" w:cs="Times New Roman"/>
                      <w:color w:val="auto"/>
                      <w:spacing w:val="5"/>
                      <w:position w:val="2"/>
                      <w:highlight w:val="none"/>
                    </w:rPr>
                    <w:t>4.0m</w:t>
                  </w:r>
                  <w:r>
                    <w:rPr>
                      <w:rFonts w:hint="eastAsia" w:ascii="Times New Roman" w:hAnsi="Times New Roman" w:cs="Times New Roman"/>
                      <w:color w:val="auto"/>
                      <w:spacing w:val="5"/>
                      <w:position w:val="2"/>
                      <w:highlight w:val="none"/>
                      <w:lang w:eastAsia="zh-CN"/>
                    </w:rPr>
                    <w:t>，</w:t>
                  </w:r>
                  <w:r>
                    <w:rPr>
                      <w:rFonts w:ascii="Times New Roman" w:hAnsi="Times New Roman" w:eastAsia="Times New Roman" w:cs="Times New Roman"/>
                      <w:color w:val="auto"/>
                      <w:spacing w:val="5"/>
                      <w:position w:val="2"/>
                      <w:highlight w:val="none"/>
                    </w:rPr>
                    <w:t>N=0.37</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68E8C2F4">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02F2FA61">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47DB8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25" w:type="dxa"/>
                  <w:tcBorders>
                    <w:tl2br w:val="nil"/>
                    <w:tr2bl w:val="nil"/>
                  </w:tcBorders>
                  <w:vAlign w:val="center"/>
                </w:tcPr>
                <w:p w14:paraId="0CA46715">
                  <w:pPr>
                    <w:spacing w:before="16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23</w:t>
                  </w:r>
                </w:p>
              </w:tc>
              <w:tc>
                <w:tcPr>
                  <w:tcW w:w="1365" w:type="dxa"/>
                  <w:tcBorders>
                    <w:tl2br w:val="nil"/>
                    <w:tr2bl w:val="nil"/>
                  </w:tcBorders>
                  <w:vAlign w:val="center"/>
                </w:tcPr>
                <w:p w14:paraId="2F98A3D8">
                  <w:pPr>
                    <w:pStyle w:val="108"/>
                    <w:spacing w:before="131" w:line="228" w:lineRule="auto"/>
                    <w:jc w:val="center"/>
                    <w:rPr>
                      <w:color w:val="auto"/>
                      <w:highlight w:val="none"/>
                    </w:rPr>
                  </w:pPr>
                  <w:r>
                    <w:rPr>
                      <w:color w:val="auto"/>
                      <w:spacing w:val="7"/>
                      <w:highlight w:val="none"/>
                    </w:rPr>
                    <w:t>污泥循环泵</w:t>
                  </w:r>
                </w:p>
              </w:tc>
              <w:tc>
                <w:tcPr>
                  <w:tcW w:w="1560" w:type="dxa"/>
                  <w:tcBorders>
                    <w:tl2br w:val="nil"/>
                    <w:tr2bl w:val="nil"/>
                  </w:tcBorders>
                  <w:vAlign w:val="center"/>
                </w:tcPr>
                <w:p w14:paraId="6A4992E0">
                  <w:pPr>
                    <w:pStyle w:val="108"/>
                    <w:spacing w:before="131" w:line="228" w:lineRule="auto"/>
                    <w:jc w:val="center"/>
                    <w:rPr>
                      <w:color w:val="auto"/>
                      <w:highlight w:val="none"/>
                    </w:rPr>
                  </w:pPr>
                  <w:r>
                    <w:rPr>
                      <w:color w:val="auto"/>
                      <w:spacing w:val="6"/>
                      <w:highlight w:val="none"/>
                    </w:rPr>
                    <w:t>螺杆泵</w:t>
                  </w:r>
                </w:p>
              </w:tc>
              <w:tc>
                <w:tcPr>
                  <w:tcW w:w="2985" w:type="dxa"/>
                  <w:tcBorders>
                    <w:tl2br w:val="nil"/>
                    <w:tr2bl w:val="nil"/>
                  </w:tcBorders>
                  <w:vAlign w:val="center"/>
                </w:tcPr>
                <w:p w14:paraId="3CF97A03">
                  <w:pPr>
                    <w:spacing w:before="102"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Q=4m</w:t>
                  </w:r>
                  <w:r>
                    <w:rPr>
                      <w:rFonts w:ascii="Times New Roman" w:hAnsi="Times New Roman" w:eastAsia="Times New Roman" w:cs="Times New Roman"/>
                      <w:color w:val="auto"/>
                      <w:spacing w:val="4"/>
                      <w:position w:val="9"/>
                      <w:sz w:val="13"/>
                      <w:szCs w:val="13"/>
                      <w:highlight w:val="none"/>
                    </w:rPr>
                    <w:t>3</w:t>
                  </w:r>
                  <w:r>
                    <w:rPr>
                      <w:rFonts w:ascii="Times New Roman" w:hAnsi="Times New Roman" w:eastAsia="Times New Roman" w:cs="Times New Roman"/>
                      <w:color w:val="auto"/>
                      <w:spacing w:val="4"/>
                      <w:position w:val="3"/>
                      <w:sz w:val="20"/>
                      <w:szCs w:val="20"/>
                      <w:highlight w:val="none"/>
                    </w:rPr>
                    <w:t>/h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H=30m</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N=1.5</w:t>
                  </w:r>
                  <w:r>
                    <w:rPr>
                      <w:rFonts w:hint="eastAsia" w:eastAsia="宋体" w:cs="Times New Roman"/>
                      <w:color w:val="auto"/>
                      <w:spacing w:val="4"/>
                      <w:position w:val="3"/>
                      <w:sz w:val="20"/>
                      <w:szCs w:val="20"/>
                      <w:highlight w:val="none"/>
                      <w:lang w:eastAsia="zh-CN"/>
                    </w:rPr>
                    <w:t>kW</w:t>
                  </w:r>
                </w:p>
              </w:tc>
              <w:tc>
                <w:tcPr>
                  <w:tcW w:w="795" w:type="dxa"/>
                  <w:tcBorders>
                    <w:tl2br w:val="nil"/>
                    <w:tr2bl w:val="nil"/>
                  </w:tcBorders>
                  <w:vAlign w:val="center"/>
                </w:tcPr>
                <w:p w14:paraId="312B0198">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2D1BC9C3">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4ED80D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25" w:type="dxa"/>
                  <w:tcBorders>
                    <w:tl2br w:val="nil"/>
                    <w:tr2bl w:val="nil"/>
                  </w:tcBorders>
                  <w:vAlign w:val="center"/>
                </w:tcPr>
                <w:p w14:paraId="5B36A3BB">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24</w:t>
                  </w:r>
                </w:p>
              </w:tc>
              <w:tc>
                <w:tcPr>
                  <w:tcW w:w="1365" w:type="dxa"/>
                  <w:tcBorders>
                    <w:tl2br w:val="nil"/>
                    <w:tr2bl w:val="nil"/>
                  </w:tcBorders>
                  <w:vAlign w:val="center"/>
                </w:tcPr>
                <w:p w14:paraId="7A6005CA">
                  <w:pPr>
                    <w:pStyle w:val="108"/>
                    <w:spacing w:before="131" w:line="228" w:lineRule="auto"/>
                    <w:jc w:val="center"/>
                    <w:rPr>
                      <w:color w:val="auto"/>
                      <w:highlight w:val="none"/>
                    </w:rPr>
                  </w:pPr>
                  <w:r>
                    <w:rPr>
                      <w:color w:val="auto"/>
                      <w:spacing w:val="7"/>
                      <w:highlight w:val="none"/>
                    </w:rPr>
                    <w:t>污泥排放泵</w:t>
                  </w:r>
                </w:p>
              </w:tc>
              <w:tc>
                <w:tcPr>
                  <w:tcW w:w="1560" w:type="dxa"/>
                  <w:tcBorders>
                    <w:tl2br w:val="nil"/>
                    <w:tr2bl w:val="nil"/>
                  </w:tcBorders>
                  <w:vAlign w:val="center"/>
                </w:tcPr>
                <w:p w14:paraId="6D5FAE0D">
                  <w:pPr>
                    <w:pStyle w:val="108"/>
                    <w:spacing w:before="131" w:line="228" w:lineRule="auto"/>
                    <w:jc w:val="center"/>
                    <w:rPr>
                      <w:color w:val="auto"/>
                      <w:highlight w:val="none"/>
                    </w:rPr>
                  </w:pPr>
                  <w:r>
                    <w:rPr>
                      <w:color w:val="auto"/>
                      <w:spacing w:val="6"/>
                      <w:highlight w:val="none"/>
                    </w:rPr>
                    <w:t>螺杆泵</w:t>
                  </w:r>
                </w:p>
              </w:tc>
              <w:tc>
                <w:tcPr>
                  <w:tcW w:w="2985" w:type="dxa"/>
                  <w:tcBorders>
                    <w:tl2br w:val="nil"/>
                    <w:tr2bl w:val="nil"/>
                  </w:tcBorders>
                  <w:vAlign w:val="center"/>
                </w:tcPr>
                <w:p w14:paraId="0855EFF8">
                  <w:pPr>
                    <w:spacing w:before="102" w:line="275"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Q=4m</w:t>
                  </w:r>
                  <w:r>
                    <w:rPr>
                      <w:rFonts w:ascii="Times New Roman" w:hAnsi="Times New Roman" w:eastAsia="Times New Roman" w:cs="Times New Roman"/>
                      <w:color w:val="auto"/>
                      <w:spacing w:val="4"/>
                      <w:position w:val="9"/>
                      <w:sz w:val="13"/>
                      <w:szCs w:val="13"/>
                      <w:highlight w:val="none"/>
                    </w:rPr>
                    <w:t>3</w:t>
                  </w:r>
                  <w:r>
                    <w:rPr>
                      <w:rFonts w:ascii="Times New Roman" w:hAnsi="Times New Roman" w:eastAsia="Times New Roman" w:cs="Times New Roman"/>
                      <w:color w:val="auto"/>
                      <w:spacing w:val="4"/>
                      <w:position w:val="3"/>
                      <w:sz w:val="20"/>
                      <w:szCs w:val="20"/>
                      <w:highlight w:val="none"/>
                    </w:rPr>
                    <w:t>/h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H=30m</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N=1.5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3D069026">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333CE127">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3ECFEA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25" w:type="dxa"/>
                  <w:tcBorders>
                    <w:tl2br w:val="nil"/>
                    <w:tr2bl w:val="nil"/>
                  </w:tcBorders>
                  <w:vAlign w:val="center"/>
                </w:tcPr>
                <w:p w14:paraId="10A7DD70">
                  <w:pPr>
                    <w:spacing w:before="19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25</w:t>
                  </w:r>
                </w:p>
              </w:tc>
              <w:tc>
                <w:tcPr>
                  <w:tcW w:w="1365" w:type="dxa"/>
                  <w:tcBorders>
                    <w:tl2br w:val="nil"/>
                    <w:tr2bl w:val="nil"/>
                  </w:tcBorders>
                  <w:vAlign w:val="center"/>
                </w:tcPr>
                <w:p w14:paraId="1CF43A02">
                  <w:pPr>
                    <w:pStyle w:val="108"/>
                    <w:spacing w:before="152" w:line="228" w:lineRule="auto"/>
                    <w:jc w:val="center"/>
                    <w:rPr>
                      <w:color w:val="auto"/>
                      <w:highlight w:val="none"/>
                    </w:rPr>
                  </w:pPr>
                  <w:r>
                    <w:rPr>
                      <w:color w:val="auto"/>
                      <w:spacing w:val="7"/>
                      <w:highlight w:val="none"/>
                    </w:rPr>
                    <w:t>滤布过滤器</w:t>
                  </w:r>
                </w:p>
              </w:tc>
              <w:tc>
                <w:tcPr>
                  <w:tcW w:w="1560" w:type="dxa"/>
                  <w:tcBorders>
                    <w:tl2br w:val="nil"/>
                    <w:tr2bl w:val="nil"/>
                  </w:tcBorders>
                  <w:vAlign w:val="center"/>
                </w:tcPr>
                <w:p w14:paraId="3228ECB6">
                  <w:pPr>
                    <w:pStyle w:val="108"/>
                    <w:spacing w:before="152" w:line="228" w:lineRule="auto"/>
                    <w:jc w:val="center"/>
                    <w:rPr>
                      <w:color w:val="auto"/>
                      <w:highlight w:val="none"/>
                    </w:rPr>
                  </w:pPr>
                  <w:r>
                    <w:rPr>
                      <w:color w:val="auto"/>
                      <w:spacing w:val="7"/>
                      <w:highlight w:val="none"/>
                    </w:rPr>
                    <w:t>滤布过滤器</w:t>
                  </w:r>
                </w:p>
              </w:tc>
              <w:tc>
                <w:tcPr>
                  <w:tcW w:w="2985" w:type="dxa"/>
                  <w:tcBorders>
                    <w:tl2br w:val="nil"/>
                    <w:tr2bl w:val="nil"/>
                  </w:tcBorders>
                  <w:vAlign w:val="center"/>
                </w:tcPr>
                <w:p w14:paraId="5D2CFB2E">
                  <w:pPr>
                    <w:pStyle w:val="108"/>
                    <w:spacing w:before="124" w:line="274" w:lineRule="exact"/>
                    <w:jc w:val="center"/>
                    <w:rPr>
                      <w:rFonts w:ascii="Times New Roman" w:hAnsi="Times New Roman" w:eastAsia="Times New Roman" w:cs="Times New Roman"/>
                      <w:color w:val="auto"/>
                      <w:highlight w:val="none"/>
                    </w:rPr>
                  </w:pPr>
                  <w:r>
                    <w:rPr>
                      <w:color w:val="auto"/>
                      <w:spacing w:val="4"/>
                      <w:position w:val="1"/>
                      <w:highlight w:val="none"/>
                    </w:rPr>
                    <w:t>处理能力</w:t>
                  </w:r>
                  <w:r>
                    <w:rPr>
                      <w:rFonts w:ascii="Times New Roman" w:hAnsi="Times New Roman" w:eastAsia="Times New Roman" w:cs="Times New Roman"/>
                      <w:color w:val="auto"/>
                      <w:spacing w:val="4"/>
                      <w:position w:val="1"/>
                      <w:highlight w:val="none"/>
                    </w:rPr>
                    <w:t>:1500m</w:t>
                  </w:r>
                  <w:r>
                    <w:rPr>
                      <w:rFonts w:ascii="Times New Roman" w:hAnsi="Times New Roman" w:eastAsia="Times New Roman" w:cs="Times New Roman"/>
                      <w:color w:val="auto"/>
                      <w:spacing w:val="4"/>
                      <w:position w:val="7"/>
                      <w:sz w:val="13"/>
                      <w:szCs w:val="13"/>
                      <w:highlight w:val="none"/>
                    </w:rPr>
                    <w:t>3</w:t>
                  </w:r>
                  <w:r>
                    <w:rPr>
                      <w:rFonts w:ascii="Times New Roman" w:hAnsi="Times New Roman" w:eastAsia="Times New Roman" w:cs="Times New Roman"/>
                      <w:color w:val="auto"/>
                      <w:spacing w:val="4"/>
                      <w:position w:val="1"/>
                      <w:highlight w:val="none"/>
                    </w:rPr>
                    <w:t>/d</w:t>
                  </w:r>
                </w:p>
              </w:tc>
              <w:tc>
                <w:tcPr>
                  <w:tcW w:w="795" w:type="dxa"/>
                  <w:tcBorders>
                    <w:tl2br w:val="nil"/>
                    <w:tr2bl w:val="nil"/>
                  </w:tcBorders>
                  <w:vAlign w:val="center"/>
                </w:tcPr>
                <w:p w14:paraId="25B49644">
                  <w:pPr>
                    <w:pStyle w:val="108"/>
                    <w:spacing w:before="152" w:line="231" w:lineRule="auto"/>
                    <w:jc w:val="center"/>
                    <w:rPr>
                      <w:color w:val="auto"/>
                      <w:highlight w:val="none"/>
                    </w:rPr>
                  </w:pPr>
                  <w:r>
                    <w:rPr>
                      <w:color w:val="auto"/>
                      <w:highlight w:val="none"/>
                    </w:rPr>
                    <w:t>台</w:t>
                  </w:r>
                </w:p>
              </w:tc>
              <w:tc>
                <w:tcPr>
                  <w:tcW w:w="780" w:type="dxa"/>
                  <w:tcBorders>
                    <w:tl2br w:val="nil"/>
                    <w:tr2bl w:val="nil"/>
                  </w:tcBorders>
                  <w:vAlign w:val="center"/>
                </w:tcPr>
                <w:p w14:paraId="2BE69CD4">
                  <w:pPr>
                    <w:spacing w:before="19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C4B69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25" w:type="dxa"/>
                  <w:tcBorders>
                    <w:tl2br w:val="nil"/>
                    <w:tr2bl w:val="nil"/>
                  </w:tcBorders>
                  <w:vAlign w:val="center"/>
                </w:tcPr>
                <w:p w14:paraId="04225A70">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26</w:t>
                  </w:r>
                </w:p>
              </w:tc>
              <w:tc>
                <w:tcPr>
                  <w:tcW w:w="1365" w:type="dxa"/>
                  <w:tcBorders>
                    <w:tl2br w:val="nil"/>
                    <w:tr2bl w:val="nil"/>
                  </w:tcBorders>
                  <w:vAlign w:val="center"/>
                </w:tcPr>
                <w:p w14:paraId="5F2A49DD">
                  <w:pPr>
                    <w:pStyle w:val="108"/>
                    <w:spacing w:before="132" w:line="228" w:lineRule="auto"/>
                    <w:jc w:val="center"/>
                    <w:rPr>
                      <w:color w:val="auto"/>
                      <w:highlight w:val="none"/>
                    </w:rPr>
                  </w:pPr>
                  <w:r>
                    <w:rPr>
                      <w:color w:val="auto"/>
                      <w:spacing w:val="7"/>
                      <w:highlight w:val="none"/>
                    </w:rPr>
                    <w:t>滤布反洗泵</w:t>
                  </w:r>
                </w:p>
              </w:tc>
              <w:tc>
                <w:tcPr>
                  <w:tcW w:w="1560" w:type="dxa"/>
                  <w:tcBorders>
                    <w:tl2br w:val="nil"/>
                    <w:tr2bl w:val="nil"/>
                  </w:tcBorders>
                  <w:vAlign w:val="center"/>
                </w:tcPr>
                <w:p w14:paraId="7A674AD4">
                  <w:pPr>
                    <w:pStyle w:val="108"/>
                    <w:spacing w:before="133" w:line="228" w:lineRule="auto"/>
                    <w:jc w:val="center"/>
                    <w:rPr>
                      <w:color w:val="auto"/>
                      <w:highlight w:val="none"/>
                    </w:rPr>
                  </w:pPr>
                  <w:r>
                    <w:rPr>
                      <w:color w:val="auto"/>
                      <w:spacing w:val="6"/>
                      <w:highlight w:val="none"/>
                    </w:rPr>
                    <w:t>真空泵</w:t>
                  </w:r>
                </w:p>
              </w:tc>
              <w:tc>
                <w:tcPr>
                  <w:tcW w:w="2985" w:type="dxa"/>
                  <w:tcBorders>
                    <w:tl2br w:val="nil"/>
                    <w:tr2bl w:val="nil"/>
                  </w:tcBorders>
                  <w:vAlign w:val="center"/>
                </w:tcPr>
                <w:p w14:paraId="5CFD889B">
                  <w:pPr>
                    <w:pStyle w:val="108"/>
                    <w:spacing w:before="132" w:line="228" w:lineRule="auto"/>
                    <w:jc w:val="center"/>
                    <w:rPr>
                      <w:color w:val="auto"/>
                      <w:highlight w:val="none"/>
                    </w:rPr>
                  </w:pPr>
                  <w:r>
                    <w:rPr>
                      <w:color w:val="auto"/>
                      <w:spacing w:val="8"/>
                      <w:highlight w:val="none"/>
                    </w:rPr>
                    <w:t>滤布过滤器配套</w:t>
                  </w:r>
                </w:p>
              </w:tc>
              <w:tc>
                <w:tcPr>
                  <w:tcW w:w="795" w:type="dxa"/>
                  <w:tcBorders>
                    <w:tl2br w:val="nil"/>
                    <w:tr2bl w:val="nil"/>
                  </w:tcBorders>
                  <w:vAlign w:val="center"/>
                </w:tcPr>
                <w:p w14:paraId="37244867">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08E2D7B0">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1985F8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25" w:type="dxa"/>
                  <w:tcBorders>
                    <w:tl2br w:val="nil"/>
                    <w:tr2bl w:val="nil"/>
                  </w:tcBorders>
                  <w:vAlign w:val="center"/>
                </w:tcPr>
                <w:p w14:paraId="4C8754FE">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27</w:t>
                  </w:r>
                </w:p>
              </w:tc>
              <w:tc>
                <w:tcPr>
                  <w:tcW w:w="1365" w:type="dxa"/>
                  <w:tcBorders>
                    <w:tl2br w:val="nil"/>
                    <w:tr2bl w:val="nil"/>
                  </w:tcBorders>
                  <w:vAlign w:val="center"/>
                </w:tcPr>
                <w:p w14:paraId="3D4768DA">
                  <w:pPr>
                    <w:pStyle w:val="108"/>
                    <w:spacing w:before="132" w:line="228" w:lineRule="auto"/>
                    <w:jc w:val="center"/>
                    <w:rPr>
                      <w:color w:val="auto"/>
                      <w:highlight w:val="none"/>
                    </w:rPr>
                  </w:pPr>
                  <w:r>
                    <w:rPr>
                      <w:color w:val="auto"/>
                      <w:spacing w:val="3"/>
                      <w:highlight w:val="none"/>
                    </w:rPr>
                    <w:t>巴氏计量槽</w:t>
                  </w:r>
                </w:p>
              </w:tc>
              <w:tc>
                <w:tcPr>
                  <w:tcW w:w="1560" w:type="dxa"/>
                  <w:tcBorders>
                    <w:tl2br w:val="nil"/>
                    <w:tr2bl w:val="nil"/>
                  </w:tcBorders>
                  <w:vAlign w:val="center"/>
                </w:tcPr>
                <w:p w14:paraId="47CF6070">
                  <w:pPr>
                    <w:pStyle w:val="108"/>
                    <w:spacing w:before="132" w:line="229" w:lineRule="auto"/>
                    <w:jc w:val="center"/>
                    <w:rPr>
                      <w:color w:val="auto"/>
                      <w:highlight w:val="none"/>
                    </w:rPr>
                  </w:pPr>
                  <w:r>
                    <w:rPr>
                      <w:color w:val="auto"/>
                      <w:spacing w:val="6"/>
                      <w:highlight w:val="none"/>
                    </w:rPr>
                    <w:t>成套设备</w:t>
                  </w:r>
                </w:p>
              </w:tc>
              <w:tc>
                <w:tcPr>
                  <w:tcW w:w="2985" w:type="dxa"/>
                  <w:tcBorders>
                    <w:tl2br w:val="nil"/>
                    <w:tr2bl w:val="nil"/>
                  </w:tcBorders>
                  <w:vAlign w:val="center"/>
                </w:tcPr>
                <w:p w14:paraId="066DC74E">
                  <w:pPr>
                    <w:pStyle w:val="108"/>
                    <w:spacing w:before="103" w:line="275" w:lineRule="exact"/>
                    <w:jc w:val="center"/>
                    <w:rPr>
                      <w:color w:val="auto"/>
                      <w:highlight w:val="none"/>
                    </w:rPr>
                  </w:pPr>
                  <w:r>
                    <w:rPr>
                      <w:rFonts w:ascii="Times New Roman" w:hAnsi="Times New Roman" w:eastAsia="Times New Roman" w:cs="Times New Roman"/>
                      <w:color w:val="auto"/>
                      <w:spacing w:val="4"/>
                      <w:position w:val="2"/>
                      <w:highlight w:val="none"/>
                    </w:rPr>
                    <w:t>Q=1.5~111L/S</w:t>
                  </w:r>
                  <w:r>
                    <w:rPr>
                      <w:rFonts w:hint="eastAsia" w:ascii="Times New Roman" w:hAnsi="Times New Roman" w:cs="Times New Roman"/>
                      <w:color w:val="auto"/>
                      <w:spacing w:val="4"/>
                      <w:position w:val="2"/>
                      <w:highlight w:val="none"/>
                      <w:lang w:eastAsia="zh-CN"/>
                    </w:rPr>
                    <w:t>，</w:t>
                  </w:r>
                  <w:r>
                    <w:rPr>
                      <w:color w:val="auto"/>
                      <w:spacing w:val="4"/>
                      <w:position w:val="2"/>
                      <w:highlight w:val="none"/>
                    </w:rPr>
                    <w:t>配套明渠流量计</w:t>
                  </w:r>
                </w:p>
              </w:tc>
              <w:tc>
                <w:tcPr>
                  <w:tcW w:w="795" w:type="dxa"/>
                  <w:tcBorders>
                    <w:tl2br w:val="nil"/>
                    <w:tr2bl w:val="nil"/>
                  </w:tcBorders>
                  <w:vAlign w:val="center"/>
                </w:tcPr>
                <w:p w14:paraId="63D67C7E">
                  <w:pPr>
                    <w:pStyle w:val="108"/>
                    <w:spacing w:before="131" w:line="231" w:lineRule="auto"/>
                    <w:jc w:val="center"/>
                    <w:rPr>
                      <w:color w:val="auto"/>
                      <w:highlight w:val="none"/>
                    </w:rPr>
                  </w:pPr>
                  <w:r>
                    <w:rPr>
                      <w:color w:val="auto"/>
                      <w:highlight w:val="none"/>
                    </w:rPr>
                    <w:t>台</w:t>
                  </w:r>
                </w:p>
              </w:tc>
              <w:tc>
                <w:tcPr>
                  <w:tcW w:w="780" w:type="dxa"/>
                  <w:tcBorders>
                    <w:tl2br w:val="nil"/>
                    <w:tr2bl w:val="nil"/>
                  </w:tcBorders>
                  <w:vAlign w:val="center"/>
                </w:tcPr>
                <w:p w14:paraId="5305C8BC">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4C5EE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62A76C66">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28</w:t>
                  </w:r>
                </w:p>
              </w:tc>
              <w:tc>
                <w:tcPr>
                  <w:tcW w:w="1365" w:type="dxa"/>
                  <w:tcBorders>
                    <w:tl2br w:val="nil"/>
                    <w:tr2bl w:val="nil"/>
                  </w:tcBorders>
                  <w:vAlign w:val="center"/>
                </w:tcPr>
                <w:p w14:paraId="4431C84A">
                  <w:pPr>
                    <w:pStyle w:val="108"/>
                    <w:spacing w:before="133" w:line="228" w:lineRule="auto"/>
                    <w:jc w:val="center"/>
                    <w:rPr>
                      <w:color w:val="auto"/>
                      <w:highlight w:val="none"/>
                    </w:rPr>
                  </w:pPr>
                  <w:r>
                    <w:rPr>
                      <w:color w:val="auto"/>
                      <w:spacing w:val="8"/>
                      <w:highlight w:val="none"/>
                    </w:rPr>
                    <w:t>浓缩机进泥泵</w:t>
                  </w:r>
                </w:p>
              </w:tc>
              <w:tc>
                <w:tcPr>
                  <w:tcW w:w="1560" w:type="dxa"/>
                  <w:tcBorders>
                    <w:tl2br w:val="nil"/>
                    <w:tr2bl w:val="nil"/>
                  </w:tcBorders>
                  <w:vAlign w:val="center"/>
                </w:tcPr>
                <w:p w14:paraId="0C88CBC0">
                  <w:pPr>
                    <w:pStyle w:val="108"/>
                    <w:spacing w:before="134" w:line="228" w:lineRule="auto"/>
                    <w:jc w:val="center"/>
                    <w:rPr>
                      <w:color w:val="auto"/>
                      <w:highlight w:val="none"/>
                    </w:rPr>
                  </w:pPr>
                  <w:r>
                    <w:rPr>
                      <w:color w:val="auto"/>
                      <w:spacing w:val="6"/>
                      <w:highlight w:val="none"/>
                    </w:rPr>
                    <w:t>螺杆泵</w:t>
                  </w:r>
                </w:p>
              </w:tc>
              <w:tc>
                <w:tcPr>
                  <w:tcW w:w="2985" w:type="dxa"/>
                  <w:tcBorders>
                    <w:tl2br w:val="nil"/>
                    <w:tr2bl w:val="nil"/>
                  </w:tcBorders>
                  <w:vAlign w:val="center"/>
                </w:tcPr>
                <w:p w14:paraId="7D1D5172">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Q=10m</w:t>
                  </w:r>
                  <w:r>
                    <w:rPr>
                      <w:rFonts w:ascii="Times New Roman" w:hAnsi="Times New Roman" w:eastAsia="Times New Roman" w:cs="Times New Roman"/>
                      <w:color w:val="auto"/>
                      <w:spacing w:val="5"/>
                      <w:position w:val="9"/>
                      <w:sz w:val="13"/>
                      <w:szCs w:val="13"/>
                      <w:highlight w:val="none"/>
                    </w:rPr>
                    <w:t>3</w:t>
                  </w:r>
                  <w:r>
                    <w:rPr>
                      <w:rFonts w:ascii="Times New Roman" w:hAnsi="Times New Roman" w:eastAsia="Times New Roman" w:cs="Times New Roman"/>
                      <w:color w:val="auto"/>
                      <w:spacing w:val="5"/>
                      <w:position w:val="3"/>
                      <w:sz w:val="20"/>
                      <w:szCs w:val="20"/>
                      <w:highlight w:val="none"/>
                    </w:rPr>
                    <w:t>/h</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H=60m</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N=4</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6F571533">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1710204F">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4E353A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7E1D6FB8">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29</w:t>
                  </w:r>
                </w:p>
              </w:tc>
              <w:tc>
                <w:tcPr>
                  <w:tcW w:w="1365" w:type="dxa"/>
                  <w:tcBorders>
                    <w:tl2br w:val="nil"/>
                    <w:tr2bl w:val="nil"/>
                  </w:tcBorders>
                  <w:vAlign w:val="center"/>
                </w:tcPr>
                <w:p w14:paraId="3EBE29DC">
                  <w:pPr>
                    <w:pStyle w:val="108"/>
                    <w:spacing w:before="133" w:line="228" w:lineRule="auto"/>
                    <w:jc w:val="center"/>
                    <w:rPr>
                      <w:color w:val="auto"/>
                      <w:highlight w:val="none"/>
                    </w:rPr>
                  </w:pPr>
                  <w:r>
                    <w:rPr>
                      <w:color w:val="auto"/>
                      <w:spacing w:val="7"/>
                      <w:highlight w:val="none"/>
                    </w:rPr>
                    <w:t>叠螺浓缩机</w:t>
                  </w:r>
                </w:p>
              </w:tc>
              <w:tc>
                <w:tcPr>
                  <w:tcW w:w="1560" w:type="dxa"/>
                  <w:tcBorders>
                    <w:tl2br w:val="nil"/>
                    <w:tr2bl w:val="nil"/>
                  </w:tcBorders>
                  <w:vAlign w:val="center"/>
                </w:tcPr>
                <w:p w14:paraId="6C19FE94">
                  <w:pPr>
                    <w:pStyle w:val="108"/>
                    <w:spacing w:before="133" w:line="228" w:lineRule="auto"/>
                    <w:jc w:val="center"/>
                    <w:rPr>
                      <w:color w:val="auto"/>
                      <w:highlight w:val="none"/>
                    </w:rPr>
                  </w:pPr>
                  <w:r>
                    <w:rPr>
                      <w:color w:val="auto"/>
                      <w:spacing w:val="7"/>
                      <w:highlight w:val="none"/>
                    </w:rPr>
                    <w:t>叠螺浓缩机</w:t>
                  </w:r>
                </w:p>
              </w:tc>
              <w:tc>
                <w:tcPr>
                  <w:tcW w:w="2985" w:type="dxa"/>
                  <w:tcBorders>
                    <w:tl2br w:val="nil"/>
                    <w:tr2bl w:val="nil"/>
                  </w:tcBorders>
                  <w:vAlign w:val="center"/>
                </w:tcPr>
                <w:p w14:paraId="3846474B">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Q=100~140</w:t>
                  </w:r>
                  <w:r>
                    <w:rPr>
                      <w:rFonts w:ascii="Times New Roman" w:hAnsi="Times New Roman" w:eastAsia="Times New Roman" w:cs="Times New Roman"/>
                      <w:color w:val="auto"/>
                      <w:position w:val="3"/>
                      <w:sz w:val="20"/>
                      <w:szCs w:val="20"/>
                      <w:highlight w:val="none"/>
                    </w:rPr>
                    <w:t>kgDS</w:t>
                  </w:r>
                  <w:r>
                    <w:rPr>
                      <w:rFonts w:ascii="Times New Roman" w:hAnsi="Times New Roman" w:eastAsia="Times New Roman" w:cs="Times New Roman"/>
                      <w:color w:val="auto"/>
                      <w:spacing w:val="5"/>
                      <w:position w:val="3"/>
                      <w:sz w:val="20"/>
                      <w:szCs w:val="20"/>
                      <w:highlight w:val="none"/>
                    </w:rPr>
                    <w:t>/h</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N=2.5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14C9694C">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7E7D34AA">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61E051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54A93074">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30</w:t>
                  </w:r>
                </w:p>
              </w:tc>
              <w:tc>
                <w:tcPr>
                  <w:tcW w:w="1365" w:type="dxa"/>
                  <w:tcBorders>
                    <w:tl2br w:val="nil"/>
                    <w:tr2bl w:val="nil"/>
                  </w:tcBorders>
                  <w:vAlign w:val="center"/>
                </w:tcPr>
                <w:p w14:paraId="3F686AAF">
                  <w:pPr>
                    <w:pStyle w:val="108"/>
                    <w:spacing w:before="133" w:line="228" w:lineRule="auto"/>
                    <w:jc w:val="center"/>
                    <w:rPr>
                      <w:color w:val="auto"/>
                      <w:highlight w:val="none"/>
                    </w:rPr>
                  </w:pPr>
                  <w:r>
                    <w:rPr>
                      <w:color w:val="auto"/>
                      <w:spacing w:val="7"/>
                      <w:highlight w:val="none"/>
                    </w:rPr>
                    <w:t>污泥调理罐</w:t>
                  </w:r>
                </w:p>
              </w:tc>
              <w:tc>
                <w:tcPr>
                  <w:tcW w:w="1560" w:type="dxa"/>
                  <w:tcBorders>
                    <w:tl2br w:val="nil"/>
                    <w:tr2bl w:val="nil"/>
                  </w:tcBorders>
                  <w:vAlign w:val="center"/>
                </w:tcPr>
                <w:p w14:paraId="5DAB4072">
                  <w:pPr>
                    <w:pStyle w:val="108"/>
                    <w:spacing w:before="133" w:line="229" w:lineRule="auto"/>
                    <w:jc w:val="center"/>
                    <w:rPr>
                      <w:color w:val="auto"/>
                      <w:highlight w:val="none"/>
                    </w:rPr>
                  </w:pPr>
                  <w:r>
                    <w:rPr>
                      <w:color w:val="auto"/>
                      <w:spacing w:val="6"/>
                      <w:highlight w:val="none"/>
                    </w:rPr>
                    <w:t>非标设备</w:t>
                  </w:r>
                </w:p>
              </w:tc>
              <w:tc>
                <w:tcPr>
                  <w:tcW w:w="2985" w:type="dxa"/>
                  <w:tcBorders>
                    <w:tl2br w:val="nil"/>
                    <w:tr2bl w:val="nil"/>
                  </w:tcBorders>
                  <w:vAlign w:val="center"/>
                </w:tcPr>
                <w:p w14:paraId="397D970D">
                  <w:pPr>
                    <w:pStyle w:val="108"/>
                    <w:spacing w:before="102" w:line="274" w:lineRule="exact"/>
                    <w:jc w:val="center"/>
                    <w:rPr>
                      <w:color w:val="auto"/>
                      <w:highlight w:val="none"/>
                    </w:rPr>
                  </w:pPr>
                  <w:r>
                    <w:rPr>
                      <w:rFonts w:ascii="Times New Roman" w:hAnsi="Times New Roman" w:eastAsia="Times New Roman" w:cs="Times New Roman"/>
                      <w:color w:val="auto"/>
                      <w:spacing w:val="4"/>
                      <w:position w:val="2"/>
                      <w:highlight w:val="none"/>
                    </w:rPr>
                    <w:t>V=10m</w:t>
                  </w:r>
                  <w:r>
                    <w:rPr>
                      <w:rFonts w:ascii="Times New Roman" w:hAnsi="Times New Roman" w:eastAsia="Times New Roman" w:cs="Times New Roman"/>
                      <w:color w:val="auto"/>
                      <w:spacing w:val="4"/>
                      <w:position w:val="8"/>
                      <w:sz w:val="13"/>
                      <w:szCs w:val="13"/>
                      <w:highlight w:val="none"/>
                    </w:rPr>
                    <w:t>3</w:t>
                  </w:r>
                  <w:r>
                    <w:rPr>
                      <w:color w:val="auto"/>
                      <w:spacing w:val="4"/>
                      <w:position w:val="2"/>
                      <w:highlight w:val="none"/>
                    </w:rPr>
                    <w:t>碳钢防腐</w:t>
                  </w:r>
                </w:p>
              </w:tc>
              <w:tc>
                <w:tcPr>
                  <w:tcW w:w="795" w:type="dxa"/>
                  <w:tcBorders>
                    <w:tl2br w:val="nil"/>
                    <w:tr2bl w:val="nil"/>
                  </w:tcBorders>
                  <w:vAlign w:val="center"/>
                </w:tcPr>
                <w:p w14:paraId="66B16A48">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1FF0D5A1">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34877F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2AB53AD4">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31</w:t>
                  </w:r>
                </w:p>
              </w:tc>
              <w:tc>
                <w:tcPr>
                  <w:tcW w:w="1365" w:type="dxa"/>
                  <w:tcBorders>
                    <w:tl2br w:val="nil"/>
                    <w:tr2bl w:val="nil"/>
                  </w:tcBorders>
                  <w:vAlign w:val="center"/>
                </w:tcPr>
                <w:p w14:paraId="1ABBB81A">
                  <w:pPr>
                    <w:pStyle w:val="108"/>
                    <w:spacing w:before="133" w:line="228" w:lineRule="auto"/>
                    <w:jc w:val="center"/>
                    <w:rPr>
                      <w:color w:val="auto"/>
                      <w:highlight w:val="none"/>
                    </w:rPr>
                  </w:pPr>
                  <w:r>
                    <w:rPr>
                      <w:color w:val="auto"/>
                      <w:spacing w:val="7"/>
                      <w:highlight w:val="none"/>
                    </w:rPr>
                    <w:t>调理罐搅拌器</w:t>
                  </w:r>
                </w:p>
              </w:tc>
              <w:tc>
                <w:tcPr>
                  <w:tcW w:w="1560" w:type="dxa"/>
                  <w:tcBorders>
                    <w:tl2br w:val="nil"/>
                    <w:tr2bl w:val="nil"/>
                  </w:tcBorders>
                  <w:vAlign w:val="center"/>
                </w:tcPr>
                <w:p w14:paraId="46C5C37C">
                  <w:pPr>
                    <w:pStyle w:val="108"/>
                    <w:spacing w:before="133" w:line="228" w:lineRule="auto"/>
                    <w:jc w:val="center"/>
                    <w:rPr>
                      <w:color w:val="auto"/>
                      <w:highlight w:val="none"/>
                    </w:rPr>
                  </w:pPr>
                  <w:r>
                    <w:rPr>
                      <w:color w:val="auto"/>
                      <w:spacing w:val="8"/>
                      <w:highlight w:val="none"/>
                    </w:rPr>
                    <w:t>桨叶式搅拌器</w:t>
                  </w:r>
                </w:p>
              </w:tc>
              <w:tc>
                <w:tcPr>
                  <w:tcW w:w="2985" w:type="dxa"/>
                  <w:tcBorders>
                    <w:tl2br w:val="nil"/>
                    <w:tr2bl w:val="nil"/>
                  </w:tcBorders>
                  <w:vAlign w:val="center"/>
                </w:tcPr>
                <w:p w14:paraId="036FCAE7">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7"/>
                      <w:position w:val="1"/>
                      <w:sz w:val="20"/>
                      <w:szCs w:val="20"/>
                      <w:highlight w:val="none"/>
                    </w:rPr>
                    <w:t>N=5.5</w:t>
                  </w:r>
                  <w:r>
                    <w:rPr>
                      <w:rFonts w:ascii="Times New Roman" w:hAnsi="Times New Roman" w:eastAsia="Times New Roman" w:cs="Times New Roman"/>
                      <w:color w:val="auto"/>
                      <w:position w:val="1"/>
                      <w:sz w:val="20"/>
                      <w:szCs w:val="20"/>
                      <w:highlight w:val="none"/>
                    </w:rPr>
                    <w:t>kW</w:t>
                  </w:r>
                </w:p>
              </w:tc>
              <w:tc>
                <w:tcPr>
                  <w:tcW w:w="795" w:type="dxa"/>
                  <w:tcBorders>
                    <w:tl2br w:val="nil"/>
                    <w:tr2bl w:val="nil"/>
                  </w:tcBorders>
                  <w:vAlign w:val="center"/>
                </w:tcPr>
                <w:p w14:paraId="4DDE6C30">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40A2B404">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3FE58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25" w:type="dxa"/>
                  <w:tcBorders>
                    <w:tl2br w:val="nil"/>
                    <w:tr2bl w:val="nil"/>
                  </w:tcBorders>
                  <w:vAlign w:val="center"/>
                </w:tcPr>
                <w:p w14:paraId="4077854E">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32</w:t>
                  </w:r>
                </w:p>
              </w:tc>
              <w:tc>
                <w:tcPr>
                  <w:tcW w:w="1365" w:type="dxa"/>
                  <w:tcBorders>
                    <w:tl2br w:val="nil"/>
                    <w:tr2bl w:val="nil"/>
                  </w:tcBorders>
                  <w:vAlign w:val="center"/>
                </w:tcPr>
                <w:p w14:paraId="4EF04B2C">
                  <w:pPr>
                    <w:pStyle w:val="108"/>
                    <w:spacing w:before="132" w:line="228" w:lineRule="auto"/>
                    <w:jc w:val="center"/>
                    <w:rPr>
                      <w:color w:val="auto"/>
                      <w:highlight w:val="none"/>
                    </w:rPr>
                  </w:pPr>
                  <w:r>
                    <w:rPr>
                      <w:color w:val="auto"/>
                      <w:spacing w:val="7"/>
                      <w:highlight w:val="none"/>
                    </w:rPr>
                    <w:t>高压板框进料泵</w:t>
                  </w:r>
                </w:p>
              </w:tc>
              <w:tc>
                <w:tcPr>
                  <w:tcW w:w="1560" w:type="dxa"/>
                  <w:tcBorders>
                    <w:tl2br w:val="nil"/>
                    <w:tr2bl w:val="nil"/>
                  </w:tcBorders>
                  <w:vAlign w:val="center"/>
                </w:tcPr>
                <w:p w14:paraId="39D2D46C">
                  <w:pPr>
                    <w:pStyle w:val="108"/>
                    <w:spacing w:before="133" w:line="228" w:lineRule="auto"/>
                    <w:jc w:val="center"/>
                    <w:rPr>
                      <w:color w:val="auto"/>
                      <w:highlight w:val="none"/>
                    </w:rPr>
                  </w:pPr>
                  <w:r>
                    <w:rPr>
                      <w:color w:val="auto"/>
                      <w:spacing w:val="6"/>
                      <w:highlight w:val="none"/>
                    </w:rPr>
                    <w:t>螺杆泵</w:t>
                  </w:r>
                </w:p>
              </w:tc>
              <w:tc>
                <w:tcPr>
                  <w:tcW w:w="2985" w:type="dxa"/>
                  <w:tcBorders>
                    <w:tl2br w:val="nil"/>
                    <w:tr2bl w:val="nil"/>
                  </w:tcBorders>
                  <w:vAlign w:val="center"/>
                </w:tcPr>
                <w:p w14:paraId="543C89C9">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position w:val="3"/>
                      <w:sz w:val="20"/>
                      <w:szCs w:val="20"/>
                      <w:highlight w:val="none"/>
                    </w:rPr>
                    <w:t>Q=10m</w:t>
                  </w:r>
                  <w:r>
                    <w:rPr>
                      <w:rFonts w:ascii="Times New Roman" w:hAnsi="Times New Roman" w:eastAsia="Times New Roman" w:cs="Times New Roman"/>
                      <w:color w:val="auto"/>
                      <w:spacing w:val="2"/>
                      <w:position w:val="9"/>
                      <w:sz w:val="13"/>
                      <w:szCs w:val="13"/>
                      <w:highlight w:val="none"/>
                    </w:rPr>
                    <w:t>3</w:t>
                  </w:r>
                  <w:r>
                    <w:rPr>
                      <w:rFonts w:ascii="Times New Roman" w:hAnsi="Times New Roman" w:eastAsia="Times New Roman" w:cs="Times New Roman"/>
                      <w:color w:val="auto"/>
                      <w:spacing w:val="2"/>
                      <w:position w:val="3"/>
                      <w:sz w:val="20"/>
                      <w:szCs w:val="20"/>
                      <w:highlight w:val="none"/>
                    </w:rPr>
                    <w:t>/h</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H=120m</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N=15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612E3354">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1BC85F65">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44DAD2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525" w:type="dxa"/>
                  <w:tcBorders>
                    <w:tl2br w:val="nil"/>
                    <w:tr2bl w:val="nil"/>
                  </w:tcBorders>
                  <w:vAlign w:val="center"/>
                </w:tcPr>
                <w:p w14:paraId="7F6D4B68">
                  <w:pPr>
                    <w:spacing w:before="5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33</w:t>
                  </w:r>
                </w:p>
              </w:tc>
              <w:tc>
                <w:tcPr>
                  <w:tcW w:w="1365" w:type="dxa"/>
                  <w:tcBorders>
                    <w:tl2br w:val="nil"/>
                    <w:tr2bl w:val="nil"/>
                  </w:tcBorders>
                  <w:vAlign w:val="center"/>
                </w:tcPr>
                <w:p w14:paraId="1D892480">
                  <w:pPr>
                    <w:pStyle w:val="108"/>
                    <w:spacing w:before="65" w:line="228" w:lineRule="auto"/>
                    <w:jc w:val="center"/>
                    <w:rPr>
                      <w:color w:val="auto"/>
                      <w:spacing w:val="7"/>
                      <w:highlight w:val="none"/>
                    </w:rPr>
                  </w:pPr>
                  <w:r>
                    <w:rPr>
                      <w:color w:val="auto"/>
                      <w:spacing w:val="7"/>
                      <w:highlight w:val="none"/>
                    </w:rPr>
                    <w:t>高压板框</w:t>
                  </w:r>
                </w:p>
                <w:p w14:paraId="590CA9FB">
                  <w:pPr>
                    <w:pStyle w:val="108"/>
                    <w:spacing w:before="65" w:line="228" w:lineRule="auto"/>
                    <w:jc w:val="center"/>
                    <w:rPr>
                      <w:color w:val="auto"/>
                      <w:highlight w:val="none"/>
                    </w:rPr>
                  </w:pPr>
                  <w:r>
                    <w:rPr>
                      <w:color w:val="auto"/>
                      <w:spacing w:val="7"/>
                      <w:highlight w:val="none"/>
                    </w:rPr>
                    <w:t>压滤机</w:t>
                  </w:r>
                </w:p>
              </w:tc>
              <w:tc>
                <w:tcPr>
                  <w:tcW w:w="1560" w:type="dxa"/>
                  <w:tcBorders>
                    <w:tl2br w:val="nil"/>
                    <w:tr2bl w:val="nil"/>
                  </w:tcBorders>
                  <w:vAlign w:val="center"/>
                </w:tcPr>
                <w:p w14:paraId="3C70A6BD">
                  <w:pPr>
                    <w:pStyle w:val="108"/>
                    <w:spacing w:before="65" w:line="229" w:lineRule="auto"/>
                    <w:jc w:val="center"/>
                    <w:rPr>
                      <w:color w:val="auto"/>
                      <w:highlight w:val="none"/>
                    </w:rPr>
                  </w:pPr>
                  <w:r>
                    <w:rPr>
                      <w:color w:val="auto"/>
                      <w:spacing w:val="6"/>
                      <w:highlight w:val="none"/>
                    </w:rPr>
                    <w:t>成套设备</w:t>
                  </w:r>
                </w:p>
              </w:tc>
              <w:tc>
                <w:tcPr>
                  <w:tcW w:w="2985" w:type="dxa"/>
                  <w:tcBorders>
                    <w:tl2br w:val="nil"/>
                    <w:tr2bl w:val="nil"/>
                  </w:tcBorders>
                  <w:vAlign w:val="center"/>
                </w:tcPr>
                <w:p w14:paraId="7BC16412">
                  <w:pPr>
                    <w:pStyle w:val="108"/>
                    <w:spacing w:before="103" w:line="240" w:lineRule="auto"/>
                    <w:ind w:right="343"/>
                    <w:jc w:val="center"/>
                    <w:rPr>
                      <w:rFonts w:ascii="Times New Roman" w:hAnsi="Times New Roman" w:eastAsia="Times New Roman" w:cs="Times New Roman"/>
                      <w:color w:val="auto"/>
                      <w:highlight w:val="none"/>
                    </w:rPr>
                  </w:pPr>
                  <w:r>
                    <w:rPr>
                      <w:color w:val="auto"/>
                      <w:spacing w:val="7"/>
                      <w:highlight w:val="none"/>
                    </w:rPr>
                    <w:t>绝干污泥处理量</w:t>
                  </w:r>
                  <w:r>
                    <w:rPr>
                      <w:rFonts w:ascii="Times New Roman" w:hAnsi="Times New Roman" w:eastAsia="Times New Roman" w:cs="Times New Roman"/>
                      <w:color w:val="auto"/>
                      <w:spacing w:val="7"/>
                      <w:highlight w:val="none"/>
                    </w:rPr>
                    <w:t>Q=200</w:t>
                  </w:r>
                  <w:r>
                    <w:rPr>
                      <w:rFonts w:ascii="Times New Roman" w:hAnsi="Times New Roman" w:eastAsia="Times New Roman" w:cs="Times New Roman"/>
                      <w:color w:val="auto"/>
                      <w:highlight w:val="none"/>
                    </w:rPr>
                    <w:t>kgDS</w:t>
                  </w:r>
                  <w:r>
                    <w:rPr>
                      <w:rFonts w:ascii="Times New Roman" w:hAnsi="Times New Roman" w:eastAsia="Times New Roman" w:cs="Times New Roman"/>
                      <w:color w:val="auto"/>
                      <w:spacing w:val="7"/>
                      <w:highlight w:val="none"/>
                    </w:rPr>
                    <w:t>/d</w:t>
                  </w:r>
                  <w:r>
                    <w:rPr>
                      <w:rFonts w:hint="eastAsia" w:ascii="Times New Roman" w:hAnsi="Times New Roman" w:cs="Times New Roman"/>
                      <w:color w:val="auto"/>
                      <w:spacing w:val="7"/>
                      <w:highlight w:val="none"/>
                      <w:lang w:eastAsia="zh-CN"/>
                    </w:rPr>
                    <w:t>。</w:t>
                  </w:r>
                  <w:r>
                    <w:rPr>
                      <w:color w:val="auto"/>
                      <w:spacing w:val="7"/>
                      <w:highlight w:val="none"/>
                    </w:rPr>
                    <w:t>过滤面积</w:t>
                  </w:r>
                  <w:r>
                    <w:rPr>
                      <w:rFonts w:ascii="Times New Roman" w:hAnsi="Times New Roman" w:eastAsia="Times New Roman" w:cs="Times New Roman"/>
                      <w:color w:val="auto"/>
                      <w:spacing w:val="2"/>
                      <w:highlight w:val="none"/>
                    </w:rPr>
                    <w:t>50m</w:t>
                  </w:r>
                  <w:r>
                    <w:rPr>
                      <w:rFonts w:ascii="Times New Roman" w:hAnsi="Times New Roman" w:eastAsia="Times New Roman" w:cs="Times New Roman"/>
                      <w:color w:val="auto"/>
                      <w:spacing w:val="2"/>
                      <w:highlight w:val="none"/>
                      <w:vertAlign w:val="superscript"/>
                    </w:rPr>
                    <w:t>2</w:t>
                  </w:r>
                  <w:r>
                    <w:rPr>
                      <w:rFonts w:hint="eastAsia" w:ascii="Times New Roman" w:hAnsi="Times New Roman" w:cs="Times New Roman"/>
                      <w:color w:val="auto"/>
                      <w:spacing w:val="2"/>
                      <w:highlight w:val="none"/>
                      <w:lang w:eastAsia="zh-CN"/>
                    </w:rPr>
                    <w:t>，</w:t>
                  </w:r>
                  <w:r>
                    <w:rPr>
                      <w:rFonts w:ascii="Times New Roman" w:hAnsi="Times New Roman" w:eastAsia="Times New Roman" w:cs="Times New Roman"/>
                      <w:color w:val="auto"/>
                      <w:spacing w:val="2"/>
                      <w:highlight w:val="none"/>
                    </w:rPr>
                    <w:t>N=11</w:t>
                  </w:r>
                  <w:r>
                    <w:rPr>
                      <w:rFonts w:ascii="Times New Roman" w:hAnsi="Times New Roman" w:eastAsia="Times New Roman" w:cs="Times New Roman"/>
                      <w:color w:val="auto"/>
                      <w:highlight w:val="none"/>
                    </w:rPr>
                    <w:t>kw</w:t>
                  </w:r>
                </w:p>
              </w:tc>
              <w:tc>
                <w:tcPr>
                  <w:tcW w:w="795" w:type="dxa"/>
                  <w:tcBorders>
                    <w:tl2br w:val="nil"/>
                    <w:tr2bl w:val="nil"/>
                  </w:tcBorders>
                  <w:vAlign w:val="center"/>
                </w:tcPr>
                <w:p w14:paraId="24846226">
                  <w:pPr>
                    <w:pStyle w:val="108"/>
                    <w:spacing w:before="65" w:line="231" w:lineRule="auto"/>
                    <w:jc w:val="center"/>
                    <w:rPr>
                      <w:color w:val="auto"/>
                      <w:highlight w:val="none"/>
                    </w:rPr>
                  </w:pPr>
                  <w:r>
                    <w:rPr>
                      <w:color w:val="auto"/>
                      <w:highlight w:val="none"/>
                    </w:rPr>
                    <w:t>台</w:t>
                  </w:r>
                </w:p>
              </w:tc>
              <w:tc>
                <w:tcPr>
                  <w:tcW w:w="780" w:type="dxa"/>
                  <w:tcBorders>
                    <w:tl2br w:val="nil"/>
                    <w:tr2bl w:val="nil"/>
                  </w:tcBorders>
                  <w:vAlign w:val="center"/>
                </w:tcPr>
                <w:p w14:paraId="036FCDE4">
                  <w:pPr>
                    <w:spacing w:before="5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7747EF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25" w:type="dxa"/>
                  <w:tcBorders>
                    <w:tl2br w:val="nil"/>
                    <w:tr2bl w:val="nil"/>
                  </w:tcBorders>
                  <w:vAlign w:val="center"/>
                </w:tcPr>
                <w:p w14:paraId="1001BF0E">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34</w:t>
                  </w:r>
                </w:p>
              </w:tc>
              <w:tc>
                <w:tcPr>
                  <w:tcW w:w="1365" w:type="dxa"/>
                  <w:tcBorders>
                    <w:tl2br w:val="nil"/>
                    <w:tr2bl w:val="nil"/>
                  </w:tcBorders>
                  <w:vAlign w:val="center"/>
                </w:tcPr>
                <w:p w14:paraId="0E67DCF2">
                  <w:pPr>
                    <w:pStyle w:val="108"/>
                    <w:spacing w:before="135" w:line="230" w:lineRule="auto"/>
                    <w:jc w:val="center"/>
                    <w:rPr>
                      <w:color w:val="auto"/>
                      <w:highlight w:val="none"/>
                    </w:rPr>
                  </w:pPr>
                  <w:r>
                    <w:rPr>
                      <w:color w:val="auto"/>
                      <w:spacing w:val="6"/>
                      <w:highlight w:val="none"/>
                    </w:rPr>
                    <w:t>污泥斗</w:t>
                  </w:r>
                </w:p>
              </w:tc>
              <w:tc>
                <w:tcPr>
                  <w:tcW w:w="1560" w:type="dxa"/>
                  <w:tcBorders>
                    <w:tl2br w:val="nil"/>
                    <w:tr2bl w:val="nil"/>
                  </w:tcBorders>
                  <w:vAlign w:val="center"/>
                </w:tcPr>
                <w:p w14:paraId="3D335E6B">
                  <w:pPr>
                    <w:pStyle w:val="108"/>
                    <w:spacing w:before="135" w:line="229" w:lineRule="auto"/>
                    <w:jc w:val="center"/>
                    <w:rPr>
                      <w:color w:val="auto"/>
                      <w:highlight w:val="none"/>
                    </w:rPr>
                  </w:pPr>
                  <w:r>
                    <w:rPr>
                      <w:color w:val="auto"/>
                      <w:spacing w:val="6"/>
                      <w:highlight w:val="none"/>
                    </w:rPr>
                    <w:t>液压泥斗</w:t>
                  </w:r>
                </w:p>
              </w:tc>
              <w:tc>
                <w:tcPr>
                  <w:tcW w:w="2985" w:type="dxa"/>
                  <w:tcBorders>
                    <w:tl2br w:val="nil"/>
                    <w:tr2bl w:val="nil"/>
                  </w:tcBorders>
                  <w:vAlign w:val="center"/>
                </w:tcPr>
                <w:p w14:paraId="40E29CD6">
                  <w:pPr>
                    <w:pStyle w:val="108"/>
                    <w:spacing w:before="134" w:line="221" w:lineRule="auto"/>
                    <w:jc w:val="center"/>
                    <w:rPr>
                      <w:color w:val="auto"/>
                      <w:highlight w:val="none"/>
                    </w:rPr>
                  </w:pPr>
                  <w:r>
                    <w:rPr>
                      <w:color w:val="auto"/>
                      <w:spacing w:val="8"/>
                      <w:highlight w:val="none"/>
                    </w:rPr>
                    <w:t>液压泥斗</w:t>
                  </w:r>
                  <w:r>
                    <w:rPr>
                      <w:rFonts w:hint="eastAsia" w:ascii="Times New Roman" w:hAnsi="Times New Roman" w:cs="Times New Roman"/>
                      <w:color w:val="auto"/>
                      <w:spacing w:val="8"/>
                      <w:highlight w:val="none"/>
                      <w:lang w:eastAsia="zh-CN"/>
                    </w:rPr>
                    <w:t>，</w:t>
                  </w:r>
                  <w:r>
                    <w:rPr>
                      <w:color w:val="auto"/>
                      <w:spacing w:val="8"/>
                      <w:highlight w:val="none"/>
                    </w:rPr>
                    <w:t>压滤机配套设备</w:t>
                  </w:r>
                </w:p>
              </w:tc>
              <w:tc>
                <w:tcPr>
                  <w:tcW w:w="795" w:type="dxa"/>
                  <w:tcBorders>
                    <w:tl2br w:val="nil"/>
                    <w:tr2bl w:val="nil"/>
                  </w:tcBorders>
                  <w:vAlign w:val="center"/>
                </w:tcPr>
                <w:p w14:paraId="1FB7CEEC">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16BE0029">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53DE2C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346460D0">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35</w:t>
                  </w:r>
                </w:p>
              </w:tc>
              <w:tc>
                <w:tcPr>
                  <w:tcW w:w="1365" w:type="dxa"/>
                  <w:tcBorders>
                    <w:tl2br w:val="nil"/>
                    <w:tr2bl w:val="nil"/>
                  </w:tcBorders>
                  <w:vAlign w:val="center"/>
                </w:tcPr>
                <w:p w14:paraId="44D870DA">
                  <w:pPr>
                    <w:pStyle w:val="108"/>
                    <w:spacing w:before="134" w:line="228" w:lineRule="auto"/>
                    <w:jc w:val="center"/>
                    <w:rPr>
                      <w:color w:val="auto"/>
                      <w:highlight w:val="none"/>
                    </w:rPr>
                  </w:pPr>
                  <w:r>
                    <w:rPr>
                      <w:color w:val="auto"/>
                      <w:spacing w:val="7"/>
                      <w:highlight w:val="none"/>
                    </w:rPr>
                    <w:t>洗布水箱</w:t>
                  </w:r>
                </w:p>
              </w:tc>
              <w:tc>
                <w:tcPr>
                  <w:tcW w:w="1560" w:type="dxa"/>
                  <w:tcBorders>
                    <w:tl2br w:val="nil"/>
                    <w:tr2bl w:val="nil"/>
                  </w:tcBorders>
                  <w:vAlign w:val="center"/>
                </w:tcPr>
                <w:p w14:paraId="4C522AB4">
                  <w:pPr>
                    <w:pStyle w:val="108"/>
                    <w:spacing w:before="134" w:line="229" w:lineRule="auto"/>
                    <w:jc w:val="center"/>
                    <w:rPr>
                      <w:color w:val="auto"/>
                      <w:highlight w:val="none"/>
                    </w:rPr>
                  </w:pPr>
                  <w:r>
                    <w:rPr>
                      <w:color w:val="auto"/>
                      <w:spacing w:val="6"/>
                      <w:highlight w:val="none"/>
                    </w:rPr>
                    <w:t>非标设备</w:t>
                  </w:r>
                </w:p>
              </w:tc>
              <w:tc>
                <w:tcPr>
                  <w:tcW w:w="2985" w:type="dxa"/>
                  <w:tcBorders>
                    <w:tl2br w:val="nil"/>
                    <w:tr2bl w:val="nil"/>
                  </w:tcBorders>
                  <w:vAlign w:val="center"/>
                </w:tcPr>
                <w:p w14:paraId="19FBE277">
                  <w:pPr>
                    <w:pStyle w:val="108"/>
                    <w:spacing w:before="104" w:line="274" w:lineRule="exact"/>
                    <w:jc w:val="center"/>
                    <w:rPr>
                      <w:color w:val="auto"/>
                      <w:highlight w:val="none"/>
                    </w:rPr>
                  </w:pPr>
                  <w:r>
                    <w:rPr>
                      <w:rFonts w:ascii="Times New Roman" w:hAnsi="Times New Roman" w:eastAsia="Times New Roman" w:cs="Times New Roman"/>
                      <w:color w:val="auto"/>
                      <w:spacing w:val="7"/>
                      <w:position w:val="2"/>
                      <w:highlight w:val="none"/>
                    </w:rPr>
                    <w:t>V=3m</w:t>
                  </w:r>
                  <w:r>
                    <w:rPr>
                      <w:rFonts w:ascii="Times New Roman" w:hAnsi="Times New Roman" w:eastAsia="Times New Roman" w:cs="Times New Roman"/>
                      <w:color w:val="auto"/>
                      <w:spacing w:val="7"/>
                      <w:position w:val="8"/>
                      <w:sz w:val="13"/>
                      <w:szCs w:val="13"/>
                      <w:highlight w:val="none"/>
                    </w:rPr>
                    <w:t>3</w:t>
                  </w:r>
                  <w:r>
                    <w:rPr>
                      <w:rFonts w:hint="eastAsia" w:ascii="Times New Roman" w:hAnsi="Times New Roman" w:cs="Times New Roman"/>
                      <w:color w:val="auto"/>
                      <w:spacing w:val="7"/>
                      <w:position w:val="2"/>
                      <w:highlight w:val="none"/>
                      <w:lang w:eastAsia="zh-CN"/>
                    </w:rPr>
                    <w:t>，</w:t>
                  </w:r>
                  <w:r>
                    <w:rPr>
                      <w:rFonts w:ascii="Times New Roman" w:hAnsi="Times New Roman" w:eastAsia="Times New Roman" w:cs="Times New Roman"/>
                      <w:color w:val="auto"/>
                      <w:position w:val="2"/>
                      <w:highlight w:val="none"/>
                    </w:rPr>
                    <w:t>PE</w:t>
                  </w:r>
                  <w:r>
                    <w:rPr>
                      <w:rFonts w:hint="eastAsia" w:ascii="Times New Roman" w:hAnsi="Times New Roman" w:cs="Times New Roman"/>
                      <w:color w:val="auto"/>
                      <w:spacing w:val="7"/>
                      <w:position w:val="2"/>
                      <w:highlight w:val="none"/>
                      <w:lang w:eastAsia="zh-CN"/>
                    </w:rPr>
                    <w:t>，</w:t>
                  </w:r>
                  <w:r>
                    <w:rPr>
                      <w:color w:val="auto"/>
                      <w:spacing w:val="7"/>
                      <w:position w:val="2"/>
                      <w:highlight w:val="none"/>
                    </w:rPr>
                    <w:t>配套液位计</w:t>
                  </w:r>
                </w:p>
              </w:tc>
              <w:tc>
                <w:tcPr>
                  <w:tcW w:w="795" w:type="dxa"/>
                  <w:tcBorders>
                    <w:tl2br w:val="nil"/>
                    <w:tr2bl w:val="nil"/>
                  </w:tcBorders>
                  <w:vAlign w:val="center"/>
                </w:tcPr>
                <w:p w14:paraId="63BF55BB">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3227FA51">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C2B43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525" w:type="dxa"/>
                  <w:tcBorders>
                    <w:tl2br w:val="nil"/>
                    <w:tr2bl w:val="nil"/>
                  </w:tcBorders>
                  <w:vAlign w:val="center"/>
                </w:tcPr>
                <w:p w14:paraId="63A320EE">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36</w:t>
                  </w:r>
                </w:p>
              </w:tc>
              <w:tc>
                <w:tcPr>
                  <w:tcW w:w="1365" w:type="dxa"/>
                  <w:tcBorders>
                    <w:tl2br w:val="nil"/>
                    <w:tr2bl w:val="nil"/>
                  </w:tcBorders>
                  <w:vAlign w:val="center"/>
                </w:tcPr>
                <w:p w14:paraId="0CCC4C25">
                  <w:pPr>
                    <w:pStyle w:val="108"/>
                    <w:spacing w:before="130" w:line="228" w:lineRule="auto"/>
                    <w:jc w:val="center"/>
                    <w:rPr>
                      <w:color w:val="auto"/>
                      <w:highlight w:val="none"/>
                    </w:rPr>
                  </w:pPr>
                  <w:r>
                    <w:rPr>
                      <w:color w:val="auto"/>
                      <w:spacing w:val="7"/>
                      <w:highlight w:val="none"/>
                    </w:rPr>
                    <w:t>洗布水泵</w:t>
                  </w:r>
                </w:p>
              </w:tc>
              <w:tc>
                <w:tcPr>
                  <w:tcW w:w="1560" w:type="dxa"/>
                  <w:tcBorders>
                    <w:tl2br w:val="nil"/>
                    <w:tr2bl w:val="nil"/>
                  </w:tcBorders>
                  <w:vAlign w:val="center"/>
                </w:tcPr>
                <w:p w14:paraId="756436F1">
                  <w:pPr>
                    <w:pStyle w:val="108"/>
                    <w:spacing w:before="130" w:line="228" w:lineRule="auto"/>
                    <w:jc w:val="center"/>
                    <w:rPr>
                      <w:color w:val="auto"/>
                      <w:highlight w:val="none"/>
                    </w:rPr>
                  </w:pPr>
                  <w:r>
                    <w:rPr>
                      <w:color w:val="auto"/>
                      <w:spacing w:val="8"/>
                      <w:highlight w:val="none"/>
                    </w:rPr>
                    <w:t>立式多级离心泵</w:t>
                  </w:r>
                </w:p>
              </w:tc>
              <w:tc>
                <w:tcPr>
                  <w:tcW w:w="2985" w:type="dxa"/>
                  <w:tcBorders>
                    <w:tl2br w:val="nil"/>
                    <w:tr2bl w:val="nil"/>
                  </w:tcBorders>
                  <w:vAlign w:val="center"/>
                </w:tcPr>
                <w:p w14:paraId="79694913">
                  <w:pPr>
                    <w:spacing w:before="99"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Q=10m</w:t>
                  </w:r>
                  <w:r>
                    <w:rPr>
                      <w:rFonts w:ascii="Times New Roman" w:hAnsi="Times New Roman" w:eastAsia="Times New Roman" w:cs="Times New Roman"/>
                      <w:color w:val="auto"/>
                      <w:spacing w:val="5"/>
                      <w:position w:val="9"/>
                      <w:sz w:val="13"/>
                      <w:szCs w:val="13"/>
                      <w:highlight w:val="none"/>
                    </w:rPr>
                    <w:t>3</w:t>
                  </w:r>
                  <w:r>
                    <w:rPr>
                      <w:rFonts w:ascii="Times New Roman" w:hAnsi="Times New Roman" w:eastAsia="Times New Roman" w:cs="Times New Roman"/>
                      <w:color w:val="auto"/>
                      <w:spacing w:val="5"/>
                      <w:position w:val="3"/>
                      <w:sz w:val="20"/>
                      <w:szCs w:val="20"/>
                      <w:highlight w:val="none"/>
                    </w:rPr>
                    <w:t>/h</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H=450m</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N=30</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115DBBCC">
                  <w:pPr>
                    <w:pStyle w:val="108"/>
                    <w:spacing w:before="130" w:line="229" w:lineRule="auto"/>
                    <w:jc w:val="center"/>
                    <w:rPr>
                      <w:color w:val="auto"/>
                      <w:highlight w:val="none"/>
                    </w:rPr>
                  </w:pPr>
                  <w:r>
                    <w:rPr>
                      <w:color w:val="auto"/>
                      <w:highlight w:val="none"/>
                    </w:rPr>
                    <w:t>套</w:t>
                  </w:r>
                </w:p>
              </w:tc>
              <w:tc>
                <w:tcPr>
                  <w:tcW w:w="780" w:type="dxa"/>
                  <w:tcBorders>
                    <w:tl2br w:val="nil"/>
                    <w:tr2bl w:val="nil"/>
                  </w:tcBorders>
                  <w:vAlign w:val="center"/>
                </w:tcPr>
                <w:p w14:paraId="5684158C">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765C80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25" w:type="dxa"/>
                  <w:tcBorders>
                    <w:tl2br w:val="nil"/>
                    <w:tr2bl w:val="nil"/>
                  </w:tcBorders>
                  <w:vAlign w:val="center"/>
                </w:tcPr>
                <w:p w14:paraId="0D9FBBC8">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37</w:t>
                  </w:r>
                </w:p>
              </w:tc>
              <w:tc>
                <w:tcPr>
                  <w:tcW w:w="1365" w:type="dxa"/>
                  <w:tcBorders>
                    <w:tl2br w:val="nil"/>
                    <w:tr2bl w:val="nil"/>
                  </w:tcBorders>
                  <w:vAlign w:val="center"/>
                </w:tcPr>
                <w:p w14:paraId="6655FDDD">
                  <w:pPr>
                    <w:pStyle w:val="108"/>
                    <w:spacing w:before="131" w:line="228" w:lineRule="auto"/>
                    <w:jc w:val="center"/>
                    <w:rPr>
                      <w:color w:val="auto"/>
                      <w:highlight w:val="none"/>
                    </w:rPr>
                  </w:pPr>
                  <w:r>
                    <w:rPr>
                      <w:color w:val="auto"/>
                      <w:spacing w:val="7"/>
                      <w:highlight w:val="none"/>
                    </w:rPr>
                    <w:t>压榨水箱</w:t>
                  </w:r>
                </w:p>
              </w:tc>
              <w:tc>
                <w:tcPr>
                  <w:tcW w:w="1560" w:type="dxa"/>
                  <w:tcBorders>
                    <w:tl2br w:val="nil"/>
                    <w:tr2bl w:val="nil"/>
                  </w:tcBorders>
                  <w:vAlign w:val="center"/>
                </w:tcPr>
                <w:p w14:paraId="39B5EF5B">
                  <w:pPr>
                    <w:pStyle w:val="108"/>
                    <w:spacing w:before="131" w:line="229" w:lineRule="auto"/>
                    <w:jc w:val="center"/>
                    <w:rPr>
                      <w:color w:val="auto"/>
                      <w:highlight w:val="none"/>
                    </w:rPr>
                  </w:pPr>
                  <w:r>
                    <w:rPr>
                      <w:color w:val="auto"/>
                      <w:spacing w:val="6"/>
                      <w:highlight w:val="none"/>
                    </w:rPr>
                    <w:t>非标设备</w:t>
                  </w:r>
                </w:p>
              </w:tc>
              <w:tc>
                <w:tcPr>
                  <w:tcW w:w="2985" w:type="dxa"/>
                  <w:tcBorders>
                    <w:tl2br w:val="nil"/>
                    <w:tr2bl w:val="nil"/>
                  </w:tcBorders>
                  <w:vAlign w:val="center"/>
                </w:tcPr>
                <w:p w14:paraId="1A8F06ED">
                  <w:pPr>
                    <w:pStyle w:val="108"/>
                    <w:spacing w:before="102" w:line="274" w:lineRule="exact"/>
                    <w:jc w:val="center"/>
                    <w:rPr>
                      <w:color w:val="auto"/>
                      <w:highlight w:val="none"/>
                    </w:rPr>
                  </w:pPr>
                  <w:r>
                    <w:rPr>
                      <w:rFonts w:ascii="Times New Roman" w:hAnsi="Times New Roman" w:eastAsia="Times New Roman" w:cs="Times New Roman"/>
                      <w:color w:val="auto"/>
                      <w:spacing w:val="7"/>
                      <w:position w:val="2"/>
                      <w:highlight w:val="none"/>
                    </w:rPr>
                    <w:t>V=2m</w:t>
                  </w:r>
                  <w:r>
                    <w:rPr>
                      <w:rFonts w:ascii="Times New Roman" w:hAnsi="Times New Roman" w:eastAsia="Times New Roman" w:cs="Times New Roman"/>
                      <w:color w:val="auto"/>
                      <w:spacing w:val="7"/>
                      <w:position w:val="8"/>
                      <w:sz w:val="13"/>
                      <w:szCs w:val="13"/>
                      <w:highlight w:val="none"/>
                    </w:rPr>
                    <w:t>3</w:t>
                  </w:r>
                  <w:r>
                    <w:rPr>
                      <w:rFonts w:hint="eastAsia" w:ascii="Times New Roman" w:hAnsi="Times New Roman" w:cs="Times New Roman"/>
                      <w:color w:val="auto"/>
                      <w:spacing w:val="7"/>
                      <w:position w:val="2"/>
                      <w:highlight w:val="none"/>
                      <w:lang w:eastAsia="zh-CN"/>
                    </w:rPr>
                    <w:t>，</w:t>
                  </w:r>
                  <w:r>
                    <w:rPr>
                      <w:rFonts w:ascii="Times New Roman" w:hAnsi="Times New Roman" w:eastAsia="Times New Roman" w:cs="Times New Roman"/>
                      <w:color w:val="auto"/>
                      <w:position w:val="2"/>
                      <w:highlight w:val="none"/>
                    </w:rPr>
                    <w:t>PE</w:t>
                  </w:r>
                  <w:r>
                    <w:rPr>
                      <w:rFonts w:hint="eastAsia" w:ascii="Times New Roman" w:hAnsi="Times New Roman" w:cs="Times New Roman"/>
                      <w:color w:val="auto"/>
                      <w:spacing w:val="7"/>
                      <w:position w:val="2"/>
                      <w:highlight w:val="none"/>
                      <w:lang w:eastAsia="zh-CN"/>
                    </w:rPr>
                    <w:t>，</w:t>
                  </w:r>
                  <w:r>
                    <w:rPr>
                      <w:color w:val="auto"/>
                      <w:spacing w:val="7"/>
                      <w:position w:val="2"/>
                      <w:highlight w:val="none"/>
                    </w:rPr>
                    <w:t>配套液位计</w:t>
                  </w:r>
                </w:p>
              </w:tc>
              <w:tc>
                <w:tcPr>
                  <w:tcW w:w="795" w:type="dxa"/>
                  <w:tcBorders>
                    <w:tl2br w:val="nil"/>
                    <w:tr2bl w:val="nil"/>
                  </w:tcBorders>
                  <w:vAlign w:val="center"/>
                </w:tcPr>
                <w:p w14:paraId="5E8B541C">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3104DAF9">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64C8E3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25" w:type="dxa"/>
                  <w:tcBorders>
                    <w:tl2br w:val="nil"/>
                    <w:tr2bl w:val="nil"/>
                  </w:tcBorders>
                  <w:vAlign w:val="center"/>
                </w:tcPr>
                <w:p w14:paraId="300AAE65">
                  <w:pPr>
                    <w:spacing w:before="16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38</w:t>
                  </w:r>
                </w:p>
              </w:tc>
              <w:tc>
                <w:tcPr>
                  <w:tcW w:w="1365" w:type="dxa"/>
                  <w:tcBorders>
                    <w:tl2br w:val="nil"/>
                    <w:tr2bl w:val="nil"/>
                  </w:tcBorders>
                  <w:vAlign w:val="center"/>
                </w:tcPr>
                <w:p w14:paraId="31694B8E">
                  <w:pPr>
                    <w:pStyle w:val="108"/>
                    <w:spacing w:before="131" w:line="228" w:lineRule="auto"/>
                    <w:jc w:val="center"/>
                    <w:rPr>
                      <w:color w:val="auto"/>
                      <w:highlight w:val="none"/>
                    </w:rPr>
                  </w:pPr>
                  <w:r>
                    <w:rPr>
                      <w:color w:val="auto"/>
                      <w:spacing w:val="7"/>
                      <w:highlight w:val="none"/>
                    </w:rPr>
                    <w:t>压榨水泵</w:t>
                  </w:r>
                </w:p>
              </w:tc>
              <w:tc>
                <w:tcPr>
                  <w:tcW w:w="1560" w:type="dxa"/>
                  <w:tcBorders>
                    <w:tl2br w:val="nil"/>
                    <w:tr2bl w:val="nil"/>
                  </w:tcBorders>
                  <w:vAlign w:val="center"/>
                </w:tcPr>
                <w:p w14:paraId="241C3002">
                  <w:pPr>
                    <w:pStyle w:val="108"/>
                    <w:spacing w:before="131" w:line="228" w:lineRule="auto"/>
                    <w:jc w:val="center"/>
                    <w:rPr>
                      <w:color w:val="auto"/>
                      <w:highlight w:val="none"/>
                    </w:rPr>
                  </w:pPr>
                  <w:r>
                    <w:rPr>
                      <w:color w:val="auto"/>
                      <w:spacing w:val="8"/>
                      <w:highlight w:val="none"/>
                    </w:rPr>
                    <w:t>立式多级离心泵</w:t>
                  </w:r>
                </w:p>
              </w:tc>
              <w:tc>
                <w:tcPr>
                  <w:tcW w:w="2985" w:type="dxa"/>
                  <w:tcBorders>
                    <w:tl2br w:val="nil"/>
                    <w:tr2bl w:val="nil"/>
                  </w:tcBorders>
                  <w:vAlign w:val="center"/>
                </w:tcPr>
                <w:p w14:paraId="1FE065A3">
                  <w:pPr>
                    <w:spacing w:before="102"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Q=5m</w:t>
                  </w:r>
                  <w:r>
                    <w:rPr>
                      <w:rFonts w:ascii="Times New Roman" w:hAnsi="Times New Roman" w:eastAsia="Times New Roman" w:cs="Times New Roman"/>
                      <w:color w:val="auto"/>
                      <w:spacing w:val="5"/>
                      <w:position w:val="9"/>
                      <w:sz w:val="13"/>
                      <w:szCs w:val="13"/>
                      <w:highlight w:val="none"/>
                    </w:rPr>
                    <w:t>3</w:t>
                  </w:r>
                  <w:r>
                    <w:rPr>
                      <w:rFonts w:ascii="Times New Roman" w:hAnsi="Times New Roman" w:eastAsia="Times New Roman" w:cs="Times New Roman"/>
                      <w:color w:val="auto"/>
                      <w:spacing w:val="5"/>
                      <w:position w:val="3"/>
                      <w:sz w:val="20"/>
                      <w:szCs w:val="20"/>
                      <w:highlight w:val="none"/>
                    </w:rPr>
                    <w:t>/h</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H=200m</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N=5.5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7F5F7D92">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773CAB19">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5D3298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525" w:type="dxa"/>
                  <w:tcBorders>
                    <w:tl2br w:val="nil"/>
                    <w:tr2bl w:val="nil"/>
                  </w:tcBorders>
                  <w:vAlign w:val="center"/>
                </w:tcPr>
                <w:p w14:paraId="7CD9E843">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39</w:t>
                  </w:r>
                </w:p>
              </w:tc>
              <w:tc>
                <w:tcPr>
                  <w:tcW w:w="1365" w:type="dxa"/>
                  <w:tcBorders>
                    <w:tl2br w:val="nil"/>
                    <w:tr2bl w:val="nil"/>
                  </w:tcBorders>
                  <w:vAlign w:val="center"/>
                </w:tcPr>
                <w:p w14:paraId="43476A15">
                  <w:pPr>
                    <w:pStyle w:val="108"/>
                    <w:spacing w:before="130" w:line="228" w:lineRule="auto"/>
                    <w:jc w:val="center"/>
                    <w:rPr>
                      <w:color w:val="auto"/>
                      <w:highlight w:val="none"/>
                    </w:rPr>
                  </w:pPr>
                  <w:r>
                    <w:rPr>
                      <w:color w:val="auto"/>
                      <w:spacing w:val="4"/>
                      <w:highlight w:val="none"/>
                    </w:rPr>
                    <w:t>空压机</w:t>
                  </w:r>
                </w:p>
              </w:tc>
              <w:tc>
                <w:tcPr>
                  <w:tcW w:w="1560" w:type="dxa"/>
                  <w:tcBorders>
                    <w:tl2br w:val="nil"/>
                    <w:tr2bl w:val="nil"/>
                  </w:tcBorders>
                  <w:vAlign w:val="center"/>
                </w:tcPr>
                <w:p w14:paraId="105AA95C">
                  <w:pPr>
                    <w:pStyle w:val="108"/>
                    <w:spacing w:before="130" w:line="228" w:lineRule="auto"/>
                    <w:jc w:val="center"/>
                    <w:rPr>
                      <w:color w:val="auto"/>
                      <w:highlight w:val="none"/>
                    </w:rPr>
                  </w:pPr>
                  <w:r>
                    <w:rPr>
                      <w:color w:val="auto"/>
                      <w:spacing w:val="7"/>
                      <w:highlight w:val="none"/>
                    </w:rPr>
                    <w:t>螺杆空压机</w:t>
                  </w:r>
                </w:p>
              </w:tc>
              <w:tc>
                <w:tcPr>
                  <w:tcW w:w="2985" w:type="dxa"/>
                  <w:tcBorders>
                    <w:tl2br w:val="nil"/>
                    <w:tr2bl w:val="nil"/>
                  </w:tcBorders>
                  <w:vAlign w:val="center"/>
                </w:tcPr>
                <w:p w14:paraId="5969ED29">
                  <w:pPr>
                    <w:spacing w:before="102" w:line="275"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6"/>
                      <w:position w:val="3"/>
                      <w:sz w:val="20"/>
                      <w:szCs w:val="20"/>
                      <w:highlight w:val="none"/>
                    </w:rPr>
                    <w:t>Q=1.5m</w:t>
                  </w:r>
                  <w:r>
                    <w:rPr>
                      <w:rFonts w:ascii="Times New Roman" w:hAnsi="Times New Roman" w:eastAsia="Times New Roman" w:cs="Times New Roman"/>
                      <w:color w:val="auto"/>
                      <w:spacing w:val="6"/>
                      <w:position w:val="9"/>
                      <w:sz w:val="13"/>
                      <w:szCs w:val="13"/>
                      <w:highlight w:val="none"/>
                    </w:rPr>
                    <w:t>3</w:t>
                  </w:r>
                  <w:r>
                    <w:rPr>
                      <w:rFonts w:ascii="Times New Roman" w:hAnsi="Times New Roman" w:eastAsia="Times New Roman" w:cs="Times New Roman"/>
                      <w:color w:val="auto"/>
                      <w:spacing w:val="6"/>
                      <w:position w:val="3"/>
                      <w:sz w:val="20"/>
                      <w:szCs w:val="20"/>
                      <w:highlight w:val="none"/>
                    </w:rPr>
                    <w:t>/</w:t>
                  </w:r>
                  <w:r>
                    <w:rPr>
                      <w:rFonts w:ascii="Times New Roman" w:hAnsi="Times New Roman" w:eastAsia="Times New Roman" w:cs="Times New Roman"/>
                      <w:color w:val="auto"/>
                      <w:position w:val="3"/>
                      <w:sz w:val="20"/>
                      <w:szCs w:val="20"/>
                      <w:highlight w:val="none"/>
                    </w:rPr>
                    <w:t>min</w:t>
                  </w:r>
                  <w:r>
                    <w:rPr>
                      <w:rFonts w:hint="eastAsia" w:ascii="Times New Roman" w:hAnsi="Times New Roman" w:eastAsia="宋体" w:cs="Times New Roman"/>
                      <w:color w:val="auto"/>
                      <w:spacing w:val="6"/>
                      <w:position w:val="3"/>
                      <w:sz w:val="20"/>
                      <w:szCs w:val="20"/>
                      <w:highlight w:val="none"/>
                      <w:lang w:eastAsia="zh-CN"/>
                    </w:rPr>
                    <w:t>，</w:t>
                  </w:r>
                  <w:r>
                    <w:rPr>
                      <w:rFonts w:ascii="Times New Roman" w:hAnsi="Times New Roman" w:eastAsia="Times New Roman" w:cs="Times New Roman"/>
                      <w:color w:val="auto"/>
                      <w:spacing w:val="6"/>
                      <w:position w:val="3"/>
                      <w:sz w:val="20"/>
                      <w:szCs w:val="20"/>
                      <w:highlight w:val="none"/>
                    </w:rPr>
                    <w:t>P=0.8</w:t>
                  </w:r>
                  <w:r>
                    <w:rPr>
                      <w:rFonts w:ascii="Times New Roman" w:hAnsi="Times New Roman" w:eastAsia="Times New Roman" w:cs="Times New Roman"/>
                      <w:color w:val="auto"/>
                      <w:position w:val="3"/>
                      <w:sz w:val="20"/>
                      <w:szCs w:val="20"/>
                      <w:highlight w:val="none"/>
                    </w:rPr>
                    <w:t>Mpa</w:t>
                  </w:r>
                </w:p>
              </w:tc>
              <w:tc>
                <w:tcPr>
                  <w:tcW w:w="795" w:type="dxa"/>
                  <w:tcBorders>
                    <w:tl2br w:val="nil"/>
                    <w:tr2bl w:val="nil"/>
                  </w:tcBorders>
                  <w:vAlign w:val="center"/>
                </w:tcPr>
                <w:p w14:paraId="5E57597C">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1FF9ED9D">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3D3757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3D063999">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40</w:t>
                  </w:r>
                </w:p>
              </w:tc>
              <w:tc>
                <w:tcPr>
                  <w:tcW w:w="1365" w:type="dxa"/>
                  <w:tcBorders>
                    <w:tl2br w:val="nil"/>
                    <w:tr2bl w:val="nil"/>
                  </w:tcBorders>
                  <w:vAlign w:val="center"/>
                </w:tcPr>
                <w:p w14:paraId="735565F4">
                  <w:pPr>
                    <w:pStyle w:val="108"/>
                    <w:spacing w:before="133" w:line="228" w:lineRule="auto"/>
                    <w:jc w:val="center"/>
                    <w:rPr>
                      <w:color w:val="auto"/>
                      <w:highlight w:val="none"/>
                    </w:rPr>
                  </w:pPr>
                  <w:r>
                    <w:rPr>
                      <w:color w:val="auto"/>
                      <w:spacing w:val="6"/>
                      <w:highlight w:val="none"/>
                    </w:rPr>
                    <w:t>冷干机</w:t>
                  </w:r>
                </w:p>
              </w:tc>
              <w:tc>
                <w:tcPr>
                  <w:tcW w:w="1560" w:type="dxa"/>
                  <w:tcBorders>
                    <w:tl2br w:val="nil"/>
                    <w:tr2bl w:val="nil"/>
                  </w:tcBorders>
                  <w:vAlign w:val="center"/>
                </w:tcPr>
                <w:p w14:paraId="3619E942">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1AC4A0DC">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Q=1.0m</w:t>
                  </w:r>
                  <w:r>
                    <w:rPr>
                      <w:rFonts w:ascii="Times New Roman" w:hAnsi="Times New Roman" w:eastAsia="Times New Roman" w:cs="Times New Roman"/>
                      <w:color w:val="auto"/>
                      <w:spacing w:val="5"/>
                      <w:position w:val="9"/>
                      <w:sz w:val="13"/>
                      <w:szCs w:val="13"/>
                      <w:highlight w:val="none"/>
                    </w:rPr>
                    <w:t>3</w:t>
                  </w:r>
                  <w:r>
                    <w:rPr>
                      <w:rFonts w:ascii="Times New Roman" w:hAnsi="Times New Roman" w:eastAsia="Times New Roman" w:cs="Times New Roman"/>
                      <w:color w:val="auto"/>
                      <w:spacing w:val="5"/>
                      <w:position w:val="3"/>
                      <w:sz w:val="20"/>
                      <w:szCs w:val="20"/>
                      <w:highlight w:val="none"/>
                    </w:rPr>
                    <w:t>/</w:t>
                  </w:r>
                  <w:r>
                    <w:rPr>
                      <w:rFonts w:ascii="Times New Roman" w:hAnsi="Times New Roman" w:eastAsia="Times New Roman" w:cs="Times New Roman"/>
                      <w:color w:val="auto"/>
                      <w:position w:val="3"/>
                      <w:sz w:val="20"/>
                      <w:szCs w:val="20"/>
                      <w:highlight w:val="none"/>
                    </w:rPr>
                    <w:t>min</w:t>
                  </w:r>
                </w:p>
              </w:tc>
              <w:tc>
                <w:tcPr>
                  <w:tcW w:w="795" w:type="dxa"/>
                  <w:tcBorders>
                    <w:tl2br w:val="nil"/>
                    <w:tr2bl w:val="nil"/>
                  </w:tcBorders>
                  <w:vAlign w:val="center"/>
                </w:tcPr>
                <w:p w14:paraId="0FF7F88F">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0310ADA3">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13E533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13CE1ED1">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41</w:t>
                  </w:r>
                </w:p>
              </w:tc>
              <w:tc>
                <w:tcPr>
                  <w:tcW w:w="1365" w:type="dxa"/>
                  <w:tcBorders>
                    <w:tl2br w:val="nil"/>
                    <w:tr2bl w:val="nil"/>
                  </w:tcBorders>
                  <w:vAlign w:val="center"/>
                </w:tcPr>
                <w:p w14:paraId="7202EFB5">
                  <w:pPr>
                    <w:pStyle w:val="108"/>
                    <w:spacing w:before="134" w:line="228" w:lineRule="auto"/>
                    <w:jc w:val="center"/>
                    <w:rPr>
                      <w:color w:val="auto"/>
                      <w:highlight w:val="none"/>
                    </w:rPr>
                  </w:pPr>
                  <w:r>
                    <w:rPr>
                      <w:color w:val="auto"/>
                      <w:spacing w:val="4"/>
                      <w:highlight w:val="none"/>
                    </w:rPr>
                    <w:t>吹扫气罐</w:t>
                  </w:r>
                </w:p>
              </w:tc>
              <w:tc>
                <w:tcPr>
                  <w:tcW w:w="1560" w:type="dxa"/>
                  <w:tcBorders>
                    <w:tl2br w:val="nil"/>
                    <w:tr2bl w:val="nil"/>
                  </w:tcBorders>
                  <w:vAlign w:val="center"/>
                </w:tcPr>
                <w:p w14:paraId="014CAE42">
                  <w:pPr>
                    <w:pStyle w:val="108"/>
                    <w:spacing w:before="134" w:line="228" w:lineRule="auto"/>
                    <w:jc w:val="center"/>
                    <w:rPr>
                      <w:color w:val="auto"/>
                      <w:highlight w:val="none"/>
                    </w:rPr>
                  </w:pPr>
                  <w:r>
                    <w:rPr>
                      <w:color w:val="auto"/>
                      <w:spacing w:val="7"/>
                      <w:highlight w:val="none"/>
                    </w:rPr>
                    <w:t>立式储罐</w:t>
                  </w:r>
                </w:p>
              </w:tc>
              <w:tc>
                <w:tcPr>
                  <w:tcW w:w="2985" w:type="dxa"/>
                  <w:tcBorders>
                    <w:tl2br w:val="nil"/>
                    <w:tr2bl w:val="nil"/>
                  </w:tcBorders>
                  <w:vAlign w:val="center"/>
                </w:tcPr>
                <w:p w14:paraId="12FC976D">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position w:val="2"/>
                      <w:sz w:val="20"/>
                      <w:szCs w:val="20"/>
                      <w:highlight w:val="none"/>
                    </w:rPr>
                    <w:t>V=3.0m</w:t>
                  </w:r>
                  <w:r>
                    <w:rPr>
                      <w:rFonts w:ascii="Times New Roman" w:hAnsi="Times New Roman" w:eastAsia="Times New Roman" w:cs="Times New Roman"/>
                      <w:color w:val="auto"/>
                      <w:spacing w:val="2"/>
                      <w:position w:val="8"/>
                      <w:sz w:val="13"/>
                      <w:szCs w:val="13"/>
                      <w:highlight w:val="none"/>
                    </w:rPr>
                    <w:t>3</w:t>
                  </w:r>
                  <w:r>
                    <w:rPr>
                      <w:rFonts w:hint="eastAsia" w:ascii="Times New Roman" w:hAnsi="Times New Roman" w:cs="Times New Roman"/>
                      <w:color w:val="auto"/>
                      <w:spacing w:val="6"/>
                      <w:highlight w:val="none"/>
                      <w:lang w:eastAsia="zh-CN"/>
                    </w:rPr>
                    <w:t>，</w:t>
                  </w:r>
                  <w:r>
                    <w:rPr>
                      <w:rFonts w:ascii="Times New Roman" w:hAnsi="Times New Roman" w:eastAsia="Times New Roman" w:cs="Times New Roman"/>
                      <w:color w:val="auto"/>
                      <w:spacing w:val="2"/>
                      <w:position w:val="2"/>
                      <w:sz w:val="20"/>
                      <w:szCs w:val="20"/>
                      <w:highlight w:val="none"/>
                    </w:rPr>
                    <w:t>1.0</w:t>
                  </w:r>
                  <w:r>
                    <w:rPr>
                      <w:rFonts w:ascii="Times New Roman" w:hAnsi="Times New Roman" w:eastAsia="Times New Roman" w:cs="Times New Roman"/>
                      <w:color w:val="auto"/>
                      <w:position w:val="2"/>
                      <w:sz w:val="20"/>
                      <w:szCs w:val="20"/>
                      <w:highlight w:val="none"/>
                    </w:rPr>
                    <w:t>MPa</w:t>
                  </w:r>
                </w:p>
              </w:tc>
              <w:tc>
                <w:tcPr>
                  <w:tcW w:w="795" w:type="dxa"/>
                  <w:tcBorders>
                    <w:tl2br w:val="nil"/>
                    <w:tr2bl w:val="nil"/>
                  </w:tcBorders>
                  <w:vAlign w:val="center"/>
                </w:tcPr>
                <w:p w14:paraId="693F20EA">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038F7114">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540EAE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4207A411">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42</w:t>
                  </w:r>
                </w:p>
              </w:tc>
              <w:tc>
                <w:tcPr>
                  <w:tcW w:w="1365" w:type="dxa"/>
                  <w:tcBorders>
                    <w:tl2br w:val="nil"/>
                    <w:tr2bl w:val="nil"/>
                  </w:tcBorders>
                  <w:vAlign w:val="center"/>
                </w:tcPr>
                <w:p w14:paraId="2547CC33">
                  <w:pPr>
                    <w:pStyle w:val="108"/>
                    <w:spacing w:before="133" w:line="228" w:lineRule="auto"/>
                    <w:jc w:val="center"/>
                    <w:rPr>
                      <w:color w:val="auto"/>
                      <w:highlight w:val="none"/>
                    </w:rPr>
                  </w:pPr>
                  <w:r>
                    <w:rPr>
                      <w:color w:val="auto"/>
                      <w:spacing w:val="7"/>
                      <w:highlight w:val="none"/>
                    </w:rPr>
                    <w:t>仪表气罐</w:t>
                  </w:r>
                </w:p>
              </w:tc>
              <w:tc>
                <w:tcPr>
                  <w:tcW w:w="1560" w:type="dxa"/>
                  <w:tcBorders>
                    <w:tl2br w:val="nil"/>
                    <w:tr2bl w:val="nil"/>
                  </w:tcBorders>
                  <w:vAlign w:val="center"/>
                </w:tcPr>
                <w:p w14:paraId="2F48EF7F">
                  <w:pPr>
                    <w:pStyle w:val="108"/>
                    <w:spacing w:before="133" w:line="228" w:lineRule="auto"/>
                    <w:jc w:val="center"/>
                    <w:rPr>
                      <w:color w:val="auto"/>
                      <w:highlight w:val="none"/>
                    </w:rPr>
                  </w:pPr>
                  <w:r>
                    <w:rPr>
                      <w:color w:val="auto"/>
                      <w:spacing w:val="7"/>
                      <w:highlight w:val="none"/>
                    </w:rPr>
                    <w:t>立式储罐</w:t>
                  </w:r>
                </w:p>
              </w:tc>
              <w:tc>
                <w:tcPr>
                  <w:tcW w:w="2985" w:type="dxa"/>
                  <w:tcBorders>
                    <w:tl2br w:val="nil"/>
                    <w:tr2bl w:val="nil"/>
                  </w:tcBorders>
                  <w:vAlign w:val="center"/>
                </w:tcPr>
                <w:p w14:paraId="33BB134C">
                  <w:pPr>
                    <w:spacing w:before="102"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position w:val="2"/>
                      <w:sz w:val="20"/>
                      <w:szCs w:val="20"/>
                      <w:highlight w:val="none"/>
                    </w:rPr>
                    <w:t>V=0.5m</w:t>
                  </w:r>
                  <w:r>
                    <w:rPr>
                      <w:rFonts w:ascii="Times New Roman" w:hAnsi="Times New Roman" w:eastAsia="Times New Roman" w:cs="Times New Roman"/>
                      <w:color w:val="auto"/>
                      <w:spacing w:val="3"/>
                      <w:position w:val="8"/>
                      <w:sz w:val="13"/>
                      <w:szCs w:val="13"/>
                      <w:highlight w:val="none"/>
                    </w:rPr>
                    <w:t>3</w:t>
                  </w:r>
                  <w:r>
                    <w:rPr>
                      <w:rFonts w:hint="eastAsia" w:ascii="Times New Roman" w:hAnsi="Times New Roman" w:cs="Times New Roman"/>
                      <w:color w:val="auto"/>
                      <w:spacing w:val="6"/>
                      <w:highlight w:val="none"/>
                      <w:lang w:eastAsia="zh-CN"/>
                    </w:rPr>
                    <w:t>，</w:t>
                  </w:r>
                  <w:r>
                    <w:rPr>
                      <w:rFonts w:ascii="Times New Roman" w:hAnsi="Times New Roman" w:eastAsia="Times New Roman" w:cs="Times New Roman"/>
                      <w:color w:val="auto"/>
                      <w:spacing w:val="2"/>
                      <w:position w:val="2"/>
                      <w:sz w:val="20"/>
                      <w:szCs w:val="20"/>
                      <w:highlight w:val="none"/>
                    </w:rPr>
                    <w:t>1.0</w:t>
                  </w:r>
                  <w:r>
                    <w:rPr>
                      <w:rFonts w:ascii="Times New Roman" w:hAnsi="Times New Roman" w:eastAsia="Times New Roman" w:cs="Times New Roman"/>
                      <w:color w:val="auto"/>
                      <w:position w:val="2"/>
                      <w:sz w:val="20"/>
                      <w:szCs w:val="20"/>
                      <w:highlight w:val="none"/>
                    </w:rPr>
                    <w:t>MPa</w:t>
                  </w:r>
                </w:p>
              </w:tc>
              <w:tc>
                <w:tcPr>
                  <w:tcW w:w="795" w:type="dxa"/>
                  <w:tcBorders>
                    <w:tl2br w:val="nil"/>
                    <w:tr2bl w:val="nil"/>
                  </w:tcBorders>
                  <w:vAlign w:val="center"/>
                </w:tcPr>
                <w:p w14:paraId="2C3759CA">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2745D8BC">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5092D0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525" w:type="dxa"/>
                  <w:tcBorders>
                    <w:tl2br w:val="nil"/>
                    <w:tr2bl w:val="nil"/>
                  </w:tcBorders>
                  <w:vAlign w:val="center"/>
                </w:tcPr>
                <w:p w14:paraId="11CADF0F">
                  <w:pPr>
                    <w:spacing w:before="5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43</w:t>
                  </w:r>
                </w:p>
              </w:tc>
              <w:tc>
                <w:tcPr>
                  <w:tcW w:w="1365" w:type="dxa"/>
                  <w:tcBorders>
                    <w:tl2br w:val="nil"/>
                    <w:tr2bl w:val="nil"/>
                  </w:tcBorders>
                  <w:vAlign w:val="center"/>
                </w:tcPr>
                <w:p w14:paraId="4A950E74">
                  <w:pPr>
                    <w:pStyle w:val="108"/>
                    <w:spacing w:before="65" w:line="228" w:lineRule="auto"/>
                    <w:jc w:val="center"/>
                    <w:rPr>
                      <w:color w:val="auto"/>
                      <w:highlight w:val="none"/>
                    </w:rPr>
                  </w:pPr>
                  <w:r>
                    <w:rPr>
                      <w:color w:val="auto"/>
                      <w:spacing w:val="8"/>
                      <w:highlight w:val="none"/>
                    </w:rPr>
                    <w:t>石灰干粉投加装置</w:t>
                  </w:r>
                </w:p>
              </w:tc>
              <w:tc>
                <w:tcPr>
                  <w:tcW w:w="1560" w:type="dxa"/>
                  <w:tcBorders>
                    <w:tl2br w:val="nil"/>
                    <w:tr2bl w:val="nil"/>
                  </w:tcBorders>
                  <w:vAlign w:val="center"/>
                </w:tcPr>
                <w:p w14:paraId="59992E84">
                  <w:pPr>
                    <w:pStyle w:val="108"/>
                    <w:spacing w:before="65" w:line="229" w:lineRule="auto"/>
                    <w:jc w:val="center"/>
                    <w:rPr>
                      <w:color w:val="auto"/>
                      <w:highlight w:val="none"/>
                    </w:rPr>
                  </w:pPr>
                  <w:r>
                    <w:rPr>
                      <w:color w:val="auto"/>
                      <w:spacing w:val="6"/>
                      <w:highlight w:val="none"/>
                    </w:rPr>
                    <w:t>成套设备</w:t>
                  </w:r>
                </w:p>
              </w:tc>
              <w:tc>
                <w:tcPr>
                  <w:tcW w:w="2985" w:type="dxa"/>
                  <w:tcBorders>
                    <w:tl2br w:val="nil"/>
                    <w:tr2bl w:val="nil"/>
                  </w:tcBorders>
                  <w:vAlign w:val="center"/>
                </w:tcPr>
                <w:p w14:paraId="1E51248A">
                  <w:pPr>
                    <w:pStyle w:val="108"/>
                    <w:spacing w:before="104" w:line="381" w:lineRule="auto"/>
                    <w:ind w:right="132"/>
                    <w:jc w:val="center"/>
                    <w:rPr>
                      <w:color w:val="auto"/>
                      <w:highlight w:val="none"/>
                    </w:rPr>
                  </w:pPr>
                  <w:r>
                    <w:rPr>
                      <w:rFonts w:ascii="Times New Roman" w:hAnsi="Times New Roman" w:eastAsia="Times New Roman" w:cs="Times New Roman"/>
                      <w:color w:val="auto"/>
                      <w:spacing w:val="6"/>
                      <w:highlight w:val="none"/>
                    </w:rPr>
                    <w:t>V=10m</w:t>
                  </w:r>
                  <w:r>
                    <w:rPr>
                      <w:rFonts w:ascii="Times New Roman" w:hAnsi="Times New Roman" w:eastAsia="Times New Roman" w:cs="Times New Roman"/>
                      <w:color w:val="auto"/>
                      <w:spacing w:val="6"/>
                      <w:position w:val="6"/>
                      <w:sz w:val="13"/>
                      <w:szCs w:val="13"/>
                      <w:highlight w:val="none"/>
                    </w:rPr>
                    <w:t>3</w:t>
                  </w:r>
                  <w:r>
                    <w:rPr>
                      <w:rFonts w:hint="eastAsia" w:ascii="Times New Roman" w:hAnsi="Times New Roman" w:cs="Times New Roman"/>
                      <w:color w:val="auto"/>
                      <w:spacing w:val="6"/>
                      <w:highlight w:val="none"/>
                      <w:lang w:eastAsia="zh-CN"/>
                    </w:rPr>
                    <w:t>，</w:t>
                  </w:r>
                  <w:r>
                    <w:rPr>
                      <w:rFonts w:ascii="Times New Roman" w:hAnsi="Times New Roman" w:eastAsia="Times New Roman" w:cs="Times New Roman"/>
                      <w:color w:val="auto"/>
                      <w:spacing w:val="6"/>
                      <w:highlight w:val="none"/>
                    </w:rPr>
                    <w:t>N=5.0</w:t>
                  </w:r>
                  <w:r>
                    <w:rPr>
                      <w:rFonts w:ascii="Times New Roman" w:hAnsi="Times New Roman" w:eastAsia="Times New Roman" w:cs="Times New Roman"/>
                      <w:color w:val="auto"/>
                      <w:highlight w:val="none"/>
                    </w:rPr>
                    <w:t>KW</w:t>
                  </w:r>
                  <w:r>
                    <w:rPr>
                      <w:rFonts w:hint="eastAsia" w:ascii="Times New Roman" w:hAnsi="Times New Roman" w:cs="Times New Roman"/>
                      <w:color w:val="auto"/>
                      <w:spacing w:val="6"/>
                      <w:highlight w:val="none"/>
                      <w:lang w:eastAsia="zh-CN"/>
                    </w:rPr>
                    <w:t>，</w:t>
                  </w:r>
                  <w:r>
                    <w:rPr>
                      <w:color w:val="auto"/>
                      <w:spacing w:val="6"/>
                      <w:highlight w:val="none"/>
                    </w:rPr>
                    <w:t>配套上料器、螺旋输送机</w:t>
                  </w:r>
                  <w:r>
                    <w:rPr>
                      <w:color w:val="auto"/>
                      <w:highlight w:val="none"/>
                    </w:rPr>
                    <w:t>等</w:t>
                  </w:r>
                </w:p>
              </w:tc>
              <w:tc>
                <w:tcPr>
                  <w:tcW w:w="795" w:type="dxa"/>
                  <w:tcBorders>
                    <w:tl2br w:val="nil"/>
                    <w:tr2bl w:val="nil"/>
                  </w:tcBorders>
                  <w:vAlign w:val="center"/>
                </w:tcPr>
                <w:p w14:paraId="7FC67112">
                  <w:pPr>
                    <w:pStyle w:val="108"/>
                    <w:spacing w:before="65" w:line="229" w:lineRule="auto"/>
                    <w:jc w:val="center"/>
                    <w:rPr>
                      <w:color w:val="auto"/>
                      <w:highlight w:val="none"/>
                    </w:rPr>
                  </w:pPr>
                  <w:r>
                    <w:rPr>
                      <w:color w:val="auto"/>
                      <w:highlight w:val="none"/>
                    </w:rPr>
                    <w:t>套</w:t>
                  </w:r>
                </w:p>
              </w:tc>
              <w:tc>
                <w:tcPr>
                  <w:tcW w:w="780" w:type="dxa"/>
                  <w:tcBorders>
                    <w:tl2br w:val="nil"/>
                    <w:tr2bl w:val="nil"/>
                  </w:tcBorders>
                  <w:vAlign w:val="center"/>
                </w:tcPr>
                <w:p w14:paraId="6D572D98">
                  <w:pPr>
                    <w:spacing w:before="58"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307E5D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2F472F63">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44</w:t>
                  </w:r>
                </w:p>
              </w:tc>
              <w:tc>
                <w:tcPr>
                  <w:tcW w:w="1365" w:type="dxa"/>
                  <w:tcBorders>
                    <w:tl2br w:val="nil"/>
                    <w:tr2bl w:val="nil"/>
                  </w:tcBorders>
                  <w:vAlign w:val="center"/>
                </w:tcPr>
                <w:p w14:paraId="5B18E245">
                  <w:pPr>
                    <w:pStyle w:val="108"/>
                    <w:spacing w:before="134" w:line="228" w:lineRule="auto"/>
                    <w:jc w:val="center"/>
                    <w:rPr>
                      <w:color w:val="auto"/>
                      <w:highlight w:val="none"/>
                    </w:rPr>
                  </w:pPr>
                  <w:r>
                    <w:rPr>
                      <w:color w:val="auto"/>
                      <w:spacing w:val="7"/>
                      <w:highlight w:val="none"/>
                    </w:rPr>
                    <w:t>氯化铁储罐</w:t>
                  </w:r>
                </w:p>
              </w:tc>
              <w:tc>
                <w:tcPr>
                  <w:tcW w:w="1560" w:type="dxa"/>
                  <w:tcBorders>
                    <w:tl2br w:val="nil"/>
                    <w:tr2bl w:val="nil"/>
                  </w:tcBorders>
                  <w:vAlign w:val="center"/>
                </w:tcPr>
                <w:p w14:paraId="109A1092">
                  <w:pPr>
                    <w:pStyle w:val="108"/>
                    <w:spacing w:before="133" w:line="229" w:lineRule="auto"/>
                    <w:jc w:val="center"/>
                    <w:rPr>
                      <w:color w:val="auto"/>
                      <w:highlight w:val="none"/>
                    </w:rPr>
                  </w:pPr>
                  <w:r>
                    <w:rPr>
                      <w:color w:val="auto"/>
                      <w:spacing w:val="6"/>
                      <w:highlight w:val="none"/>
                    </w:rPr>
                    <w:t>非标设备</w:t>
                  </w:r>
                </w:p>
              </w:tc>
              <w:tc>
                <w:tcPr>
                  <w:tcW w:w="2985" w:type="dxa"/>
                  <w:tcBorders>
                    <w:tl2br w:val="nil"/>
                    <w:tr2bl w:val="nil"/>
                  </w:tcBorders>
                  <w:vAlign w:val="center"/>
                </w:tcPr>
                <w:p w14:paraId="46D4C36C">
                  <w:pPr>
                    <w:pStyle w:val="108"/>
                    <w:spacing w:before="105" w:line="274" w:lineRule="exact"/>
                    <w:jc w:val="center"/>
                    <w:rPr>
                      <w:color w:val="auto"/>
                      <w:highlight w:val="none"/>
                    </w:rPr>
                  </w:pPr>
                  <w:r>
                    <w:rPr>
                      <w:rFonts w:ascii="Times New Roman" w:hAnsi="Times New Roman" w:eastAsia="Times New Roman" w:cs="Times New Roman"/>
                      <w:color w:val="auto"/>
                      <w:spacing w:val="7"/>
                      <w:position w:val="2"/>
                      <w:highlight w:val="none"/>
                    </w:rPr>
                    <w:t>V=3m</w:t>
                  </w:r>
                  <w:r>
                    <w:rPr>
                      <w:rFonts w:ascii="Times New Roman" w:hAnsi="Times New Roman" w:eastAsia="Times New Roman" w:cs="Times New Roman"/>
                      <w:color w:val="auto"/>
                      <w:spacing w:val="7"/>
                      <w:position w:val="8"/>
                      <w:sz w:val="13"/>
                      <w:szCs w:val="13"/>
                      <w:highlight w:val="none"/>
                    </w:rPr>
                    <w:t>3</w:t>
                  </w:r>
                  <w:r>
                    <w:rPr>
                      <w:rFonts w:hint="eastAsia" w:ascii="Times New Roman" w:hAnsi="Times New Roman" w:cs="Times New Roman"/>
                      <w:color w:val="auto"/>
                      <w:spacing w:val="7"/>
                      <w:position w:val="2"/>
                      <w:highlight w:val="none"/>
                      <w:lang w:eastAsia="zh-CN"/>
                    </w:rPr>
                    <w:t>，</w:t>
                  </w:r>
                  <w:r>
                    <w:rPr>
                      <w:rFonts w:ascii="Times New Roman" w:hAnsi="Times New Roman" w:eastAsia="Times New Roman" w:cs="Times New Roman"/>
                      <w:color w:val="auto"/>
                      <w:position w:val="2"/>
                      <w:highlight w:val="none"/>
                    </w:rPr>
                    <w:t>PE</w:t>
                  </w:r>
                  <w:r>
                    <w:rPr>
                      <w:rFonts w:hint="eastAsia" w:ascii="Times New Roman" w:hAnsi="Times New Roman" w:cs="Times New Roman"/>
                      <w:color w:val="auto"/>
                      <w:spacing w:val="7"/>
                      <w:position w:val="2"/>
                      <w:highlight w:val="none"/>
                      <w:lang w:eastAsia="zh-CN"/>
                    </w:rPr>
                    <w:t>，</w:t>
                  </w:r>
                  <w:r>
                    <w:rPr>
                      <w:color w:val="auto"/>
                      <w:spacing w:val="7"/>
                      <w:position w:val="2"/>
                      <w:highlight w:val="none"/>
                    </w:rPr>
                    <w:t>配套液位计</w:t>
                  </w:r>
                </w:p>
              </w:tc>
              <w:tc>
                <w:tcPr>
                  <w:tcW w:w="795" w:type="dxa"/>
                  <w:tcBorders>
                    <w:tl2br w:val="nil"/>
                    <w:tr2bl w:val="nil"/>
                  </w:tcBorders>
                  <w:vAlign w:val="center"/>
                </w:tcPr>
                <w:p w14:paraId="4DA024FF">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1ACC7FAF">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40F351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6A1F7DC0">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45</w:t>
                  </w:r>
                </w:p>
              </w:tc>
              <w:tc>
                <w:tcPr>
                  <w:tcW w:w="1365" w:type="dxa"/>
                  <w:tcBorders>
                    <w:tl2br w:val="nil"/>
                    <w:tr2bl w:val="nil"/>
                  </w:tcBorders>
                  <w:vAlign w:val="center"/>
                </w:tcPr>
                <w:p w14:paraId="5D5AA342">
                  <w:pPr>
                    <w:pStyle w:val="108"/>
                    <w:spacing w:before="133" w:line="228" w:lineRule="auto"/>
                    <w:jc w:val="center"/>
                    <w:rPr>
                      <w:color w:val="auto"/>
                      <w:highlight w:val="none"/>
                    </w:rPr>
                  </w:pPr>
                  <w:r>
                    <w:rPr>
                      <w:color w:val="auto"/>
                      <w:spacing w:val="7"/>
                      <w:highlight w:val="none"/>
                    </w:rPr>
                    <w:t>氯化铁投加泵</w:t>
                  </w:r>
                </w:p>
              </w:tc>
              <w:tc>
                <w:tcPr>
                  <w:tcW w:w="1560" w:type="dxa"/>
                  <w:tcBorders>
                    <w:tl2br w:val="nil"/>
                    <w:tr2bl w:val="nil"/>
                  </w:tcBorders>
                  <w:vAlign w:val="center"/>
                </w:tcPr>
                <w:p w14:paraId="0981B67B">
                  <w:pPr>
                    <w:pStyle w:val="108"/>
                    <w:spacing w:before="133" w:line="228" w:lineRule="auto"/>
                    <w:jc w:val="center"/>
                    <w:rPr>
                      <w:color w:val="auto"/>
                      <w:highlight w:val="none"/>
                    </w:rPr>
                  </w:pPr>
                  <w:r>
                    <w:rPr>
                      <w:color w:val="auto"/>
                      <w:spacing w:val="6"/>
                      <w:highlight w:val="none"/>
                    </w:rPr>
                    <w:t>化工泵</w:t>
                  </w:r>
                </w:p>
              </w:tc>
              <w:tc>
                <w:tcPr>
                  <w:tcW w:w="2985" w:type="dxa"/>
                  <w:tcBorders>
                    <w:tl2br w:val="nil"/>
                    <w:tr2bl w:val="nil"/>
                  </w:tcBorders>
                  <w:vAlign w:val="center"/>
                </w:tcPr>
                <w:p w14:paraId="7FA2F3F0">
                  <w:pPr>
                    <w:spacing w:before="104" w:line="275"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position w:val="3"/>
                      <w:sz w:val="20"/>
                      <w:szCs w:val="20"/>
                      <w:highlight w:val="none"/>
                    </w:rPr>
                    <w:t>Q=2m</w:t>
                  </w:r>
                  <w:r>
                    <w:rPr>
                      <w:rFonts w:ascii="Times New Roman" w:hAnsi="Times New Roman" w:eastAsia="Times New Roman" w:cs="Times New Roman"/>
                      <w:color w:val="auto"/>
                      <w:spacing w:val="2"/>
                      <w:position w:val="9"/>
                      <w:sz w:val="13"/>
                      <w:szCs w:val="13"/>
                      <w:highlight w:val="none"/>
                    </w:rPr>
                    <w:t>3</w:t>
                  </w:r>
                  <w:r>
                    <w:rPr>
                      <w:rFonts w:ascii="Times New Roman" w:hAnsi="Times New Roman" w:eastAsia="Times New Roman" w:cs="Times New Roman"/>
                      <w:color w:val="auto"/>
                      <w:spacing w:val="2"/>
                      <w:position w:val="3"/>
                      <w:sz w:val="20"/>
                      <w:szCs w:val="20"/>
                      <w:highlight w:val="none"/>
                    </w:rPr>
                    <w:t>/h</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H=20m</w:t>
                  </w:r>
                  <w:r>
                    <w:rPr>
                      <w:rFonts w:hint="eastAsia" w:ascii="Times New Roman" w:hAnsi="Times New Roman" w:eastAsia="宋体" w:cs="Times New Roman"/>
                      <w:color w:val="auto"/>
                      <w:spacing w:val="2"/>
                      <w:position w:val="3"/>
                      <w:sz w:val="20"/>
                      <w:szCs w:val="20"/>
                      <w:highlight w:val="none"/>
                      <w:lang w:eastAsia="zh-CN"/>
                    </w:rPr>
                    <w:t>，</w:t>
                  </w:r>
                  <w:r>
                    <w:rPr>
                      <w:rFonts w:ascii="Times New Roman" w:hAnsi="Times New Roman" w:eastAsia="Times New Roman" w:cs="Times New Roman"/>
                      <w:color w:val="auto"/>
                      <w:spacing w:val="2"/>
                      <w:position w:val="3"/>
                      <w:sz w:val="20"/>
                      <w:szCs w:val="20"/>
                      <w:highlight w:val="none"/>
                    </w:rPr>
                    <w:t>N=1.1</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11F10157">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2DEC64CB">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708DFD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525" w:type="dxa"/>
                  <w:tcBorders>
                    <w:tl2br w:val="nil"/>
                    <w:tr2bl w:val="nil"/>
                  </w:tcBorders>
                  <w:vAlign w:val="center"/>
                </w:tcPr>
                <w:p w14:paraId="631D04B8">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46</w:t>
                  </w:r>
                </w:p>
              </w:tc>
              <w:tc>
                <w:tcPr>
                  <w:tcW w:w="1365" w:type="dxa"/>
                  <w:tcBorders>
                    <w:tl2br w:val="nil"/>
                    <w:tr2bl w:val="nil"/>
                  </w:tcBorders>
                  <w:vAlign w:val="center"/>
                </w:tcPr>
                <w:p w14:paraId="6AEFBBFB">
                  <w:pPr>
                    <w:pStyle w:val="108"/>
                    <w:spacing w:before="135" w:line="228" w:lineRule="auto"/>
                    <w:jc w:val="center"/>
                    <w:rPr>
                      <w:color w:val="auto"/>
                      <w:highlight w:val="none"/>
                    </w:rPr>
                  </w:pPr>
                  <w:r>
                    <w:rPr>
                      <w:color w:val="auto"/>
                      <w:spacing w:val="7"/>
                      <w:highlight w:val="none"/>
                    </w:rPr>
                    <w:t>氯化铁卸料泵</w:t>
                  </w:r>
                </w:p>
              </w:tc>
              <w:tc>
                <w:tcPr>
                  <w:tcW w:w="1560" w:type="dxa"/>
                  <w:tcBorders>
                    <w:tl2br w:val="nil"/>
                    <w:tr2bl w:val="nil"/>
                  </w:tcBorders>
                  <w:vAlign w:val="center"/>
                </w:tcPr>
                <w:p w14:paraId="7D318F40">
                  <w:pPr>
                    <w:pStyle w:val="108"/>
                    <w:spacing w:before="135" w:line="228" w:lineRule="auto"/>
                    <w:jc w:val="center"/>
                    <w:rPr>
                      <w:color w:val="auto"/>
                      <w:highlight w:val="none"/>
                    </w:rPr>
                  </w:pPr>
                  <w:r>
                    <w:rPr>
                      <w:color w:val="auto"/>
                      <w:spacing w:val="6"/>
                      <w:highlight w:val="none"/>
                    </w:rPr>
                    <w:t>化工泵</w:t>
                  </w:r>
                </w:p>
              </w:tc>
              <w:tc>
                <w:tcPr>
                  <w:tcW w:w="2985" w:type="dxa"/>
                  <w:tcBorders>
                    <w:tl2br w:val="nil"/>
                    <w:tr2bl w:val="nil"/>
                  </w:tcBorders>
                  <w:vAlign w:val="center"/>
                </w:tcPr>
                <w:p w14:paraId="4761597E">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Q=5m</w:t>
                  </w:r>
                  <w:r>
                    <w:rPr>
                      <w:rFonts w:ascii="Times New Roman" w:hAnsi="Times New Roman" w:eastAsia="Times New Roman" w:cs="Times New Roman"/>
                      <w:color w:val="auto"/>
                      <w:spacing w:val="4"/>
                      <w:position w:val="9"/>
                      <w:sz w:val="13"/>
                      <w:szCs w:val="13"/>
                      <w:highlight w:val="none"/>
                    </w:rPr>
                    <w:t>3</w:t>
                  </w:r>
                  <w:r>
                    <w:rPr>
                      <w:rFonts w:ascii="Times New Roman" w:hAnsi="Times New Roman" w:eastAsia="Times New Roman" w:cs="Times New Roman"/>
                      <w:color w:val="auto"/>
                      <w:spacing w:val="4"/>
                      <w:position w:val="3"/>
                      <w:sz w:val="20"/>
                      <w:szCs w:val="20"/>
                      <w:highlight w:val="none"/>
                    </w:rPr>
                    <w:t>/h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H=20m</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N=1.5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6EB881F4">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36E4DEDA">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7499DE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286B4DE9">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47</w:t>
                  </w:r>
                </w:p>
              </w:tc>
              <w:tc>
                <w:tcPr>
                  <w:tcW w:w="1365" w:type="dxa"/>
                  <w:tcBorders>
                    <w:tl2br w:val="nil"/>
                    <w:tr2bl w:val="nil"/>
                  </w:tcBorders>
                  <w:vAlign w:val="center"/>
                </w:tcPr>
                <w:p w14:paraId="0DC761B1">
                  <w:pPr>
                    <w:pStyle w:val="108"/>
                    <w:spacing w:before="134" w:line="228" w:lineRule="auto"/>
                    <w:jc w:val="center"/>
                    <w:rPr>
                      <w:color w:val="auto"/>
                      <w:highlight w:val="none"/>
                    </w:rPr>
                  </w:pPr>
                  <w:r>
                    <w:rPr>
                      <w:color w:val="auto"/>
                      <w:spacing w:val="7"/>
                      <w:highlight w:val="none"/>
                    </w:rPr>
                    <w:t>轴流风机</w:t>
                  </w:r>
                </w:p>
              </w:tc>
              <w:tc>
                <w:tcPr>
                  <w:tcW w:w="1560" w:type="dxa"/>
                  <w:tcBorders>
                    <w:tl2br w:val="nil"/>
                    <w:tr2bl w:val="nil"/>
                  </w:tcBorders>
                  <w:vAlign w:val="center"/>
                </w:tcPr>
                <w:p w14:paraId="1B01C902">
                  <w:pPr>
                    <w:pStyle w:val="108"/>
                    <w:spacing w:before="134" w:line="228" w:lineRule="auto"/>
                    <w:jc w:val="center"/>
                    <w:rPr>
                      <w:color w:val="auto"/>
                      <w:highlight w:val="none"/>
                    </w:rPr>
                  </w:pPr>
                  <w:r>
                    <w:rPr>
                      <w:color w:val="auto"/>
                      <w:spacing w:val="7"/>
                      <w:highlight w:val="none"/>
                    </w:rPr>
                    <w:t>轴流风机</w:t>
                  </w:r>
                </w:p>
              </w:tc>
              <w:tc>
                <w:tcPr>
                  <w:tcW w:w="2985" w:type="dxa"/>
                  <w:tcBorders>
                    <w:tl2br w:val="nil"/>
                    <w:tr2bl w:val="nil"/>
                  </w:tcBorders>
                  <w:vAlign w:val="center"/>
                </w:tcPr>
                <w:p w14:paraId="3888083F">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Q=1500m</w:t>
                  </w:r>
                  <w:r>
                    <w:rPr>
                      <w:rFonts w:ascii="Times New Roman" w:hAnsi="Times New Roman" w:eastAsia="Times New Roman" w:cs="Times New Roman"/>
                      <w:color w:val="auto"/>
                      <w:spacing w:val="5"/>
                      <w:position w:val="9"/>
                      <w:sz w:val="13"/>
                      <w:szCs w:val="13"/>
                      <w:highlight w:val="none"/>
                    </w:rPr>
                    <w:t>3</w:t>
                  </w:r>
                  <w:r>
                    <w:rPr>
                      <w:rFonts w:ascii="Times New Roman" w:hAnsi="Times New Roman" w:eastAsia="Times New Roman" w:cs="Times New Roman"/>
                      <w:color w:val="auto"/>
                      <w:spacing w:val="5"/>
                      <w:position w:val="3"/>
                      <w:sz w:val="20"/>
                      <w:szCs w:val="20"/>
                      <w:highlight w:val="none"/>
                    </w:rPr>
                    <w:t>/h</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N=0.25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286F3821">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2C7252BA">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75A011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525" w:type="dxa"/>
                  <w:tcBorders>
                    <w:tl2br w:val="nil"/>
                    <w:tr2bl w:val="nil"/>
                  </w:tcBorders>
                  <w:vAlign w:val="center"/>
                </w:tcPr>
                <w:p w14:paraId="412BA538">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48</w:t>
                  </w:r>
                </w:p>
              </w:tc>
              <w:tc>
                <w:tcPr>
                  <w:tcW w:w="1365" w:type="dxa"/>
                  <w:tcBorders>
                    <w:tl2br w:val="nil"/>
                    <w:tr2bl w:val="nil"/>
                  </w:tcBorders>
                  <w:vAlign w:val="center"/>
                </w:tcPr>
                <w:p w14:paraId="5A78DBE7">
                  <w:pPr>
                    <w:pStyle w:val="108"/>
                    <w:spacing w:before="134" w:line="229" w:lineRule="auto"/>
                    <w:jc w:val="center"/>
                    <w:rPr>
                      <w:color w:val="auto"/>
                      <w:highlight w:val="none"/>
                    </w:rPr>
                  </w:pPr>
                  <w:r>
                    <w:rPr>
                      <w:rFonts w:ascii="Times New Roman" w:hAnsi="Times New Roman" w:eastAsia="Times New Roman" w:cs="Times New Roman"/>
                      <w:color w:val="auto"/>
                      <w:highlight w:val="none"/>
                    </w:rPr>
                    <w:t>PAM</w:t>
                  </w:r>
                  <w:r>
                    <w:rPr>
                      <w:color w:val="auto"/>
                      <w:spacing w:val="11"/>
                      <w:highlight w:val="none"/>
                    </w:rPr>
                    <w:t>加药装置</w:t>
                  </w:r>
                </w:p>
              </w:tc>
              <w:tc>
                <w:tcPr>
                  <w:tcW w:w="1560" w:type="dxa"/>
                  <w:tcBorders>
                    <w:tl2br w:val="nil"/>
                    <w:tr2bl w:val="nil"/>
                  </w:tcBorders>
                  <w:vAlign w:val="center"/>
                </w:tcPr>
                <w:p w14:paraId="6AF17839">
                  <w:pPr>
                    <w:pStyle w:val="108"/>
                    <w:spacing w:before="134" w:line="229" w:lineRule="auto"/>
                    <w:jc w:val="center"/>
                    <w:rPr>
                      <w:color w:val="auto"/>
                      <w:highlight w:val="none"/>
                    </w:rPr>
                  </w:pPr>
                  <w:r>
                    <w:rPr>
                      <w:color w:val="auto"/>
                      <w:spacing w:val="6"/>
                      <w:highlight w:val="none"/>
                    </w:rPr>
                    <w:t>成套设备</w:t>
                  </w:r>
                </w:p>
              </w:tc>
              <w:tc>
                <w:tcPr>
                  <w:tcW w:w="2985" w:type="dxa"/>
                  <w:tcBorders>
                    <w:tl2br w:val="nil"/>
                    <w:tr2bl w:val="nil"/>
                  </w:tcBorders>
                  <w:vAlign w:val="center"/>
                </w:tcPr>
                <w:p w14:paraId="694BA978">
                  <w:pPr>
                    <w:pStyle w:val="108"/>
                    <w:spacing w:before="103" w:line="274" w:lineRule="exact"/>
                    <w:jc w:val="center"/>
                    <w:rPr>
                      <w:rFonts w:ascii="Times New Roman" w:hAnsi="Times New Roman" w:eastAsia="Times New Roman" w:cs="Times New Roman"/>
                      <w:color w:val="auto"/>
                      <w:highlight w:val="none"/>
                    </w:rPr>
                  </w:pPr>
                  <w:r>
                    <w:rPr>
                      <w:color w:val="auto"/>
                      <w:spacing w:val="4"/>
                      <w:position w:val="2"/>
                      <w:highlight w:val="none"/>
                    </w:rPr>
                    <w:t>制备能力</w:t>
                  </w:r>
                  <w:r>
                    <w:rPr>
                      <w:rFonts w:ascii="Times New Roman" w:hAnsi="Times New Roman" w:eastAsia="Times New Roman" w:cs="Times New Roman"/>
                      <w:color w:val="auto"/>
                      <w:spacing w:val="4"/>
                      <w:position w:val="2"/>
                      <w:highlight w:val="none"/>
                    </w:rPr>
                    <w:t>1000L/h</w:t>
                  </w:r>
                  <w:r>
                    <w:rPr>
                      <w:rFonts w:hint="eastAsia" w:ascii="Times New Roman" w:hAnsi="Times New Roman" w:cs="Times New Roman"/>
                      <w:color w:val="auto"/>
                      <w:spacing w:val="4"/>
                      <w:position w:val="2"/>
                      <w:highlight w:val="none"/>
                      <w:lang w:eastAsia="zh-CN"/>
                    </w:rPr>
                    <w:t>，</w:t>
                  </w:r>
                  <w:r>
                    <w:rPr>
                      <w:rFonts w:ascii="Times New Roman" w:hAnsi="Times New Roman" w:eastAsia="Times New Roman" w:cs="Times New Roman"/>
                      <w:color w:val="auto"/>
                      <w:spacing w:val="4"/>
                      <w:position w:val="2"/>
                      <w:highlight w:val="none"/>
                    </w:rPr>
                    <w:t>N=2.45</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3053EE9C">
                  <w:pPr>
                    <w:pStyle w:val="108"/>
                    <w:spacing w:before="134" w:line="229" w:lineRule="auto"/>
                    <w:jc w:val="center"/>
                    <w:rPr>
                      <w:color w:val="auto"/>
                      <w:highlight w:val="none"/>
                    </w:rPr>
                  </w:pPr>
                  <w:r>
                    <w:rPr>
                      <w:color w:val="auto"/>
                      <w:highlight w:val="none"/>
                    </w:rPr>
                    <w:t>套</w:t>
                  </w:r>
                </w:p>
              </w:tc>
              <w:tc>
                <w:tcPr>
                  <w:tcW w:w="780" w:type="dxa"/>
                  <w:tcBorders>
                    <w:tl2br w:val="nil"/>
                    <w:tr2bl w:val="nil"/>
                  </w:tcBorders>
                  <w:vAlign w:val="center"/>
                </w:tcPr>
                <w:p w14:paraId="20844E68">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A3609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4C78D144">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49</w:t>
                  </w:r>
                </w:p>
              </w:tc>
              <w:tc>
                <w:tcPr>
                  <w:tcW w:w="1365" w:type="dxa"/>
                  <w:tcBorders>
                    <w:tl2br w:val="nil"/>
                    <w:tr2bl w:val="nil"/>
                  </w:tcBorders>
                  <w:vAlign w:val="center"/>
                </w:tcPr>
                <w:p w14:paraId="6247DF03">
                  <w:pPr>
                    <w:pStyle w:val="108"/>
                    <w:spacing w:before="134" w:line="228" w:lineRule="auto"/>
                    <w:jc w:val="center"/>
                    <w:rPr>
                      <w:color w:val="auto"/>
                      <w:highlight w:val="none"/>
                    </w:rPr>
                  </w:pPr>
                  <w:r>
                    <w:rPr>
                      <w:rFonts w:ascii="Times New Roman" w:hAnsi="Times New Roman" w:eastAsia="Times New Roman" w:cs="Times New Roman"/>
                      <w:color w:val="auto"/>
                      <w:highlight w:val="none"/>
                    </w:rPr>
                    <w:t>PAM</w:t>
                  </w:r>
                  <w:r>
                    <w:rPr>
                      <w:color w:val="auto"/>
                      <w:spacing w:val="11"/>
                      <w:highlight w:val="none"/>
                    </w:rPr>
                    <w:t>加药泵</w:t>
                  </w:r>
                </w:p>
              </w:tc>
              <w:tc>
                <w:tcPr>
                  <w:tcW w:w="1560" w:type="dxa"/>
                  <w:tcBorders>
                    <w:tl2br w:val="nil"/>
                    <w:tr2bl w:val="nil"/>
                  </w:tcBorders>
                  <w:vAlign w:val="center"/>
                </w:tcPr>
                <w:p w14:paraId="7D5B407E">
                  <w:pPr>
                    <w:pStyle w:val="108"/>
                    <w:spacing w:before="134" w:line="228" w:lineRule="auto"/>
                    <w:jc w:val="center"/>
                    <w:rPr>
                      <w:color w:val="auto"/>
                      <w:highlight w:val="none"/>
                    </w:rPr>
                  </w:pPr>
                  <w:r>
                    <w:rPr>
                      <w:color w:val="auto"/>
                      <w:spacing w:val="6"/>
                      <w:highlight w:val="none"/>
                    </w:rPr>
                    <w:t>螺杆泵</w:t>
                  </w:r>
                </w:p>
              </w:tc>
              <w:tc>
                <w:tcPr>
                  <w:tcW w:w="2985" w:type="dxa"/>
                  <w:tcBorders>
                    <w:tl2br w:val="nil"/>
                    <w:tr2bl w:val="nil"/>
                  </w:tcBorders>
                  <w:vAlign w:val="center"/>
                </w:tcPr>
                <w:p w14:paraId="594739AB">
                  <w:pPr>
                    <w:spacing w:before="105"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position w:val="3"/>
                      <w:sz w:val="20"/>
                      <w:szCs w:val="20"/>
                      <w:highlight w:val="none"/>
                    </w:rPr>
                    <w:t>Q=1.0m</w:t>
                  </w:r>
                  <w:r>
                    <w:rPr>
                      <w:rFonts w:ascii="Times New Roman" w:hAnsi="Times New Roman" w:eastAsia="Times New Roman" w:cs="Times New Roman"/>
                      <w:color w:val="auto"/>
                      <w:spacing w:val="3"/>
                      <w:position w:val="9"/>
                      <w:sz w:val="13"/>
                      <w:szCs w:val="13"/>
                      <w:highlight w:val="none"/>
                    </w:rPr>
                    <w:t>3</w:t>
                  </w:r>
                  <w:r>
                    <w:rPr>
                      <w:rFonts w:ascii="Times New Roman" w:hAnsi="Times New Roman" w:eastAsia="Times New Roman" w:cs="Times New Roman"/>
                      <w:color w:val="auto"/>
                      <w:spacing w:val="3"/>
                      <w:position w:val="3"/>
                      <w:sz w:val="20"/>
                      <w:szCs w:val="20"/>
                      <w:highlight w:val="none"/>
                    </w:rPr>
                    <w:t>/h</w:t>
                  </w:r>
                  <w:r>
                    <w:rPr>
                      <w:rFonts w:hint="eastAsia" w:ascii="Times New Roman" w:hAnsi="Times New Roman" w:eastAsia="宋体" w:cs="Times New Roman"/>
                      <w:color w:val="auto"/>
                      <w:spacing w:val="3"/>
                      <w:position w:val="3"/>
                      <w:sz w:val="20"/>
                      <w:szCs w:val="20"/>
                      <w:highlight w:val="none"/>
                      <w:lang w:eastAsia="zh-CN"/>
                    </w:rPr>
                    <w:t>，</w:t>
                  </w:r>
                  <w:r>
                    <w:rPr>
                      <w:rFonts w:ascii="Times New Roman" w:hAnsi="Times New Roman" w:eastAsia="Times New Roman" w:cs="Times New Roman"/>
                      <w:color w:val="auto"/>
                      <w:spacing w:val="3"/>
                      <w:position w:val="3"/>
                      <w:sz w:val="20"/>
                      <w:szCs w:val="20"/>
                      <w:highlight w:val="none"/>
                    </w:rPr>
                    <w:t>H=0.6</w:t>
                  </w:r>
                  <w:r>
                    <w:rPr>
                      <w:rFonts w:ascii="Times New Roman" w:hAnsi="Times New Roman" w:eastAsia="Times New Roman" w:cs="Times New Roman"/>
                      <w:color w:val="auto"/>
                      <w:position w:val="3"/>
                      <w:sz w:val="20"/>
                      <w:szCs w:val="20"/>
                      <w:highlight w:val="none"/>
                    </w:rPr>
                    <w:t>MPa</w:t>
                  </w:r>
                  <w:r>
                    <w:rPr>
                      <w:rFonts w:hint="eastAsia" w:ascii="Times New Roman" w:hAnsi="Times New Roman" w:eastAsia="宋体" w:cs="Times New Roman"/>
                      <w:color w:val="auto"/>
                      <w:spacing w:val="3"/>
                      <w:position w:val="3"/>
                      <w:sz w:val="20"/>
                      <w:szCs w:val="20"/>
                      <w:highlight w:val="none"/>
                      <w:lang w:eastAsia="zh-CN"/>
                    </w:rPr>
                    <w:t>，</w:t>
                  </w:r>
                  <w:r>
                    <w:rPr>
                      <w:rFonts w:ascii="Times New Roman" w:hAnsi="Times New Roman" w:eastAsia="Times New Roman" w:cs="Times New Roman"/>
                      <w:color w:val="auto"/>
                      <w:spacing w:val="3"/>
                      <w:position w:val="3"/>
                      <w:sz w:val="20"/>
                      <w:szCs w:val="20"/>
                      <w:highlight w:val="none"/>
                    </w:rPr>
                    <w:t>N=1.1</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3FBAD998">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784D2001">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2EF8D9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6AD68729">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50</w:t>
                  </w:r>
                </w:p>
              </w:tc>
              <w:tc>
                <w:tcPr>
                  <w:tcW w:w="1365" w:type="dxa"/>
                  <w:tcBorders>
                    <w:tl2br w:val="nil"/>
                    <w:tr2bl w:val="nil"/>
                  </w:tcBorders>
                  <w:vAlign w:val="center"/>
                </w:tcPr>
                <w:p w14:paraId="1F20C75D">
                  <w:pPr>
                    <w:pStyle w:val="108"/>
                    <w:spacing w:before="133" w:line="228" w:lineRule="auto"/>
                    <w:jc w:val="center"/>
                    <w:rPr>
                      <w:color w:val="auto"/>
                      <w:highlight w:val="none"/>
                    </w:rPr>
                  </w:pPr>
                  <w:r>
                    <w:rPr>
                      <w:color w:val="auto"/>
                      <w:spacing w:val="1"/>
                      <w:highlight w:val="none"/>
                    </w:rPr>
                    <w:t>电动葫芦</w:t>
                  </w:r>
                </w:p>
              </w:tc>
              <w:tc>
                <w:tcPr>
                  <w:tcW w:w="1560" w:type="dxa"/>
                  <w:tcBorders>
                    <w:tl2br w:val="nil"/>
                    <w:tr2bl w:val="nil"/>
                  </w:tcBorders>
                  <w:vAlign w:val="center"/>
                </w:tcPr>
                <w:p w14:paraId="007AF740">
                  <w:pPr>
                    <w:pStyle w:val="108"/>
                    <w:spacing w:before="133" w:line="228" w:lineRule="auto"/>
                    <w:jc w:val="center"/>
                    <w:rPr>
                      <w:color w:val="auto"/>
                      <w:highlight w:val="none"/>
                    </w:rPr>
                  </w:pPr>
                  <w:r>
                    <w:rPr>
                      <w:color w:val="auto"/>
                      <w:spacing w:val="1"/>
                      <w:highlight w:val="none"/>
                    </w:rPr>
                    <w:t>电动葫芦</w:t>
                  </w:r>
                </w:p>
              </w:tc>
              <w:tc>
                <w:tcPr>
                  <w:tcW w:w="2985" w:type="dxa"/>
                  <w:tcBorders>
                    <w:tl2br w:val="nil"/>
                    <w:tr2bl w:val="nil"/>
                  </w:tcBorders>
                  <w:vAlign w:val="center"/>
                </w:tcPr>
                <w:p w14:paraId="0419D0D4">
                  <w:pPr>
                    <w:pStyle w:val="108"/>
                    <w:spacing w:before="105" w:line="274" w:lineRule="exact"/>
                    <w:jc w:val="center"/>
                    <w:rPr>
                      <w:rFonts w:ascii="Times New Roman" w:hAnsi="Times New Roman" w:eastAsia="Times New Roman" w:cs="Times New Roman"/>
                      <w:color w:val="auto"/>
                      <w:highlight w:val="none"/>
                    </w:rPr>
                  </w:pPr>
                  <w:r>
                    <w:rPr>
                      <w:rFonts w:ascii="Times New Roman" w:hAnsi="Times New Roman" w:eastAsia="Times New Roman" w:cs="Times New Roman"/>
                      <w:color w:val="auto"/>
                      <w:position w:val="2"/>
                      <w:highlight w:val="none"/>
                    </w:rPr>
                    <w:t>Gn</w:t>
                  </w:r>
                  <w:r>
                    <w:rPr>
                      <w:rFonts w:ascii="Times New Roman" w:hAnsi="Times New Roman" w:eastAsia="Times New Roman" w:cs="Times New Roman"/>
                      <w:color w:val="auto"/>
                      <w:spacing w:val="3"/>
                      <w:position w:val="2"/>
                      <w:highlight w:val="none"/>
                    </w:rPr>
                    <w:t>=1.0t</w:t>
                  </w:r>
                  <w:r>
                    <w:rPr>
                      <w:rFonts w:hint="eastAsia" w:ascii="Times New Roman" w:hAnsi="Times New Roman" w:cs="Times New Roman"/>
                      <w:color w:val="auto"/>
                      <w:spacing w:val="3"/>
                      <w:position w:val="2"/>
                      <w:highlight w:val="none"/>
                      <w:lang w:eastAsia="zh-CN"/>
                    </w:rPr>
                    <w:t>，</w:t>
                  </w:r>
                  <w:r>
                    <w:rPr>
                      <w:color w:val="auto"/>
                      <w:spacing w:val="3"/>
                      <w:position w:val="2"/>
                      <w:highlight w:val="none"/>
                    </w:rPr>
                    <w:t>起升高度</w:t>
                  </w:r>
                  <w:r>
                    <w:rPr>
                      <w:rFonts w:ascii="Times New Roman" w:hAnsi="Times New Roman" w:eastAsia="Times New Roman" w:cs="Times New Roman"/>
                      <w:color w:val="auto"/>
                      <w:spacing w:val="3"/>
                      <w:position w:val="2"/>
                      <w:highlight w:val="none"/>
                    </w:rPr>
                    <w:t>12m</w:t>
                  </w:r>
                  <w:r>
                    <w:rPr>
                      <w:rFonts w:hint="eastAsia" w:ascii="Times New Roman" w:hAnsi="Times New Roman" w:cs="Times New Roman"/>
                      <w:color w:val="auto"/>
                      <w:spacing w:val="3"/>
                      <w:position w:val="2"/>
                      <w:highlight w:val="none"/>
                      <w:lang w:eastAsia="zh-CN"/>
                    </w:rPr>
                    <w:t>，</w:t>
                  </w:r>
                  <w:r>
                    <w:rPr>
                      <w:rFonts w:ascii="Times New Roman" w:hAnsi="Times New Roman" w:eastAsia="Times New Roman" w:cs="Times New Roman"/>
                      <w:color w:val="auto"/>
                      <w:spacing w:val="3"/>
                      <w:position w:val="2"/>
                      <w:highlight w:val="none"/>
                    </w:rPr>
                    <w:t>N=1.7</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10512B78">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1CC383C0">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AFBC5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525" w:type="dxa"/>
                  <w:tcBorders>
                    <w:tl2br w:val="nil"/>
                    <w:tr2bl w:val="nil"/>
                  </w:tcBorders>
                  <w:vAlign w:val="center"/>
                </w:tcPr>
                <w:p w14:paraId="6F912B2B">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51</w:t>
                  </w:r>
                </w:p>
              </w:tc>
              <w:tc>
                <w:tcPr>
                  <w:tcW w:w="1365" w:type="dxa"/>
                  <w:tcBorders>
                    <w:tl2br w:val="nil"/>
                    <w:tr2bl w:val="nil"/>
                  </w:tcBorders>
                  <w:vAlign w:val="center"/>
                </w:tcPr>
                <w:p w14:paraId="7D2E1ED5">
                  <w:pPr>
                    <w:pStyle w:val="108"/>
                    <w:spacing w:before="130" w:line="228" w:lineRule="auto"/>
                    <w:jc w:val="center"/>
                    <w:rPr>
                      <w:color w:val="auto"/>
                      <w:highlight w:val="none"/>
                    </w:rPr>
                  </w:pPr>
                  <w:r>
                    <w:rPr>
                      <w:color w:val="auto"/>
                      <w:spacing w:val="1"/>
                      <w:highlight w:val="none"/>
                    </w:rPr>
                    <w:t>电动葫芦</w:t>
                  </w:r>
                </w:p>
              </w:tc>
              <w:tc>
                <w:tcPr>
                  <w:tcW w:w="1560" w:type="dxa"/>
                  <w:tcBorders>
                    <w:tl2br w:val="nil"/>
                    <w:tr2bl w:val="nil"/>
                  </w:tcBorders>
                  <w:vAlign w:val="center"/>
                </w:tcPr>
                <w:p w14:paraId="333ABDCD">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6D7F64AA">
                  <w:pPr>
                    <w:pStyle w:val="108"/>
                    <w:spacing w:before="99" w:line="274" w:lineRule="exact"/>
                    <w:jc w:val="center"/>
                    <w:rPr>
                      <w:rFonts w:ascii="Times New Roman" w:hAnsi="Times New Roman" w:eastAsia="Times New Roman" w:cs="Times New Roman"/>
                      <w:color w:val="auto"/>
                      <w:highlight w:val="none"/>
                    </w:rPr>
                  </w:pPr>
                  <w:r>
                    <w:rPr>
                      <w:color w:val="auto"/>
                      <w:spacing w:val="3"/>
                      <w:position w:val="2"/>
                      <w:highlight w:val="none"/>
                    </w:rPr>
                    <w:t>起吊重力</w:t>
                  </w:r>
                  <w:r>
                    <w:rPr>
                      <w:rFonts w:ascii="Times New Roman" w:hAnsi="Times New Roman" w:eastAsia="Times New Roman" w:cs="Times New Roman"/>
                      <w:color w:val="auto"/>
                      <w:spacing w:val="3"/>
                      <w:position w:val="2"/>
                      <w:highlight w:val="none"/>
                    </w:rPr>
                    <w:t>1.0t</w:t>
                  </w:r>
                  <w:r>
                    <w:rPr>
                      <w:rFonts w:hint="eastAsia" w:ascii="Times New Roman" w:hAnsi="Times New Roman" w:cs="Times New Roman"/>
                      <w:color w:val="auto"/>
                      <w:spacing w:val="3"/>
                      <w:position w:val="2"/>
                      <w:highlight w:val="none"/>
                      <w:lang w:eastAsia="zh-CN"/>
                    </w:rPr>
                    <w:t>，</w:t>
                  </w:r>
                  <w:r>
                    <w:rPr>
                      <w:color w:val="auto"/>
                      <w:spacing w:val="3"/>
                      <w:position w:val="2"/>
                      <w:highlight w:val="none"/>
                    </w:rPr>
                    <w:t>起吊高度</w:t>
                  </w:r>
                  <w:r>
                    <w:rPr>
                      <w:rFonts w:ascii="Times New Roman" w:hAnsi="Times New Roman" w:eastAsia="Times New Roman" w:cs="Times New Roman"/>
                      <w:color w:val="auto"/>
                      <w:spacing w:val="3"/>
                      <w:position w:val="2"/>
                      <w:highlight w:val="none"/>
                    </w:rPr>
                    <w:t>5.0m</w:t>
                  </w:r>
                  <w:r>
                    <w:rPr>
                      <w:rFonts w:hint="eastAsia" w:ascii="Times New Roman" w:hAnsi="Times New Roman" w:cs="Times New Roman"/>
                      <w:color w:val="auto"/>
                      <w:spacing w:val="3"/>
                      <w:position w:val="2"/>
                      <w:highlight w:val="none"/>
                      <w:lang w:eastAsia="zh-CN"/>
                    </w:rPr>
                    <w:t>，</w:t>
                  </w:r>
                  <w:r>
                    <w:rPr>
                      <w:rFonts w:ascii="Times New Roman" w:hAnsi="Times New Roman" w:eastAsia="Times New Roman" w:cs="Times New Roman"/>
                      <w:color w:val="auto"/>
                      <w:spacing w:val="3"/>
                      <w:position w:val="2"/>
                      <w:highlight w:val="none"/>
                    </w:rPr>
                    <w:t>N=1.7</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4ECE904B">
                  <w:pPr>
                    <w:pStyle w:val="108"/>
                    <w:spacing w:before="130" w:line="231" w:lineRule="auto"/>
                    <w:jc w:val="center"/>
                    <w:rPr>
                      <w:color w:val="auto"/>
                      <w:highlight w:val="none"/>
                    </w:rPr>
                  </w:pPr>
                  <w:r>
                    <w:rPr>
                      <w:color w:val="auto"/>
                      <w:highlight w:val="none"/>
                    </w:rPr>
                    <w:t>台</w:t>
                  </w:r>
                </w:p>
              </w:tc>
              <w:tc>
                <w:tcPr>
                  <w:tcW w:w="780" w:type="dxa"/>
                  <w:tcBorders>
                    <w:tl2br w:val="nil"/>
                    <w:tr2bl w:val="nil"/>
                  </w:tcBorders>
                  <w:vAlign w:val="center"/>
                </w:tcPr>
                <w:p w14:paraId="36AA979E">
                  <w:pPr>
                    <w:spacing w:before="166"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3CE18F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25" w:type="dxa"/>
                  <w:tcBorders>
                    <w:tl2br w:val="nil"/>
                    <w:tr2bl w:val="nil"/>
                  </w:tcBorders>
                  <w:vAlign w:val="center"/>
                </w:tcPr>
                <w:p w14:paraId="54BA923B">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52</w:t>
                  </w:r>
                </w:p>
              </w:tc>
              <w:tc>
                <w:tcPr>
                  <w:tcW w:w="1365" w:type="dxa"/>
                  <w:vMerge w:val="restart"/>
                  <w:tcBorders>
                    <w:tl2br w:val="nil"/>
                    <w:tr2bl w:val="nil"/>
                  </w:tcBorders>
                  <w:vAlign w:val="center"/>
                </w:tcPr>
                <w:p w14:paraId="4D182507">
                  <w:pPr>
                    <w:pStyle w:val="108"/>
                    <w:spacing w:before="65" w:line="229" w:lineRule="auto"/>
                    <w:jc w:val="both"/>
                    <w:rPr>
                      <w:color w:val="auto"/>
                      <w:highlight w:val="none"/>
                    </w:rPr>
                  </w:pPr>
                  <w:r>
                    <w:rPr>
                      <w:rFonts w:ascii="Times New Roman" w:hAnsi="Times New Roman" w:eastAsia="Times New Roman" w:cs="Times New Roman"/>
                      <w:color w:val="auto"/>
                      <w:highlight w:val="none"/>
                    </w:rPr>
                    <w:t>PAM</w:t>
                  </w:r>
                  <w:r>
                    <w:rPr>
                      <w:color w:val="auto"/>
                      <w:spacing w:val="11"/>
                      <w:highlight w:val="none"/>
                    </w:rPr>
                    <w:t>加药装置</w:t>
                  </w:r>
                </w:p>
              </w:tc>
              <w:tc>
                <w:tcPr>
                  <w:tcW w:w="1560" w:type="dxa"/>
                  <w:tcBorders>
                    <w:tl2br w:val="nil"/>
                    <w:tr2bl w:val="nil"/>
                  </w:tcBorders>
                  <w:vAlign w:val="center"/>
                </w:tcPr>
                <w:p w14:paraId="34918D1B">
                  <w:pPr>
                    <w:pStyle w:val="108"/>
                    <w:spacing w:before="131" w:line="228" w:lineRule="auto"/>
                    <w:jc w:val="center"/>
                    <w:rPr>
                      <w:color w:val="auto"/>
                      <w:highlight w:val="none"/>
                    </w:rPr>
                  </w:pPr>
                  <w:r>
                    <w:rPr>
                      <w:color w:val="auto"/>
                      <w:spacing w:val="1"/>
                      <w:highlight w:val="none"/>
                    </w:rPr>
                    <w:t>自动泡药机</w:t>
                  </w:r>
                </w:p>
              </w:tc>
              <w:tc>
                <w:tcPr>
                  <w:tcW w:w="2985" w:type="dxa"/>
                  <w:tcBorders>
                    <w:tl2br w:val="nil"/>
                    <w:tr2bl w:val="nil"/>
                  </w:tcBorders>
                  <w:vAlign w:val="center"/>
                </w:tcPr>
                <w:p w14:paraId="784109C2">
                  <w:pPr>
                    <w:pStyle w:val="108"/>
                    <w:spacing w:before="103" w:line="274" w:lineRule="exact"/>
                    <w:jc w:val="center"/>
                    <w:rPr>
                      <w:rFonts w:ascii="Times New Roman" w:hAnsi="Times New Roman" w:eastAsia="Times New Roman" w:cs="Times New Roman"/>
                      <w:color w:val="auto"/>
                      <w:highlight w:val="none"/>
                    </w:rPr>
                  </w:pPr>
                  <w:r>
                    <w:rPr>
                      <w:color w:val="auto"/>
                      <w:spacing w:val="3"/>
                      <w:position w:val="2"/>
                      <w:highlight w:val="none"/>
                    </w:rPr>
                    <w:t>制备能力</w:t>
                  </w:r>
                  <w:r>
                    <w:rPr>
                      <w:color w:val="auto"/>
                      <w:spacing w:val="-35"/>
                      <w:position w:val="2"/>
                      <w:highlight w:val="none"/>
                    </w:rPr>
                    <w:t xml:space="preserve"> </w:t>
                  </w:r>
                  <w:r>
                    <w:rPr>
                      <w:rFonts w:ascii="Times New Roman" w:hAnsi="Times New Roman" w:eastAsia="Times New Roman" w:cs="Times New Roman"/>
                      <w:color w:val="auto"/>
                      <w:spacing w:val="3"/>
                      <w:position w:val="2"/>
                      <w:highlight w:val="none"/>
                    </w:rPr>
                    <w:t>Q=500L/h</w:t>
                  </w:r>
                  <w:r>
                    <w:rPr>
                      <w:color w:val="auto"/>
                      <w:spacing w:val="3"/>
                      <w:position w:val="2"/>
                      <w:highlight w:val="none"/>
                    </w:rPr>
                    <w:t>，</w:t>
                  </w:r>
                  <w:r>
                    <w:rPr>
                      <w:rFonts w:ascii="Times New Roman" w:hAnsi="Times New Roman" w:eastAsia="Times New Roman" w:cs="Times New Roman"/>
                      <w:color w:val="auto"/>
                      <w:spacing w:val="3"/>
                      <w:position w:val="2"/>
                      <w:highlight w:val="none"/>
                    </w:rPr>
                    <w:t>N=</w:t>
                  </w:r>
                  <w:r>
                    <w:rPr>
                      <w:rFonts w:hint="eastAsia" w:ascii="Times New Roman" w:hAnsi="Times New Roman" w:cs="Times New Roman"/>
                      <w:color w:val="auto"/>
                      <w:spacing w:val="3"/>
                      <w:position w:val="2"/>
                      <w:highlight w:val="none"/>
                      <w:lang w:val="en-US" w:eastAsia="zh-CN"/>
                    </w:rPr>
                    <w:t>1</w:t>
                  </w:r>
                  <w:r>
                    <w:rPr>
                      <w:rFonts w:ascii="Times New Roman" w:hAnsi="Times New Roman" w:eastAsia="Times New Roman" w:cs="Times New Roman"/>
                      <w:color w:val="auto"/>
                      <w:spacing w:val="3"/>
                      <w:position w:val="2"/>
                      <w:highlight w:val="none"/>
                    </w:rPr>
                    <w:t>.7</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5071912D">
                  <w:pPr>
                    <w:pStyle w:val="108"/>
                    <w:spacing w:before="130" w:line="231" w:lineRule="auto"/>
                    <w:jc w:val="center"/>
                    <w:rPr>
                      <w:rFonts w:ascii="Arial"/>
                      <w:color w:val="auto"/>
                      <w:sz w:val="21"/>
                      <w:highlight w:val="none"/>
                    </w:rPr>
                  </w:pPr>
                  <w:r>
                    <w:rPr>
                      <w:color w:val="auto"/>
                      <w:highlight w:val="none"/>
                    </w:rPr>
                    <w:t>台</w:t>
                  </w:r>
                </w:p>
              </w:tc>
              <w:tc>
                <w:tcPr>
                  <w:tcW w:w="780" w:type="dxa"/>
                  <w:tcBorders>
                    <w:tl2br w:val="nil"/>
                    <w:tr2bl w:val="nil"/>
                  </w:tcBorders>
                  <w:vAlign w:val="center"/>
                </w:tcPr>
                <w:p w14:paraId="1E18BA31">
                  <w:pPr>
                    <w:spacing w:before="166" w:line="195" w:lineRule="auto"/>
                    <w:jc w:val="center"/>
                    <w:rPr>
                      <w:rFonts w:ascii="Arial"/>
                      <w:color w:val="auto"/>
                      <w:sz w:val="21"/>
                      <w:highlight w:val="none"/>
                    </w:rPr>
                  </w:pPr>
                  <w:r>
                    <w:rPr>
                      <w:rFonts w:ascii="Times New Roman" w:hAnsi="Times New Roman" w:eastAsia="Times New Roman" w:cs="Times New Roman"/>
                      <w:color w:val="auto"/>
                      <w:sz w:val="20"/>
                      <w:szCs w:val="20"/>
                      <w:highlight w:val="none"/>
                    </w:rPr>
                    <w:t>1</w:t>
                  </w:r>
                </w:p>
              </w:tc>
            </w:tr>
            <w:tr w14:paraId="785F71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525" w:type="dxa"/>
                  <w:tcBorders>
                    <w:tl2br w:val="nil"/>
                    <w:tr2bl w:val="nil"/>
                  </w:tcBorders>
                  <w:vAlign w:val="center"/>
                </w:tcPr>
                <w:p w14:paraId="3E6A02B9">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53</w:t>
                  </w:r>
                </w:p>
              </w:tc>
              <w:tc>
                <w:tcPr>
                  <w:tcW w:w="1365" w:type="dxa"/>
                  <w:vMerge w:val="continue"/>
                  <w:tcBorders>
                    <w:tl2br w:val="nil"/>
                    <w:tr2bl w:val="nil"/>
                  </w:tcBorders>
                  <w:vAlign w:val="center"/>
                </w:tcPr>
                <w:p w14:paraId="19B1B5C9">
                  <w:pPr>
                    <w:jc w:val="center"/>
                    <w:rPr>
                      <w:rFonts w:ascii="Arial"/>
                      <w:color w:val="auto"/>
                      <w:sz w:val="21"/>
                      <w:highlight w:val="none"/>
                    </w:rPr>
                  </w:pPr>
                </w:p>
              </w:tc>
              <w:tc>
                <w:tcPr>
                  <w:tcW w:w="1560" w:type="dxa"/>
                  <w:tcBorders>
                    <w:tl2br w:val="nil"/>
                    <w:tr2bl w:val="nil"/>
                  </w:tcBorders>
                  <w:vAlign w:val="center"/>
                </w:tcPr>
                <w:p w14:paraId="3D5930DE">
                  <w:pPr>
                    <w:pStyle w:val="108"/>
                    <w:spacing w:before="132" w:line="228" w:lineRule="auto"/>
                    <w:jc w:val="center"/>
                    <w:rPr>
                      <w:color w:val="auto"/>
                      <w:highlight w:val="none"/>
                    </w:rPr>
                  </w:pPr>
                  <w:r>
                    <w:rPr>
                      <w:color w:val="auto"/>
                      <w:spacing w:val="5"/>
                      <w:highlight w:val="none"/>
                    </w:rPr>
                    <w:t>隔膜计量泵</w:t>
                  </w:r>
                </w:p>
              </w:tc>
              <w:tc>
                <w:tcPr>
                  <w:tcW w:w="2985" w:type="dxa"/>
                  <w:tcBorders>
                    <w:tl2br w:val="nil"/>
                    <w:tr2bl w:val="nil"/>
                  </w:tcBorders>
                  <w:vAlign w:val="center"/>
                </w:tcPr>
                <w:p w14:paraId="5C272225">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Q=115L/h</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7</w:t>
                  </w:r>
                  <w:r>
                    <w:rPr>
                      <w:rFonts w:ascii="Times New Roman" w:hAnsi="Times New Roman" w:eastAsia="Times New Roman" w:cs="Times New Roman"/>
                      <w:color w:val="auto"/>
                      <w:position w:val="3"/>
                      <w:sz w:val="20"/>
                      <w:szCs w:val="20"/>
                      <w:highlight w:val="none"/>
                    </w:rPr>
                    <w:t>bar</w:t>
                  </w:r>
                  <w:r>
                    <w:rPr>
                      <w:rFonts w:hint="eastAsia" w:ascii="Times New Roman" w:hAnsi="Times New Roman" w:eastAsia="宋体" w:cs="Times New Roman"/>
                      <w:color w:val="auto"/>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0.37</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7E97753F">
                  <w:pPr>
                    <w:pStyle w:val="108"/>
                    <w:spacing w:before="131" w:line="231" w:lineRule="auto"/>
                    <w:jc w:val="center"/>
                    <w:rPr>
                      <w:color w:val="auto"/>
                      <w:highlight w:val="none"/>
                    </w:rPr>
                  </w:pPr>
                  <w:r>
                    <w:rPr>
                      <w:color w:val="auto"/>
                      <w:highlight w:val="none"/>
                    </w:rPr>
                    <w:t>台</w:t>
                  </w:r>
                </w:p>
              </w:tc>
              <w:tc>
                <w:tcPr>
                  <w:tcW w:w="780" w:type="dxa"/>
                  <w:tcBorders>
                    <w:tl2br w:val="nil"/>
                    <w:tr2bl w:val="nil"/>
                  </w:tcBorders>
                  <w:vAlign w:val="center"/>
                </w:tcPr>
                <w:p w14:paraId="3672030D">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3A3F04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25" w:type="dxa"/>
                  <w:tcBorders>
                    <w:tl2br w:val="nil"/>
                    <w:tr2bl w:val="nil"/>
                  </w:tcBorders>
                  <w:vAlign w:val="center"/>
                </w:tcPr>
                <w:p w14:paraId="6EBD6157">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54</w:t>
                  </w:r>
                </w:p>
              </w:tc>
              <w:tc>
                <w:tcPr>
                  <w:tcW w:w="1365" w:type="dxa"/>
                  <w:vMerge w:val="restart"/>
                  <w:tcBorders>
                    <w:tl2br w:val="nil"/>
                    <w:tr2bl w:val="nil"/>
                  </w:tcBorders>
                  <w:vAlign w:val="center"/>
                </w:tcPr>
                <w:p w14:paraId="2FBAE884">
                  <w:pPr>
                    <w:pStyle w:val="108"/>
                    <w:spacing w:before="65" w:line="229" w:lineRule="auto"/>
                    <w:jc w:val="center"/>
                    <w:rPr>
                      <w:color w:val="auto"/>
                      <w:highlight w:val="none"/>
                    </w:rPr>
                  </w:pPr>
                  <w:r>
                    <w:rPr>
                      <w:rFonts w:ascii="Times New Roman" w:hAnsi="Times New Roman" w:eastAsia="Times New Roman" w:cs="Times New Roman"/>
                      <w:color w:val="auto"/>
                      <w:highlight w:val="none"/>
                    </w:rPr>
                    <w:t>PAC</w:t>
                  </w:r>
                  <w:r>
                    <w:rPr>
                      <w:color w:val="auto"/>
                      <w:spacing w:val="10"/>
                      <w:highlight w:val="none"/>
                    </w:rPr>
                    <w:t>加药装置</w:t>
                  </w:r>
                </w:p>
              </w:tc>
              <w:tc>
                <w:tcPr>
                  <w:tcW w:w="1560" w:type="dxa"/>
                  <w:tcBorders>
                    <w:tl2br w:val="nil"/>
                    <w:tr2bl w:val="nil"/>
                  </w:tcBorders>
                  <w:vAlign w:val="center"/>
                </w:tcPr>
                <w:p w14:paraId="0C4FEB03">
                  <w:pPr>
                    <w:pStyle w:val="108"/>
                    <w:spacing w:before="132" w:line="228" w:lineRule="auto"/>
                    <w:jc w:val="center"/>
                    <w:rPr>
                      <w:color w:val="auto"/>
                      <w:highlight w:val="none"/>
                    </w:rPr>
                  </w:pPr>
                  <w:r>
                    <w:rPr>
                      <w:color w:val="auto"/>
                      <w:spacing w:val="7"/>
                      <w:highlight w:val="none"/>
                    </w:rPr>
                    <w:t>不锈钢搅拌器</w:t>
                  </w:r>
                </w:p>
              </w:tc>
              <w:tc>
                <w:tcPr>
                  <w:tcW w:w="2985" w:type="dxa"/>
                  <w:tcBorders>
                    <w:tl2br w:val="nil"/>
                    <w:tr2bl w:val="nil"/>
                  </w:tcBorders>
                  <w:vAlign w:val="center"/>
                </w:tcPr>
                <w:p w14:paraId="5B9BAB19">
                  <w:pPr>
                    <w:spacing w:before="103" w:line="275"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7"/>
                      <w:position w:val="1"/>
                      <w:sz w:val="20"/>
                      <w:szCs w:val="20"/>
                      <w:highlight w:val="none"/>
                    </w:rPr>
                    <w:t>N=0.55</w:t>
                  </w:r>
                  <w:r>
                    <w:rPr>
                      <w:rFonts w:ascii="Times New Roman" w:hAnsi="Times New Roman" w:eastAsia="Times New Roman" w:cs="Times New Roman"/>
                      <w:color w:val="auto"/>
                      <w:position w:val="1"/>
                      <w:sz w:val="20"/>
                      <w:szCs w:val="20"/>
                      <w:highlight w:val="none"/>
                    </w:rPr>
                    <w:t>kW</w:t>
                  </w:r>
                </w:p>
              </w:tc>
              <w:tc>
                <w:tcPr>
                  <w:tcW w:w="795" w:type="dxa"/>
                  <w:tcBorders>
                    <w:tl2br w:val="nil"/>
                    <w:tr2bl w:val="nil"/>
                  </w:tcBorders>
                  <w:vAlign w:val="center"/>
                </w:tcPr>
                <w:p w14:paraId="7FCC21A7">
                  <w:pPr>
                    <w:pStyle w:val="108"/>
                    <w:spacing w:before="132" w:line="229" w:lineRule="auto"/>
                    <w:jc w:val="center"/>
                    <w:rPr>
                      <w:color w:val="auto"/>
                      <w:highlight w:val="none"/>
                    </w:rPr>
                  </w:pPr>
                  <w:r>
                    <w:rPr>
                      <w:color w:val="auto"/>
                      <w:highlight w:val="none"/>
                    </w:rPr>
                    <w:t>套</w:t>
                  </w:r>
                </w:p>
              </w:tc>
              <w:tc>
                <w:tcPr>
                  <w:tcW w:w="780" w:type="dxa"/>
                  <w:tcBorders>
                    <w:tl2br w:val="nil"/>
                    <w:tr2bl w:val="nil"/>
                  </w:tcBorders>
                  <w:vAlign w:val="center"/>
                </w:tcPr>
                <w:p w14:paraId="67B28AA2">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5C567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25" w:type="dxa"/>
                  <w:tcBorders>
                    <w:tl2br w:val="nil"/>
                    <w:tr2bl w:val="nil"/>
                  </w:tcBorders>
                  <w:vAlign w:val="center"/>
                </w:tcPr>
                <w:p w14:paraId="7EF8ECD6">
                  <w:pPr>
                    <w:spacing w:before="173" w:line="192"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55</w:t>
                  </w:r>
                </w:p>
              </w:tc>
              <w:tc>
                <w:tcPr>
                  <w:tcW w:w="1365" w:type="dxa"/>
                  <w:vMerge w:val="continue"/>
                  <w:tcBorders>
                    <w:tl2br w:val="nil"/>
                    <w:tr2bl w:val="nil"/>
                  </w:tcBorders>
                  <w:vAlign w:val="center"/>
                </w:tcPr>
                <w:p w14:paraId="25E9B8A4">
                  <w:pPr>
                    <w:jc w:val="center"/>
                    <w:rPr>
                      <w:rFonts w:ascii="Arial"/>
                      <w:color w:val="auto"/>
                      <w:sz w:val="21"/>
                      <w:highlight w:val="none"/>
                    </w:rPr>
                  </w:pPr>
                </w:p>
              </w:tc>
              <w:tc>
                <w:tcPr>
                  <w:tcW w:w="1560" w:type="dxa"/>
                  <w:tcBorders>
                    <w:tl2br w:val="nil"/>
                    <w:tr2bl w:val="nil"/>
                  </w:tcBorders>
                  <w:vAlign w:val="center"/>
                </w:tcPr>
                <w:p w14:paraId="74D5E662">
                  <w:pPr>
                    <w:pStyle w:val="108"/>
                    <w:spacing w:before="134" w:line="228" w:lineRule="auto"/>
                    <w:jc w:val="center"/>
                    <w:rPr>
                      <w:color w:val="auto"/>
                      <w:highlight w:val="none"/>
                    </w:rPr>
                  </w:pPr>
                  <w:r>
                    <w:rPr>
                      <w:color w:val="auto"/>
                      <w:spacing w:val="6"/>
                      <w:highlight w:val="none"/>
                    </w:rPr>
                    <w:t>加药桶</w:t>
                  </w:r>
                </w:p>
              </w:tc>
              <w:tc>
                <w:tcPr>
                  <w:tcW w:w="2985" w:type="dxa"/>
                  <w:tcBorders>
                    <w:tl2br w:val="nil"/>
                    <w:tr2bl w:val="nil"/>
                  </w:tcBorders>
                  <w:vAlign w:val="center"/>
                </w:tcPr>
                <w:p w14:paraId="19B25826">
                  <w:pPr>
                    <w:pStyle w:val="108"/>
                    <w:spacing w:before="133" w:line="221" w:lineRule="auto"/>
                    <w:jc w:val="center"/>
                    <w:rPr>
                      <w:color w:val="auto"/>
                      <w:highlight w:val="none"/>
                    </w:rPr>
                  </w:pPr>
                  <w:r>
                    <w:rPr>
                      <w:rFonts w:ascii="Times New Roman" w:hAnsi="Times New Roman" w:eastAsia="Times New Roman" w:cs="Times New Roman"/>
                      <w:color w:val="auto"/>
                      <w:spacing w:val="5"/>
                      <w:highlight w:val="none"/>
                    </w:rPr>
                    <w:t>1000L</w:t>
                  </w:r>
                  <w:r>
                    <w:rPr>
                      <w:color w:val="auto"/>
                      <w:spacing w:val="5"/>
                      <w:highlight w:val="none"/>
                    </w:rPr>
                    <w:t>容积</w:t>
                  </w:r>
                  <w:r>
                    <w:rPr>
                      <w:rFonts w:ascii="Times New Roman" w:hAnsi="Times New Roman" w:eastAsia="Times New Roman" w:cs="Times New Roman"/>
                      <w:color w:val="auto"/>
                      <w:highlight w:val="none"/>
                    </w:rPr>
                    <w:t>PE</w:t>
                  </w:r>
                  <w:r>
                    <w:rPr>
                      <w:color w:val="auto"/>
                      <w:spacing w:val="5"/>
                      <w:highlight w:val="none"/>
                    </w:rPr>
                    <w:t>箱体</w:t>
                  </w:r>
                  <w:r>
                    <w:rPr>
                      <w:rFonts w:hint="eastAsia"/>
                      <w:color w:val="auto"/>
                      <w:spacing w:val="5"/>
                      <w:highlight w:val="none"/>
                      <w:lang w:eastAsia="zh-CN"/>
                    </w:rPr>
                    <w:t>，</w:t>
                  </w:r>
                  <w:r>
                    <w:rPr>
                      <w:color w:val="auto"/>
                      <w:spacing w:val="5"/>
                      <w:highlight w:val="none"/>
                    </w:rPr>
                    <w:t>配套液位计</w:t>
                  </w:r>
                </w:p>
              </w:tc>
              <w:tc>
                <w:tcPr>
                  <w:tcW w:w="795" w:type="dxa"/>
                  <w:tcBorders>
                    <w:tl2br w:val="nil"/>
                    <w:tr2bl w:val="nil"/>
                  </w:tcBorders>
                  <w:vAlign w:val="center"/>
                </w:tcPr>
                <w:p w14:paraId="6B275786">
                  <w:pPr>
                    <w:pStyle w:val="108"/>
                    <w:spacing w:before="134" w:line="229" w:lineRule="auto"/>
                    <w:jc w:val="center"/>
                    <w:rPr>
                      <w:color w:val="auto"/>
                      <w:highlight w:val="none"/>
                    </w:rPr>
                  </w:pPr>
                  <w:r>
                    <w:rPr>
                      <w:color w:val="auto"/>
                      <w:highlight w:val="none"/>
                    </w:rPr>
                    <w:t>套</w:t>
                  </w:r>
                </w:p>
              </w:tc>
              <w:tc>
                <w:tcPr>
                  <w:tcW w:w="780" w:type="dxa"/>
                  <w:tcBorders>
                    <w:tl2br w:val="nil"/>
                    <w:tr2bl w:val="nil"/>
                  </w:tcBorders>
                  <w:vAlign w:val="center"/>
                </w:tcPr>
                <w:p w14:paraId="18858521">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02DFF9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25" w:type="dxa"/>
                  <w:tcBorders>
                    <w:tl2br w:val="nil"/>
                    <w:tr2bl w:val="nil"/>
                  </w:tcBorders>
                  <w:vAlign w:val="center"/>
                </w:tcPr>
                <w:p w14:paraId="358031C6">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56</w:t>
                  </w:r>
                </w:p>
              </w:tc>
              <w:tc>
                <w:tcPr>
                  <w:tcW w:w="1365" w:type="dxa"/>
                  <w:vMerge w:val="continue"/>
                  <w:tcBorders>
                    <w:tl2br w:val="nil"/>
                    <w:tr2bl w:val="nil"/>
                  </w:tcBorders>
                  <w:vAlign w:val="center"/>
                </w:tcPr>
                <w:p w14:paraId="71FA30C1">
                  <w:pPr>
                    <w:jc w:val="center"/>
                    <w:rPr>
                      <w:rFonts w:ascii="Arial"/>
                      <w:color w:val="auto"/>
                      <w:sz w:val="21"/>
                      <w:highlight w:val="none"/>
                    </w:rPr>
                  </w:pPr>
                </w:p>
              </w:tc>
              <w:tc>
                <w:tcPr>
                  <w:tcW w:w="1560" w:type="dxa"/>
                  <w:tcBorders>
                    <w:tl2br w:val="nil"/>
                    <w:tr2bl w:val="nil"/>
                  </w:tcBorders>
                  <w:vAlign w:val="center"/>
                </w:tcPr>
                <w:p w14:paraId="1945150D">
                  <w:pPr>
                    <w:pStyle w:val="108"/>
                    <w:spacing w:before="134" w:line="228" w:lineRule="auto"/>
                    <w:jc w:val="center"/>
                    <w:rPr>
                      <w:color w:val="auto"/>
                      <w:highlight w:val="none"/>
                    </w:rPr>
                  </w:pPr>
                  <w:r>
                    <w:rPr>
                      <w:color w:val="auto"/>
                      <w:spacing w:val="5"/>
                      <w:highlight w:val="none"/>
                    </w:rPr>
                    <w:t>隔膜计量泵</w:t>
                  </w:r>
                </w:p>
              </w:tc>
              <w:tc>
                <w:tcPr>
                  <w:tcW w:w="2985" w:type="dxa"/>
                  <w:tcBorders>
                    <w:tl2br w:val="nil"/>
                    <w:tr2bl w:val="nil"/>
                  </w:tcBorders>
                  <w:vAlign w:val="center"/>
                </w:tcPr>
                <w:p w14:paraId="131EAB1C">
                  <w:pPr>
                    <w:spacing w:before="103"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Q=50L/h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10</w:t>
                  </w:r>
                  <w:r>
                    <w:rPr>
                      <w:rFonts w:ascii="Times New Roman" w:hAnsi="Times New Roman" w:eastAsia="Times New Roman" w:cs="Times New Roman"/>
                      <w:color w:val="auto"/>
                      <w:position w:val="3"/>
                      <w:sz w:val="20"/>
                      <w:szCs w:val="20"/>
                      <w:highlight w:val="none"/>
                    </w:rPr>
                    <w:t>bar</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0.25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22A9FC81">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1A028242">
                  <w:pPr>
                    <w:spacing w:before="169"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38F6BF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25" w:type="dxa"/>
                  <w:tcBorders>
                    <w:tl2br w:val="nil"/>
                    <w:tr2bl w:val="nil"/>
                  </w:tcBorders>
                  <w:vAlign w:val="center"/>
                </w:tcPr>
                <w:p w14:paraId="75E390CF">
                  <w:pPr>
                    <w:spacing w:before="173" w:line="192"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57</w:t>
                  </w:r>
                </w:p>
              </w:tc>
              <w:tc>
                <w:tcPr>
                  <w:tcW w:w="1365" w:type="dxa"/>
                  <w:vMerge w:val="restart"/>
                  <w:tcBorders>
                    <w:tl2br w:val="nil"/>
                    <w:tr2bl w:val="nil"/>
                  </w:tcBorders>
                  <w:vAlign w:val="center"/>
                </w:tcPr>
                <w:p w14:paraId="4785327E">
                  <w:pPr>
                    <w:pStyle w:val="108"/>
                    <w:spacing w:before="65" w:line="228" w:lineRule="auto"/>
                    <w:jc w:val="center"/>
                    <w:rPr>
                      <w:color w:val="auto"/>
                      <w:highlight w:val="none"/>
                    </w:rPr>
                  </w:pPr>
                  <w:r>
                    <w:rPr>
                      <w:color w:val="auto"/>
                      <w:spacing w:val="7"/>
                      <w:sz w:val="21"/>
                      <w:szCs w:val="21"/>
                      <w:highlight w:val="none"/>
                    </w:rPr>
                    <w:t>次氯酸钠加药装置</w:t>
                  </w:r>
                </w:p>
              </w:tc>
              <w:tc>
                <w:tcPr>
                  <w:tcW w:w="1560" w:type="dxa"/>
                  <w:tcBorders>
                    <w:tl2br w:val="nil"/>
                    <w:tr2bl w:val="nil"/>
                  </w:tcBorders>
                  <w:vAlign w:val="center"/>
                </w:tcPr>
                <w:p w14:paraId="3CAFE5C1">
                  <w:pPr>
                    <w:pStyle w:val="108"/>
                    <w:spacing w:before="134" w:line="228" w:lineRule="auto"/>
                    <w:jc w:val="center"/>
                    <w:rPr>
                      <w:color w:val="auto"/>
                      <w:highlight w:val="none"/>
                    </w:rPr>
                  </w:pPr>
                  <w:r>
                    <w:rPr>
                      <w:color w:val="auto"/>
                      <w:spacing w:val="6"/>
                      <w:highlight w:val="none"/>
                    </w:rPr>
                    <w:t>加药桶</w:t>
                  </w:r>
                </w:p>
              </w:tc>
              <w:tc>
                <w:tcPr>
                  <w:tcW w:w="2985" w:type="dxa"/>
                  <w:tcBorders>
                    <w:tl2br w:val="nil"/>
                    <w:tr2bl w:val="nil"/>
                  </w:tcBorders>
                  <w:vAlign w:val="center"/>
                </w:tcPr>
                <w:p w14:paraId="37B0E9FC">
                  <w:pPr>
                    <w:pStyle w:val="108"/>
                    <w:spacing w:before="134" w:line="221" w:lineRule="auto"/>
                    <w:jc w:val="center"/>
                    <w:rPr>
                      <w:color w:val="auto"/>
                      <w:highlight w:val="none"/>
                    </w:rPr>
                  </w:pPr>
                  <w:r>
                    <w:rPr>
                      <w:rFonts w:ascii="Times New Roman" w:hAnsi="Times New Roman" w:eastAsia="Times New Roman" w:cs="Times New Roman"/>
                      <w:color w:val="auto"/>
                      <w:spacing w:val="5"/>
                      <w:highlight w:val="none"/>
                    </w:rPr>
                    <w:t>1000L</w:t>
                  </w:r>
                  <w:r>
                    <w:rPr>
                      <w:color w:val="auto"/>
                      <w:spacing w:val="5"/>
                      <w:highlight w:val="none"/>
                    </w:rPr>
                    <w:t>容积</w:t>
                  </w:r>
                  <w:r>
                    <w:rPr>
                      <w:rFonts w:ascii="Times New Roman" w:hAnsi="Times New Roman" w:eastAsia="Times New Roman" w:cs="Times New Roman"/>
                      <w:color w:val="auto"/>
                      <w:highlight w:val="none"/>
                    </w:rPr>
                    <w:t>PE</w:t>
                  </w:r>
                  <w:r>
                    <w:rPr>
                      <w:color w:val="auto"/>
                      <w:spacing w:val="5"/>
                      <w:highlight w:val="none"/>
                    </w:rPr>
                    <w:t>箱体</w:t>
                  </w:r>
                  <w:r>
                    <w:rPr>
                      <w:rFonts w:hint="eastAsia" w:ascii="Times New Roman" w:hAnsi="Times New Roman" w:cs="Times New Roman"/>
                      <w:color w:val="auto"/>
                      <w:spacing w:val="5"/>
                      <w:highlight w:val="none"/>
                      <w:lang w:eastAsia="zh-CN"/>
                    </w:rPr>
                    <w:t>，</w:t>
                  </w:r>
                  <w:r>
                    <w:rPr>
                      <w:color w:val="auto"/>
                      <w:spacing w:val="5"/>
                      <w:highlight w:val="none"/>
                    </w:rPr>
                    <w:t>配套液位计</w:t>
                  </w:r>
                </w:p>
              </w:tc>
              <w:tc>
                <w:tcPr>
                  <w:tcW w:w="795" w:type="dxa"/>
                  <w:tcBorders>
                    <w:tl2br w:val="nil"/>
                    <w:tr2bl w:val="nil"/>
                  </w:tcBorders>
                  <w:vAlign w:val="center"/>
                </w:tcPr>
                <w:p w14:paraId="7A729B2C">
                  <w:pPr>
                    <w:pStyle w:val="108"/>
                    <w:spacing w:before="134" w:line="229" w:lineRule="auto"/>
                    <w:jc w:val="center"/>
                    <w:rPr>
                      <w:color w:val="auto"/>
                      <w:highlight w:val="none"/>
                    </w:rPr>
                  </w:pPr>
                  <w:r>
                    <w:rPr>
                      <w:color w:val="auto"/>
                      <w:highlight w:val="none"/>
                    </w:rPr>
                    <w:t>套</w:t>
                  </w:r>
                </w:p>
              </w:tc>
              <w:tc>
                <w:tcPr>
                  <w:tcW w:w="780" w:type="dxa"/>
                  <w:tcBorders>
                    <w:tl2br w:val="nil"/>
                    <w:tr2bl w:val="nil"/>
                  </w:tcBorders>
                  <w:vAlign w:val="center"/>
                </w:tcPr>
                <w:p w14:paraId="7B3FDF4C">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27D331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525" w:type="dxa"/>
                  <w:tcBorders>
                    <w:tl2br w:val="nil"/>
                    <w:tr2bl w:val="nil"/>
                  </w:tcBorders>
                  <w:vAlign w:val="center"/>
                </w:tcPr>
                <w:p w14:paraId="25D1C27F">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58</w:t>
                  </w:r>
                </w:p>
              </w:tc>
              <w:tc>
                <w:tcPr>
                  <w:tcW w:w="1365" w:type="dxa"/>
                  <w:vMerge w:val="continue"/>
                  <w:tcBorders>
                    <w:tl2br w:val="nil"/>
                    <w:tr2bl w:val="nil"/>
                  </w:tcBorders>
                  <w:vAlign w:val="center"/>
                </w:tcPr>
                <w:p w14:paraId="060B954B">
                  <w:pPr>
                    <w:jc w:val="center"/>
                    <w:rPr>
                      <w:rFonts w:ascii="Arial"/>
                      <w:color w:val="auto"/>
                      <w:sz w:val="21"/>
                      <w:highlight w:val="none"/>
                    </w:rPr>
                  </w:pPr>
                </w:p>
              </w:tc>
              <w:tc>
                <w:tcPr>
                  <w:tcW w:w="1560" w:type="dxa"/>
                  <w:tcBorders>
                    <w:tl2br w:val="nil"/>
                    <w:tr2bl w:val="nil"/>
                  </w:tcBorders>
                  <w:vAlign w:val="center"/>
                </w:tcPr>
                <w:p w14:paraId="08E34918">
                  <w:pPr>
                    <w:pStyle w:val="108"/>
                    <w:spacing w:before="134" w:line="228" w:lineRule="auto"/>
                    <w:jc w:val="center"/>
                    <w:rPr>
                      <w:color w:val="auto"/>
                      <w:highlight w:val="none"/>
                    </w:rPr>
                  </w:pPr>
                  <w:r>
                    <w:rPr>
                      <w:color w:val="auto"/>
                      <w:spacing w:val="5"/>
                      <w:highlight w:val="none"/>
                    </w:rPr>
                    <w:t>隔膜计量泵</w:t>
                  </w:r>
                </w:p>
              </w:tc>
              <w:tc>
                <w:tcPr>
                  <w:tcW w:w="2985" w:type="dxa"/>
                  <w:tcBorders>
                    <w:tl2br w:val="nil"/>
                    <w:tr2bl w:val="nil"/>
                  </w:tcBorders>
                  <w:vAlign w:val="center"/>
                </w:tcPr>
                <w:p w14:paraId="003DEE55">
                  <w:pPr>
                    <w:spacing w:before="105"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4"/>
                      <w:position w:val="3"/>
                      <w:sz w:val="20"/>
                      <w:szCs w:val="20"/>
                      <w:highlight w:val="none"/>
                    </w:rPr>
                    <w:t>Q=25L/h</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12</w:t>
                  </w:r>
                  <w:r>
                    <w:rPr>
                      <w:rFonts w:ascii="Times New Roman" w:hAnsi="Times New Roman" w:eastAsia="Times New Roman" w:cs="Times New Roman"/>
                      <w:color w:val="auto"/>
                      <w:position w:val="3"/>
                      <w:sz w:val="20"/>
                      <w:szCs w:val="20"/>
                      <w:highlight w:val="none"/>
                    </w:rPr>
                    <w:t>bar</w:t>
                  </w:r>
                  <w:r>
                    <w:rPr>
                      <w:rFonts w:hint="eastAsia" w:ascii="Times New Roman" w:hAnsi="Times New Roman" w:eastAsia="宋体" w:cs="Times New Roman"/>
                      <w:color w:val="auto"/>
                      <w:spacing w:val="4"/>
                      <w:position w:val="3"/>
                      <w:sz w:val="20"/>
                      <w:szCs w:val="20"/>
                      <w:highlight w:val="none"/>
                      <w:lang w:eastAsia="zh-CN"/>
                    </w:rPr>
                    <w:t>，</w:t>
                  </w:r>
                  <w:r>
                    <w:rPr>
                      <w:rFonts w:ascii="Times New Roman" w:hAnsi="Times New Roman" w:eastAsia="Times New Roman" w:cs="Times New Roman"/>
                      <w:color w:val="auto"/>
                      <w:spacing w:val="4"/>
                      <w:position w:val="3"/>
                      <w:sz w:val="20"/>
                      <w:szCs w:val="20"/>
                      <w:highlight w:val="none"/>
                    </w:rPr>
                    <w:t>0.25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5D1531B5">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2BF037DC">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1C9A5C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25" w:type="dxa"/>
                  <w:tcBorders>
                    <w:tl2br w:val="nil"/>
                    <w:tr2bl w:val="nil"/>
                  </w:tcBorders>
                  <w:vAlign w:val="center"/>
                </w:tcPr>
                <w:p w14:paraId="70DC2434">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59</w:t>
                  </w:r>
                </w:p>
              </w:tc>
              <w:tc>
                <w:tcPr>
                  <w:tcW w:w="1365" w:type="dxa"/>
                  <w:tcBorders>
                    <w:tl2br w:val="nil"/>
                    <w:tr2bl w:val="nil"/>
                  </w:tcBorders>
                  <w:vAlign w:val="center"/>
                </w:tcPr>
                <w:p w14:paraId="19C74C20">
                  <w:pPr>
                    <w:pStyle w:val="108"/>
                    <w:spacing w:before="133" w:line="228" w:lineRule="auto"/>
                    <w:jc w:val="center"/>
                    <w:rPr>
                      <w:color w:val="auto"/>
                      <w:highlight w:val="none"/>
                    </w:rPr>
                  </w:pPr>
                  <w:r>
                    <w:rPr>
                      <w:color w:val="auto"/>
                      <w:spacing w:val="7"/>
                      <w:highlight w:val="none"/>
                    </w:rPr>
                    <w:t>轴流风机</w:t>
                  </w:r>
                </w:p>
              </w:tc>
              <w:tc>
                <w:tcPr>
                  <w:tcW w:w="1560" w:type="dxa"/>
                  <w:tcBorders>
                    <w:tl2br w:val="nil"/>
                    <w:tr2bl w:val="nil"/>
                  </w:tcBorders>
                  <w:vAlign w:val="center"/>
                </w:tcPr>
                <w:p w14:paraId="6CC34247">
                  <w:pPr>
                    <w:pStyle w:val="108"/>
                    <w:spacing w:before="133" w:line="223" w:lineRule="auto"/>
                    <w:jc w:val="center"/>
                    <w:rPr>
                      <w:color w:val="auto"/>
                      <w:highlight w:val="none"/>
                    </w:rPr>
                  </w:pPr>
                  <w:r>
                    <w:rPr>
                      <w:color w:val="auto"/>
                      <w:spacing w:val="5"/>
                      <w:highlight w:val="none"/>
                    </w:rPr>
                    <w:t>圆形</w:t>
                  </w:r>
                  <w:r>
                    <w:rPr>
                      <w:rFonts w:hint="eastAsia" w:ascii="Times New Roman" w:hAnsi="Times New Roman" w:cs="Times New Roman"/>
                      <w:color w:val="auto"/>
                      <w:spacing w:val="5"/>
                      <w:highlight w:val="none"/>
                      <w:lang w:eastAsia="zh-CN"/>
                    </w:rPr>
                    <w:t>，</w:t>
                  </w:r>
                  <w:r>
                    <w:rPr>
                      <w:color w:val="auto"/>
                      <w:spacing w:val="5"/>
                      <w:highlight w:val="none"/>
                    </w:rPr>
                    <w:t>带防鸟网</w:t>
                  </w:r>
                </w:p>
              </w:tc>
              <w:tc>
                <w:tcPr>
                  <w:tcW w:w="2985" w:type="dxa"/>
                  <w:tcBorders>
                    <w:tl2br w:val="nil"/>
                    <w:tr2bl w:val="nil"/>
                  </w:tcBorders>
                  <w:vAlign w:val="center"/>
                </w:tcPr>
                <w:p w14:paraId="7FBA8BEA">
                  <w:pPr>
                    <w:spacing w:before="105"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6"/>
                      <w:position w:val="3"/>
                      <w:sz w:val="20"/>
                      <w:szCs w:val="20"/>
                      <w:highlight w:val="none"/>
                    </w:rPr>
                    <w:t>Φ365</w:t>
                  </w:r>
                  <w:r>
                    <w:rPr>
                      <w:rFonts w:ascii="Times New Roman" w:hAnsi="Times New Roman" w:eastAsia="Times New Roman" w:cs="Times New Roman"/>
                      <w:color w:val="auto"/>
                      <w:position w:val="3"/>
                      <w:sz w:val="20"/>
                      <w:szCs w:val="20"/>
                      <w:highlight w:val="none"/>
                    </w:rPr>
                    <w:t>mm</w:t>
                  </w:r>
                  <w:r>
                    <w:rPr>
                      <w:rFonts w:hint="eastAsia" w:ascii="Times New Roman" w:hAnsi="Times New Roman" w:eastAsia="宋体" w:cs="Times New Roman"/>
                      <w:color w:val="auto"/>
                      <w:spacing w:val="6"/>
                      <w:position w:val="3"/>
                      <w:sz w:val="20"/>
                      <w:szCs w:val="20"/>
                      <w:highlight w:val="none"/>
                      <w:lang w:eastAsia="zh-CN"/>
                    </w:rPr>
                    <w:t>，</w:t>
                  </w:r>
                  <w:r>
                    <w:rPr>
                      <w:rFonts w:ascii="Times New Roman" w:hAnsi="Times New Roman" w:eastAsia="Times New Roman" w:cs="Times New Roman"/>
                      <w:color w:val="auto"/>
                      <w:spacing w:val="6"/>
                      <w:position w:val="3"/>
                      <w:sz w:val="20"/>
                      <w:szCs w:val="20"/>
                      <w:highlight w:val="none"/>
                    </w:rPr>
                    <w:t>L=250</w:t>
                  </w:r>
                  <w:r>
                    <w:rPr>
                      <w:rFonts w:hint="eastAsia" w:ascii="Times New Roman" w:hAnsi="Times New Roman" w:eastAsia="宋体" w:cs="Times New Roman"/>
                      <w:color w:val="auto"/>
                      <w:spacing w:val="6"/>
                      <w:position w:val="3"/>
                      <w:sz w:val="20"/>
                      <w:szCs w:val="20"/>
                      <w:highlight w:val="none"/>
                      <w:lang w:eastAsia="zh-CN"/>
                    </w:rPr>
                    <w:t>，</w:t>
                  </w:r>
                  <w:r>
                    <w:rPr>
                      <w:rFonts w:ascii="Times New Roman" w:hAnsi="Times New Roman" w:eastAsia="Times New Roman" w:cs="Times New Roman"/>
                      <w:color w:val="auto"/>
                      <w:spacing w:val="6"/>
                      <w:position w:val="3"/>
                      <w:sz w:val="20"/>
                      <w:szCs w:val="20"/>
                      <w:highlight w:val="none"/>
                    </w:rPr>
                    <w:t>0.15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0BB17DBA">
                  <w:pPr>
                    <w:pStyle w:val="108"/>
                    <w:spacing w:before="133" w:line="231" w:lineRule="auto"/>
                    <w:jc w:val="center"/>
                    <w:rPr>
                      <w:color w:val="auto"/>
                      <w:highlight w:val="none"/>
                    </w:rPr>
                  </w:pPr>
                  <w:r>
                    <w:rPr>
                      <w:color w:val="auto"/>
                      <w:highlight w:val="none"/>
                    </w:rPr>
                    <w:t>台</w:t>
                  </w:r>
                </w:p>
              </w:tc>
              <w:tc>
                <w:tcPr>
                  <w:tcW w:w="780" w:type="dxa"/>
                  <w:tcBorders>
                    <w:tl2br w:val="nil"/>
                    <w:tr2bl w:val="nil"/>
                  </w:tcBorders>
                  <w:vAlign w:val="center"/>
                </w:tcPr>
                <w:p w14:paraId="642B6DC8">
                  <w:pPr>
                    <w:spacing w:before="172"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061906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25" w:type="dxa"/>
                  <w:tcBorders>
                    <w:tl2br w:val="nil"/>
                    <w:tr2bl w:val="nil"/>
                  </w:tcBorders>
                  <w:vAlign w:val="center"/>
                </w:tcPr>
                <w:p w14:paraId="2866E0A1">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60</w:t>
                  </w:r>
                </w:p>
              </w:tc>
              <w:tc>
                <w:tcPr>
                  <w:tcW w:w="1365" w:type="dxa"/>
                  <w:tcBorders>
                    <w:tl2br w:val="nil"/>
                    <w:tr2bl w:val="nil"/>
                  </w:tcBorders>
                  <w:vAlign w:val="center"/>
                </w:tcPr>
                <w:p w14:paraId="3F5421A0">
                  <w:pPr>
                    <w:pStyle w:val="108"/>
                    <w:spacing w:before="132" w:line="228" w:lineRule="auto"/>
                    <w:jc w:val="center"/>
                    <w:rPr>
                      <w:color w:val="auto"/>
                      <w:highlight w:val="none"/>
                    </w:rPr>
                  </w:pPr>
                  <w:r>
                    <w:rPr>
                      <w:color w:val="auto"/>
                      <w:spacing w:val="6"/>
                      <w:highlight w:val="none"/>
                    </w:rPr>
                    <w:t>罗茨风机</w:t>
                  </w:r>
                </w:p>
              </w:tc>
              <w:tc>
                <w:tcPr>
                  <w:tcW w:w="1560" w:type="dxa"/>
                  <w:tcBorders>
                    <w:tl2br w:val="nil"/>
                    <w:tr2bl w:val="nil"/>
                  </w:tcBorders>
                  <w:vAlign w:val="center"/>
                </w:tcPr>
                <w:p w14:paraId="56736FC9">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1E7F37D5">
                  <w:pPr>
                    <w:spacing w:before="104" w:line="275"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Q=9.27</w:t>
                  </w:r>
                  <w:r>
                    <w:rPr>
                      <w:rFonts w:ascii="Times New Roman" w:hAnsi="Times New Roman" w:eastAsia="Times New Roman" w:cs="Times New Roman"/>
                      <w:color w:val="auto"/>
                      <w:position w:val="3"/>
                      <w:sz w:val="20"/>
                      <w:szCs w:val="20"/>
                      <w:highlight w:val="none"/>
                    </w:rPr>
                    <w:t>Nm</w:t>
                  </w:r>
                  <w:r>
                    <w:rPr>
                      <w:rFonts w:ascii="Times New Roman" w:hAnsi="Times New Roman" w:eastAsia="Times New Roman" w:cs="Times New Roman"/>
                      <w:color w:val="auto"/>
                      <w:spacing w:val="5"/>
                      <w:position w:val="3"/>
                      <w:sz w:val="20"/>
                      <w:szCs w:val="20"/>
                      <w:highlight w:val="none"/>
                    </w:rPr>
                    <w:t>/</w:t>
                  </w:r>
                  <w:r>
                    <w:rPr>
                      <w:rFonts w:ascii="Times New Roman" w:hAnsi="Times New Roman" w:eastAsia="Times New Roman" w:cs="Times New Roman"/>
                      <w:color w:val="auto"/>
                      <w:position w:val="3"/>
                      <w:sz w:val="20"/>
                      <w:szCs w:val="20"/>
                      <w:highlight w:val="none"/>
                    </w:rPr>
                    <w:t>min</w:t>
                  </w:r>
                  <w:r>
                    <w:rPr>
                      <w:rFonts w:hint="eastAsia" w:ascii="Times New Roman" w:hAnsi="Times New Roman" w:eastAsia="宋体" w:cs="Times New Roman"/>
                      <w:color w:val="auto"/>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P=63.7</w:t>
                  </w:r>
                  <w:r>
                    <w:rPr>
                      <w:rFonts w:ascii="Times New Roman" w:hAnsi="Times New Roman" w:eastAsia="Times New Roman" w:cs="Times New Roman"/>
                      <w:color w:val="auto"/>
                      <w:position w:val="3"/>
                      <w:sz w:val="20"/>
                      <w:szCs w:val="20"/>
                      <w:highlight w:val="none"/>
                    </w:rPr>
                    <w:t>kPa</w:t>
                  </w:r>
                  <w:r>
                    <w:rPr>
                      <w:rFonts w:hint="eastAsia" w:ascii="Times New Roman" w:hAnsi="Times New Roman" w:eastAsia="宋体" w:cs="Times New Roman"/>
                      <w:color w:val="auto"/>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N=18.5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004D3964">
                  <w:pPr>
                    <w:pStyle w:val="108"/>
                    <w:spacing w:before="132" w:line="231" w:lineRule="auto"/>
                    <w:jc w:val="center"/>
                    <w:rPr>
                      <w:color w:val="auto"/>
                      <w:highlight w:val="none"/>
                    </w:rPr>
                  </w:pPr>
                  <w:r>
                    <w:rPr>
                      <w:color w:val="auto"/>
                      <w:highlight w:val="none"/>
                    </w:rPr>
                    <w:t>台</w:t>
                  </w:r>
                </w:p>
              </w:tc>
              <w:tc>
                <w:tcPr>
                  <w:tcW w:w="780" w:type="dxa"/>
                  <w:tcBorders>
                    <w:tl2br w:val="nil"/>
                    <w:tr2bl w:val="nil"/>
                  </w:tcBorders>
                  <w:vAlign w:val="center"/>
                </w:tcPr>
                <w:p w14:paraId="4FE97026">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r w14:paraId="570972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25" w:type="dxa"/>
                  <w:tcBorders>
                    <w:tl2br w:val="nil"/>
                    <w:tr2bl w:val="nil"/>
                  </w:tcBorders>
                  <w:vAlign w:val="center"/>
                </w:tcPr>
                <w:p w14:paraId="1185EDEC">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61</w:t>
                  </w:r>
                </w:p>
              </w:tc>
              <w:tc>
                <w:tcPr>
                  <w:tcW w:w="1365" w:type="dxa"/>
                  <w:tcBorders>
                    <w:tl2br w:val="nil"/>
                    <w:tr2bl w:val="nil"/>
                  </w:tcBorders>
                  <w:vAlign w:val="center"/>
                </w:tcPr>
                <w:p w14:paraId="4ABDD08B">
                  <w:pPr>
                    <w:pStyle w:val="108"/>
                    <w:spacing w:before="134" w:line="228" w:lineRule="auto"/>
                    <w:jc w:val="center"/>
                    <w:rPr>
                      <w:color w:val="auto"/>
                      <w:highlight w:val="none"/>
                    </w:rPr>
                  </w:pPr>
                  <w:r>
                    <w:rPr>
                      <w:color w:val="auto"/>
                      <w:spacing w:val="1"/>
                      <w:highlight w:val="none"/>
                    </w:rPr>
                    <w:t>电动葫芦</w:t>
                  </w:r>
                </w:p>
              </w:tc>
              <w:tc>
                <w:tcPr>
                  <w:tcW w:w="1560" w:type="dxa"/>
                  <w:tcBorders>
                    <w:tl2br w:val="nil"/>
                    <w:tr2bl w:val="nil"/>
                  </w:tcBorders>
                  <w:vAlign w:val="center"/>
                </w:tcPr>
                <w:p w14:paraId="2CA14357">
                  <w:pPr>
                    <w:jc w:val="center"/>
                    <w:rPr>
                      <w:rFonts w:hint="eastAsia" w:ascii="Arial" w:eastAsia="宋体"/>
                      <w:color w:val="auto"/>
                      <w:sz w:val="21"/>
                      <w:highlight w:val="none"/>
                      <w:lang w:val="en-US" w:eastAsia="zh-CN"/>
                    </w:rPr>
                  </w:pPr>
                  <w:r>
                    <w:rPr>
                      <w:rFonts w:hint="eastAsia" w:ascii="Arial"/>
                      <w:color w:val="auto"/>
                      <w:sz w:val="21"/>
                      <w:highlight w:val="none"/>
                      <w:lang w:val="en-US" w:eastAsia="zh-CN"/>
                    </w:rPr>
                    <w:t>/</w:t>
                  </w:r>
                </w:p>
              </w:tc>
              <w:tc>
                <w:tcPr>
                  <w:tcW w:w="2985" w:type="dxa"/>
                  <w:tcBorders>
                    <w:tl2br w:val="nil"/>
                    <w:tr2bl w:val="nil"/>
                  </w:tcBorders>
                  <w:vAlign w:val="center"/>
                </w:tcPr>
                <w:p w14:paraId="0B690D51">
                  <w:pPr>
                    <w:pStyle w:val="108"/>
                    <w:spacing w:before="104" w:line="274" w:lineRule="exact"/>
                    <w:jc w:val="center"/>
                    <w:rPr>
                      <w:rFonts w:ascii="Times New Roman" w:hAnsi="Times New Roman" w:eastAsia="Times New Roman" w:cs="Times New Roman"/>
                      <w:color w:val="auto"/>
                      <w:highlight w:val="none"/>
                    </w:rPr>
                  </w:pPr>
                  <w:r>
                    <w:rPr>
                      <w:color w:val="auto"/>
                      <w:spacing w:val="3"/>
                      <w:position w:val="2"/>
                      <w:highlight w:val="none"/>
                    </w:rPr>
                    <w:t>起吊重力</w:t>
                  </w:r>
                  <w:r>
                    <w:rPr>
                      <w:rFonts w:ascii="Times New Roman" w:hAnsi="Times New Roman" w:eastAsia="Times New Roman" w:cs="Times New Roman"/>
                      <w:color w:val="auto"/>
                      <w:spacing w:val="3"/>
                      <w:position w:val="2"/>
                      <w:highlight w:val="none"/>
                    </w:rPr>
                    <w:t>1.0t</w:t>
                  </w:r>
                  <w:r>
                    <w:rPr>
                      <w:rFonts w:hint="eastAsia" w:ascii="Times New Roman" w:hAnsi="Times New Roman" w:cs="Times New Roman"/>
                      <w:color w:val="auto"/>
                      <w:spacing w:val="3"/>
                      <w:position w:val="2"/>
                      <w:highlight w:val="none"/>
                      <w:lang w:eastAsia="zh-CN"/>
                    </w:rPr>
                    <w:t>，</w:t>
                  </w:r>
                  <w:r>
                    <w:rPr>
                      <w:color w:val="auto"/>
                      <w:spacing w:val="3"/>
                      <w:position w:val="2"/>
                      <w:highlight w:val="none"/>
                    </w:rPr>
                    <w:t>起吊高度</w:t>
                  </w:r>
                  <w:r>
                    <w:rPr>
                      <w:rFonts w:ascii="Times New Roman" w:hAnsi="Times New Roman" w:eastAsia="Times New Roman" w:cs="Times New Roman"/>
                      <w:color w:val="auto"/>
                      <w:spacing w:val="3"/>
                      <w:position w:val="2"/>
                      <w:highlight w:val="none"/>
                    </w:rPr>
                    <w:t>5.0m</w:t>
                  </w:r>
                  <w:r>
                    <w:rPr>
                      <w:rFonts w:hint="eastAsia" w:ascii="Times New Roman" w:hAnsi="Times New Roman" w:cs="Times New Roman"/>
                      <w:color w:val="auto"/>
                      <w:spacing w:val="3"/>
                      <w:position w:val="2"/>
                      <w:highlight w:val="none"/>
                      <w:lang w:eastAsia="zh-CN"/>
                    </w:rPr>
                    <w:t>，</w:t>
                  </w:r>
                  <w:r>
                    <w:rPr>
                      <w:rFonts w:ascii="Times New Roman" w:hAnsi="Times New Roman" w:eastAsia="Times New Roman" w:cs="Times New Roman"/>
                      <w:color w:val="auto"/>
                      <w:spacing w:val="3"/>
                      <w:position w:val="2"/>
                      <w:highlight w:val="none"/>
                    </w:rPr>
                    <w:t>N=1.7</w:t>
                  </w:r>
                  <w:r>
                    <w:rPr>
                      <w:rFonts w:ascii="Times New Roman" w:hAnsi="Times New Roman" w:eastAsia="Times New Roman" w:cs="Times New Roman"/>
                      <w:color w:val="auto"/>
                      <w:position w:val="2"/>
                      <w:highlight w:val="none"/>
                    </w:rPr>
                    <w:t>kw</w:t>
                  </w:r>
                </w:p>
              </w:tc>
              <w:tc>
                <w:tcPr>
                  <w:tcW w:w="795" w:type="dxa"/>
                  <w:tcBorders>
                    <w:tl2br w:val="nil"/>
                    <w:tr2bl w:val="nil"/>
                  </w:tcBorders>
                  <w:vAlign w:val="center"/>
                </w:tcPr>
                <w:p w14:paraId="23AE4172">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33752349">
                  <w:pPr>
                    <w:spacing w:before="171"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r>
            <w:tr w14:paraId="1098F5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5" w:type="dxa"/>
                  <w:tcBorders>
                    <w:tl2br w:val="nil"/>
                    <w:tr2bl w:val="nil"/>
                  </w:tcBorders>
                  <w:vAlign w:val="center"/>
                </w:tcPr>
                <w:p w14:paraId="6E0797CC">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62</w:t>
                  </w:r>
                </w:p>
              </w:tc>
              <w:tc>
                <w:tcPr>
                  <w:tcW w:w="1365" w:type="dxa"/>
                  <w:tcBorders>
                    <w:tl2br w:val="nil"/>
                    <w:tr2bl w:val="nil"/>
                  </w:tcBorders>
                  <w:vAlign w:val="center"/>
                </w:tcPr>
                <w:p w14:paraId="37BB7B14">
                  <w:pPr>
                    <w:pStyle w:val="108"/>
                    <w:spacing w:before="134" w:line="228" w:lineRule="auto"/>
                    <w:jc w:val="center"/>
                    <w:rPr>
                      <w:color w:val="auto"/>
                      <w:highlight w:val="none"/>
                    </w:rPr>
                  </w:pPr>
                  <w:r>
                    <w:rPr>
                      <w:color w:val="auto"/>
                      <w:spacing w:val="7"/>
                      <w:highlight w:val="none"/>
                    </w:rPr>
                    <w:t>轴流风机</w:t>
                  </w:r>
                </w:p>
              </w:tc>
              <w:tc>
                <w:tcPr>
                  <w:tcW w:w="1560" w:type="dxa"/>
                  <w:tcBorders>
                    <w:tl2br w:val="nil"/>
                    <w:tr2bl w:val="nil"/>
                  </w:tcBorders>
                  <w:vAlign w:val="center"/>
                </w:tcPr>
                <w:p w14:paraId="6998F920">
                  <w:pPr>
                    <w:pStyle w:val="108"/>
                    <w:spacing w:before="134" w:line="221" w:lineRule="auto"/>
                    <w:jc w:val="center"/>
                    <w:rPr>
                      <w:color w:val="auto"/>
                      <w:highlight w:val="none"/>
                    </w:rPr>
                  </w:pPr>
                  <w:r>
                    <w:rPr>
                      <w:color w:val="auto"/>
                      <w:spacing w:val="7"/>
                      <w:highlight w:val="none"/>
                    </w:rPr>
                    <w:t>方形</w:t>
                  </w:r>
                  <w:r>
                    <w:rPr>
                      <w:rFonts w:hint="eastAsia"/>
                      <w:color w:val="auto"/>
                      <w:spacing w:val="7"/>
                      <w:highlight w:val="none"/>
                      <w:lang w:eastAsia="zh-CN"/>
                    </w:rPr>
                    <w:t>，</w:t>
                  </w:r>
                  <w:r>
                    <w:rPr>
                      <w:color w:val="auto"/>
                      <w:spacing w:val="7"/>
                      <w:highlight w:val="none"/>
                    </w:rPr>
                    <w:t>带百叶隔音</w:t>
                  </w:r>
                </w:p>
              </w:tc>
              <w:tc>
                <w:tcPr>
                  <w:tcW w:w="2985" w:type="dxa"/>
                  <w:tcBorders>
                    <w:tl2br w:val="nil"/>
                    <w:tr2bl w:val="nil"/>
                  </w:tcBorders>
                  <w:vAlign w:val="center"/>
                </w:tcPr>
                <w:p w14:paraId="04790D38">
                  <w:pPr>
                    <w:spacing w:before="104" w:line="274" w:lineRule="exact"/>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position w:val="3"/>
                      <w:sz w:val="20"/>
                      <w:szCs w:val="20"/>
                      <w:highlight w:val="none"/>
                    </w:rPr>
                    <w:t>390*390</w:t>
                  </w:r>
                  <w:r>
                    <w:rPr>
                      <w:rFonts w:ascii="Times New Roman" w:hAnsi="Times New Roman" w:eastAsia="Times New Roman" w:cs="Times New Roman"/>
                      <w:color w:val="auto"/>
                      <w:position w:val="3"/>
                      <w:sz w:val="20"/>
                      <w:szCs w:val="20"/>
                      <w:highlight w:val="none"/>
                    </w:rPr>
                    <w:t>mm</w:t>
                  </w:r>
                  <w:r>
                    <w:rPr>
                      <w:rFonts w:hint="eastAsia" w:ascii="Times New Roman" w:hAnsi="Times New Roman" w:eastAsia="宋体" w:cs="Times New Roman"/>
                      <w:color w:val="auto"/>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L=250</w:t>
                  </w:r>
                  <w:r>
                    <w:rPr>
                      <w:rFonts w:hint="eastAsia" w:ascii="Times New Roman" w:hAnsi="Times New Roman" w:eastAsia="宋体" w:cs="Times New Roman"/>
                      <w:color w:val="auto"/>
                      <w:spacing w:val="5"/>
                      <w:position w:val="3"/>
                      <w:sz w:val="20"/>
                      <w:szCs w:val="20"/>
                      <w:highlight w:val="none"/>
                      <w:lang w:eastAsia="zh-CN"/>
                    </w:rPr>
                    <w:t>，</w:t>
                  </w:r>
                  <w:r>
                    <w:rPr>
                      <w:rFonts w:ascii="Times New Roman" w:hAnsi="Times New Roman" w:eastAsia="Times New Roman" w:cs="Times New Roman"/>
                      <w:color w:val="auto"/>
                      <w:spacing w:val="5"/>
                      <w:position w:val="3"/>
                      <w:sz w:val="20"/>
                      <w:szCs w:val="20"/>
                      <w:highlight w:val="none"/>
                    </w:rPr>
                    <w:t>0.15</w:t>
                  </w:r>
                  <w:r>
                    <w:rPr>
                      <w:rFonts w:ascii="Times New Roman" w:hAnsi="Times New Roman" w:eastAsia="Times New Roman" w:cs="Times New Roman"/>
                      <w:color w:val="auto"/>
                      <w:position w:val="3"/>
                      <w:sz w:val="20"/>
                      <w:szCs w:val="20"/>
                      <w:highlight w:val="none"/>
                    </w:rPr>
                    <w:t>kW</w:t>
                  </w:r>
                </w:p>
              </w:tc>
              <w:tc>
                <w:tcPr>
                  <w:tcW w:w="795" w:type="dxa"/>
                  <w:tcBorders>
                    <w:tl2br w:val="nil"/>
                    <w:tr2bl w:val="nil"/>
                  </w:tcBorders>
                  <w:vAlign w:val="center"/>
                </w:tcPr>
                <w:p w14:paraId="05BD3015">
                  <w:pPr>
                    <w:pStyle w:val="108"/>
                    <w:spacing w:before="134" w:line="231" w:lineRule="auto"/>
                    <w:jc w:val="center"/>
                    <w:rPr>
                      <w:color w:val="auto"/>
                      <w:highlight w:val="none"/>
                    </w:rPr>
                  </w:pPr>
                  <w:r>
                    <w:rPr>
                      <w:color w:val="auto"/>
                      <w:highlight w:val="none"/>
                    </w:rPr>
                    <w:t>台</w:t>
                  </w:r>
                </w:p>
              </w:tc>
              <w:tc>
                <w:tcPr>
                  <w:tcW w:w="780" w:type="dxa"/>
                  <w:tcBorders>
                    <w:tl2br w:val="nil"/>
                    <w:tr2bl w:val="nil"/>
                  </w:tcBorders>
                  <w:vAlign w:val="center"/>
                </w:tcPr>
                <w:p w14:paraId="3907187D">
                  <w:pPr>
                    <w:spacing w:before="170" w:line="195" w:lineRule="auto"/>
                    <w:jc w:val="center"/>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r>
          </w:tbl>
          <w:p w14:paraId="6D1A3B95">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0" w:leftChars="0" w:firstLine="482" w:firstLineChars="200"/>
              <w:jc w:val="both"/>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kern w:val="2"/>
                <w:sz w:val="24"/>
                <w:szCs w:val="24"/>
                <w:highlight w:val="none"/>
                <w:lang w:val="en-US" w:eastAsia="zh-CN" w:bidi="ar-SA"/>
              </w:rPr>
              <w:t>4、</w:t>
            </w:r>
            <w:r>
              <w:rPr>
                <w:rFonts w:hint="default" w:ascii="Times New Roman" w:hAnsi="Times New Roman" w:eastAsia="宋体" w:cs="Times New Roman"/>
                <w:b/>
                <w:bCs w:val="0"/>
                <w:color w:val="auto"/>
                <w:sz w:val="24"/>
                <w:szCs w:val="24"/>
                <w:highlight w:val="none"/>
                <w:lang w:val="en-US" w:eastAsia="zh-CN"/>
              </w:rPr>
              <w:t>污水处理站进水水质及出水水质</w:t>
            </w:r>
          </w:p>
          <w:p w14:paraId="2848FCE8">
            <w:pPr>
              <w:snapToGrid w:val="0"/>
              <w:spacing w:line="360"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根据</w:t>
            </w:r>
            <w:r>
              <w:rPr>
                <w:rFonts w:hint="eastAsia" w:cs="Times New Roman"/>
                <w:color w:val="auto"/>
                <w:sz w:val="24"/>
                <w:highlight w:val="none"/>
                <w:lang w:eastAsia="zh-CN"/>
              </w:rPr>
              <w:t>项目初步设计报告可知</w:t>
            </w:r>
            <w:r>
              <w:rPr>
                <w:rFonts w:hint="default" w:ascii="Times New Roman" w:hAnsi="Times New Roman" w:cs="Times New Roman"/>
                <w:color w:val="auto"/>
                <w:sz w:val="24"/>
                <w:highlight w:val="none"/>
                <w:lang w:eastAsia="zh-CN"/>
              </w:rPr>
              <w:t>，</w:t>
            </w:r>
            <w:r>
              <w:rPr>
                <w:rFonts w:hint="eastAsia" w:cs="Times New Roman"/>
                <w:color w:val="auto"/>
                <w:sz w:val="24"/>
                <w:highlight w:val="none"/>
                <w:lang w:eastAsia="zh-CN"/>
              </w:rPr>
              <w:t>谢村镇四〇五</w:t>
            </w:r>
            <w:r>
              <w:rPr>
                <w:rFonts w:hint="default" w:ascii="Times New Roman" w:hAnsi="Times New Roman" w:cs="Times New Roman"/>
                <w:color w:val="auto"/>
                <w:sz w:val="24"/>
                <w:highlight w:val="none"/>
              </w:rPr>
              <w:t>污水处理</w:t>
            </w:r>
            <w:r>
              <w:rPr>
                <w:rFonts w:hint="eastAsia" w:cs="Times New Roman"/>
                <w:color w:val="auto"/>
                <w:sz w:val="24"/>
                <w:highlight w:val="none"/>
                <w:lang w:val="en-US" w:eastAsia="zh-CN"/>
              </w:rPr>
              <w:t>厂</w:t>
            </w:r>
            <w:r>
              <w:rPr>
                <w:rFonts w:hint="default" w:ascii="Times New Roman" w:hAnsi="Times New Roman" w:cs="Times New Roman"/>
                <w:color w:val="auto"/>
                <w:sz w:val="24"/>
                <w:highlight w:val="none"/>
              </w:rPr>
              <w:t>进水水质</w:t>
            </w:r>
            <w:r>
              <w:rPr>
                <w:rFonts w:hint="default" w:ascii="Times New Roman" w:hAnsi="Times New Roman" w:cs="Times New Roman"/>
                <w:color w:val="auto"/>
                <w:sz w:val="24"/>
                <w:highlight w:val="none"/>
                <w:lang w:val="en-US" w:eastAsia="zh-CN"/>
              </w:rPr>
              <w:t>及出水水质</w:t>
            </w:r>
            <w:r>
              <w:rPr>
                <w:rFonts w:hint="default" w:ascii="Times New Roman" w:hAnsi="Times New Roman" w:cs="Times New Roman"/>
                <w:color w:val="auto"/>
                <w:sz w:val="24"/>
                <w:highlight w:val="none"/>
                <w:lang w:eastAsia="zh-CN"/>
              </w:rPr>
              <w:t>见</w:t>
            </w:r>
            <w:r>
              <w:rPr>
                <w:rFonts w:hint="default" w:ascii="Times New Roman" w:hAnsi="Times New Roman" w:cs="Times New Roman"/>
                <w:color w:val="auto"/>
                <w:sz w:val="24"/>
                <w:highlight w:val="none"/>
              </w:rPr>
              <w:t>下表，出水水质执行《</w:t>
            </w:r>
            <w:r>
              <w:rPr>
                <w:rFonts w:hint="default" w:ascii="Times New Roman" w:hAnsi="Times New Roman" w:cs="Times New Roman"/>
                <w:color w:val="auto"/>
                <w:sz w:val="24"/>
                <w:highlight w:val="none"/>
                <w:lang w:eastAsia="zh-CN"/>
              </w:rPr>
              <w:t>城镇污水处理厂</w:t>
            </w:r>
            <w:r>
              <w:rPr>
                <w:rFonts w:hint="default" w:ascii="Times New Roman" w:hAnsi="Times New Roman" w:cs="Times New Roman"/>
                <w:color w:val="auto"/>
                <w:sz w:val="24"/>
                <w:highlight w:val="none"/>
              </w:rPr>
              <w:t>污染物排放标准》（GB</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18918-2002）一级A标准</w:t>
            </w:r>
            <w:r>
              <w:rPr>
                <w:rFonts w:hint="eastAsia" w:cs="Times New Roman"/>
                <w:color w:val="auto"/>
                <w:sz w:val="24"/>
                <w:highlight w:val="none"/>
                <w:lang w:eastAsia="zh-CN"/>
              </w:rPr>
              <w:t>，详见表</w:t>
            </w:r>
            <w:r>
              <w:rPr>
                <w:rFonts w:hint="eastAsia" w:cs="Times New Roman"/>
                <w:color w:val="auto"/>
                <w:sz w:val="24"/>
                <w:highlight w:val="none"/>
                <w:lang w:val="en-US" w:eastAsia="zh-CN"/>
              </w:rPr>
              <w:t>2-4</w:t>
            </w:r>
            <w:r>
              <w:rPr>
                <w:rFonts w:hint="eastAsia" w:cs="Times New Roman"/>
                <w:color w:val="auto"/>
                <w:sz w:val="24"/>
                <w:highlight w:val="none"/>
                <w:lang w:eastAsia="zh-CN"/>
              </w:rPr>
              <w:t>。此外，该标准</w:t>
            </w:r>
            <w:r>
              <w:rPr>
                <w:rFonts w:hint="eastAsia" w:cs="Times New Roman"/>
                <w:color w:val="auto"/>
                <w:sz w:val="24"/>
                <w:highlight w:val="none"/>
                <w:lang w:val="en-US" w:eastAsia="zh-CN"/>
              </w:rPr>
              <w:t>2025年发布了修改单并提出了瞬时值要求，因此</w:t>
            </w:r>
            <w:r>
              <w:rPr>
                <w:rFonts w:hint="eastAsia" w:cs="Times New Roman"/>
                <w:color w:val="auto"/>
                <w:sz w:val="24"/>
                <w:highlight w:val="none"/>
                <w:lang w:val="en-US" w:eastAsia="zh-CN"/>
              </w:rPr>
              <w:t>出水水质还应满足</w:t>
            </w:r>
            <w:r>
              <w:rPr>
                <w:rFonts w:hint="default" w:ascii="Times New Roman" w:hAnsi="Times New Roman" w:cs="Times New Roman"/>
                <w:color w:val="auto"/>
                <w:sz w:val="24"/>
                <w:highlight w:val="none"/>
                <w:lang w:val="en-US" w:eastAsia="zh-CN"/>
              </w:rPr>
              <w:t>修改单表4中瞬时值标准</w:t>
            </w:r>
            <w:r>
              <w:rPr>
                <w:rFonts w:hint="eastAsia" w:cs="Times New Roman"/>
                <w:color w:val="auto"/>
                <w:sz w:val="24"/>
                <w:highlight w:val="none"/>
                <w:lang w:val="en-US" w:eastAsia="zh-CN"/>
              </w:rPr>
              <w:t>（详见表2-5）</w:t>
            </w:r>
            <w:r>
              <w:rPr>
                <w:rFonts w:hint="default" w:ascii="Times New Roman" w:hAnsi="Times New Roman" w:cs="Times New Roman"/>
                <w:color w:val="auto"/>
                <w:sz w:val="24"/>
                <w:highlight w:val="none"/>
              </w:rPr>
              <w:t>。</w:t>
            </w:r>
          </w:p>
          <w:p w14:paraId="0057616C">
            <w:pPr>
              <w:pStyle w:val="2"/>
              <w:snapToGrid w:val="0"/>
              <w:spacing w:after="0"/>
              <w:jc w:val="center"/>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 w:val="21"/>
                <w:szCs w:val="24"/>
                <w:highlight w:val="none"/>
                <w:lang w:val="en-US" w:eastAsia="zh-CN" w:bidi="ar-SA"/>
              </w:rPr>
              <w:t xml:space="preserve">表2-4  项目进、出水水质及处理效率  </w:t>
            </w:r>
            <w:r>
              <w:rPr>
                <w:rFonts w:hint="eastAsia" w:cs="Times New Roman"/>
                <w:b/>
                <w:bCs/>
                <w:color w:val="auto"/>
                <w:kern w:val="2"/>
                <w:sz w:val="21"/>
                <w:szCs w:val="24"/>
                <w:highlight w:val="none"/>
                <w:lang w:val="en-US" w:eastAsia="zh-CN" w:bidi="ar-SA"/>
              </w:rPr>
              <w:t xml:space="preserve">  </w:t>
            </w:r>
            <w:r>
              <w:rPr>
                <w:rFonts w:hint="default" w:ascii="Times New Roman" w:hAnsi="Times New Roman" w:eastAsia="宋体" w:cs="Times New Roman"/>
                <w:b/>
                <w:bCs/>
                <w:color w:val="auto"/>
                <w:kern w:val="2"/>
                <w:sz w:val="21"/>
                <w:szCs w:val="24"/>
                <w:highlight w:val="none"/>
                <w:lang w:val="en-US" w:eastAsia="zh-CN" w:bidi="ar-SA"/>
              </w:rPr>
              <w:t>单位：mg/L（pH无量纲）</w:t>
            </w:r>
          </w:p>
          <w:tbl>
            <w:tblPr>
              <w:tblStyle w:val="31"/>
              <w:tblW w:w="801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850"/>
              <w:gridCol w:w="831"/>
              <w:gridCol w:w="887"/>
              <w:gridCol w:w="887"/>
              <w:gridCol w:w="887"/>
              <w:gridCol w:w="887"/>
              <w:gridCol w:w="893"/>
            </w:tblGrid>
            <w:tr w14:paraId="7F1490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3" w:type="dxa"/>
                  <w:tcBorders>
                    <w:tl2br w:val="nil"/>
                    <w:tr2bl w:val="nil"/>
                  </w:tcBorders>
                  <w:noWrap w:val="0"/>
                  <w:vAlign w:val="center"/>
                </w:tcPr>
                <w:p w14:paraId="46ADF256">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指标</w:t>
                  </w:r>
                </w:p>
              </w:tc>
              <w:tc>
                <w:tcPr>
                  <w:tcW w:w="850" w:type="dxa"/>
                  <w:tcBorders>
                    <w:tl2br w:val="nil"/>
                    <w:tr2bl w:val="nil"/>
                  </w:tcBorders>
                  <w:noWrap w:val="0"/>
                  <w:vAlign w:val="center"/>
                </w:tcPr>
                <w:p w14:paraId="2843745C">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COD</w:t>
                  </w:r>
                </w:p>
              </w:tc>
              <w:tc>
                <w:tcPr>
                  <w:tcW w:w="831" w:type="dxa"/>
                  <w:tcBorders>
                    <w:tl2br w:val="nil"/>
                    <w:tr2bl w:val="nil"/>
                  </w:tcBorders>
                  <w:noWrap w:val="0"/>
                  <w:vAlign w:val="center"/>
                </w:tcPr>
                <w:p w14:paraId="0CB6C01F">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BOD</w:t>
                  </w:r>
                  <w:r>
                    <w:rPr>
                      <w:rFonts w:hint="default" w:ascii="Times New Roman" w:hAnsi="Times New Roman" w:eastAsia="宋体" w:cs="Times New Roman"/>
                      <w:color w:val="auto"/>
                      <w:kern w:val="2"/>
                      <w:sz w:val="18"/>
                      <w:szCs w:val="18"/>
                      <w:highlight w:val="none"/>
                      <w:vertAlign w:val="subscript"/>
                      <w:lang w:val="en-US" w:eastAsia="zh-CN" w:bidi="ar-SA"/>
                    </w:rPr>
                    <w:t>5</w:t>
                  </w:r>
                </w:p>
              </w:tc>
              <w:tc>
                <w:tcPr>
                  <w:tcW w:w="887" w:type="dxa"/>
                  <w:tcBorders>
                    <w:tl2br w:val="nil"/>
                    <w:tr2bl w:val="nil"/>
                  </w:tcBorders>
                  <w:noWrap w:val="0"/>
                  <w:vAlign w:val="center"/>
                </w:tcPr>
                <w:p w14:paraId="6FE445C9">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SS</w:t>
                  </w:r>
                </w:p>
              </w:tc>
              <w:tc>
                <w:tcPr>
                  <w:tcW w:w="887" w:type="dxa"/>
                  <w:tcBorders>
                    <w:tl2br w:val="nil"/>
                    <w:tr2bl w:val="nil"/>
                  </w:tcBorders>
                  <w:noWrap w:val="0"/>
                  <w:vAlign w:val="center"/>
                </w:tcPr>
                <w:p w14:paraId="12F0E80D">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NH</w:t>
                  </w:r>
                  <w:r>
                    <w:rPr>
                      <w:rFonts w:hint="default" w:ascii="Times New Roman" w:hAnsi="Times New Roman" w:eastAsia="宋体" w:cs="Times New Roman"/>
                      <w:color w:val="auto"/>
                      <w:kern w:val="2"/>
                      <w:sz w:val="18"/>
                      <w:szCs w:val="18"/>
                      <w:highlight w:val="none"/>
                      <w:vertAlign w:val="subscript"/>
                      <w:lang w:val="en-US" w:eastAsia="zh-CN" w:bidi="ar-SA"/>
                    </w:rPr>
                    <w:t>3</w:t>
                  </w:r>
                  <w:r>
                    <w:rPr>
                      <w:rFonts w:hint="default" w:ascii="Times New Roman" w:hAnsi="Times New Roman" w:eastAsia="宋体" w:cs="Times New Roman"/>
                      <w:color w:val="auto"/>
                      <w:kern w:val="2"/>
                      <w:sz w:val="18"/>
                      <w:szCs w:val="18"/>
                      <w:highlight w:val="none"/>
                      <w:lang w:val="en-US" w:eastAsia="zh-CN" w:bidi="ar-SA"/>
                    </w:rPr>
                    <w:t>-N</w:t>
                  </w:r>
                </w:p>
              </w:tc>
              <w:tc>
                <w:tcPr>
                  <w:tcW w:w="887" w:type="dxa"/>
                  <w:tcBorders>
                    <w:tl2br w:val="nil"/>
                    <w:tr2bl w:val="nil"/>
                  </w:tcBorders>
                  <w:noWrap w:val="0"/>
                  <w:vAlign w:val="center"/>
                </w:tcPr>
                <w:p w14:paraId="4C0703E5">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TP</w:t>
                  </w:r>
                </w:p>
              </w:tc>
              <w:tc>
                <w:tcPr>
                  <w:tcW w:w="887" w:type="dxa"/>
                  <w:tcBorders>
                    <w:tl2br w:val="nil"/>
                    <w:tr2bl w:val="nil"/>
                  </w:tcBorders>
                  <w:noWrap w:val="0"/>
                  <w:vAlign w:val="center"/>
                </w:tcPr>
                <w:p w14:paraId="6B549F5C">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TN</w:t>
                  </w:r>
                </w:p>
              </w:tc>
              <w:tc>
                <w:tcPr>
                  <w:tcW w:w="893" w:type="dxa"/>
                  <w:tcBorders>
                    <w:tl2br w:val="nil"/>
                    <w:tr2bl w:val="nil"/>
                  </w:tcBorders>
                  <w:noWrap w:val="0"/>
                  <w:vAlign w:val="center"/>
                </w:tcPr>
                <w:p w14:paraId="11A2A766">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pH</w:t>
                  </w:r>
                </w:p>
              </w:tc>
            </w:tr>
            <w:tr w14:paraId="716C14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3" w:type="dxa"/>
                  <w:tcBorders>
                    <w:tl2br w:val="nil"/>
                    <w:tr2bl w:val="nil"/>
                  </w:tcBorders>
                  <w:noWrap w:val="0"/>
                  <w:vAlign w:val="center"/>
                </w:tcPr>
                <w:p w14:paraId="6237FC1A">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进水水质</w:t>
                  </w:r>
                </w:p>
              </w:tc>
              <w:tc>
                <w:tcPr>
                  <w:tcW w:w="850" w:type="dxa"/>
                  <w:tcBorders>
                    <w:tl2br w:val="nil"/>
                    <w:tr2bl w:val="nil"/>
                  </w:tcBorders>
                  <w:noWrap w:val="0"/>
                  <w:vAlign w:val="center"/>
                </w:tcPr>
                <w:p w14:paraId="2C22FE60">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450</w:t>
                  </w:r>
                </w:p>
              </w:tc>
              <w:tc>
                <w:tcPr>
                  <w:tcW w:w="831" w:type="dxa"/>
                  <w:tcBorders>
                    <w:tl2br w:val="nil"/>
                    <w:tr2bl w:val="nil"/>
                  </w:tcBorders>
                  <w:noWrap w:val="0"/>
                  <w:vAlign w:val="center"/>
                </w:tcPr>
                <w:p w14:paraId="3DA39728">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250</w:t>
                  </w:r>
                </w:p>
              </w:tc>
              <w:tc>
                <w:tcPr>
                  <w:tcW w:w="887" w:type="dxa"/>
                  <w:tcBorders>
                    <w:tl2br w:val="nil"/>
                    <w:tr2bl w:val="nil"/>
                  </w:tcBorders>
                  <w:noWrap w:val="0"/>
                  <w:vAlign w:val="center"/>
                </w:tcPr>
                <w:p w14:paraId="40536C47">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300</w:t>
                  </w:r>
                </w:p>
              </w:tc>
              <w:tc>
                <w:tcPr>
                  <w:tcW w:w="887" w:type="dxa"/>
                  <w:tcBorders>
                    <w:tl2br w:val="nil"/>
                    <w:tr2bl w:val="nil"/>
                  </w:tcBorders>
                  <w:noWrap w:val="0"/>
                  <w:vAlign w:val="center"/>
                </w:tcPr>
                <w:p w14:paraId="584176C5">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50</w:t>
                  </w:r>
                </w:p>
              </w:tc>
              <w:tc>
                <w:tcPr>
                  <w:tcW w:w="887" w:type="dxa"/>
                  <w:tcBorders>
                    <w:tl2br w:val="nil"/>
                    <w:tr2bl w:val="nil"/>
                  </w:tcBorders>
                  <w:noWrap w:val="0"/>
                  <w:vAlign w:val="center"/>
                </w:tcPr>
                <w:p w14:paraId="36CBC0C7">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w:t>
                  </w:r>
                </w:p>
              </w:tc>
              <w:tc>
                <w:tcPr>
                  <w:tcW w:w="887" w:type="dxa"/>
                  <w:tcBorders>
                    <w:tl2br w:val="nil"/>
                    <w:tr2bl w:val="nil"/>
                  </w:tcBorders>
                  <w:noWrap w:val="0"/>
                  <w:vAlign w:val="center"/>
                </w:tcPr>
                <w:p w14:paraId="3C9E81B0">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60</w:t>
                  </w:r>
                </w:p>
              </w:tc>
              <w:tc>
                <w:tcPr>
                  <w:tcW w:w="893" w:type="dxa"/>
                  <w:tcBorders>
                    <w:tl2br w:val="nil"/>
                    <w:tr2bl w:val="nil"/>
                  </w:tcBorders>
                  <w:noWrap w:val="0"/>
                  <w:vAlign w:val="center"/>
                </w:tcPr>
                <w:p w14:paraId="34795DA2">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6~9</w:t>
                  </w:r>
                </w:p>
              </w:tc>
            </w:tr>
            <w:tr w14:paraId="5C9AB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3" w:type="dxa"/>
                  <w:tcBorders>
                    <w:tl2br w:val="nil"/>
                    <w:tr2bl w:val="nil"/>
                  </w:tcBorders>
                  <w:noWrap w:val="0"/>
                  <w:vAlign w:val="center"/>
                </w:tcPr>
                <w:p w14:paraId="3788E5B3">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出水水质</w:t>
                  </w:r>
                </w:p>
              </w:tc>
              <w:tc>
                <w:tcPr>
                  <w:tcW w:w="850" w:type="dxa"/>
                  <w:tcBorders>
                    <w:tl2br w:val="nil"/>
                    <w:tr2bl w:val="nil"/>
                  </w:tcBorders>
                  <w:noWrap w:val="0"/>
                  <w:vAlign w:val="center"/>
                </w:tcPr>
                <w:p w14:paraId="1A600038">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50</w:t>
                  </w:r>
                </w:p>
              </w:tc>
              <w:tc>
                <w:tcPr>
                  <w:tcW w:w="831" w:type="dxa"/>
                  <w:tcBorders>
                    <w:tl2br w:val="nil"/>
                    <w:tr2bl w:val="nil"/>
                  </w:tcBorders>
                  <w:noWrap w:val="0"/>
                  <w:vAlign w:val="center"/>
                </w:tcPr>
                <w:p w14:paraId="514DDFB9">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10</w:t>
                  </w:r>
                </w:p>
              </w:tc>
              <w:tc>
                <w:tcPr>
                  <w:tcW w:w="887" w:type="dxa"/>
                  <w:tcBorders>
                    <w:tl2br w:val="nil"/>
                    <w:tr2bl w:val="nil"/>
                  </w:tcBorders>
                  <w:noWrap w:val="0"/>
                  <w:vAlign w:val="center"/>
                </w:tcPr>
                <w:p w14:paraId="5C354161">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10</w:t>
                  </w:r>
                </w:p>
              </w:tc>
              <w:tc>
                <w:tcPr>
                  <w:tcW w:w="887" w:type="dxa"/>
                  <w:tcBorders>
                    <w:tl2br w:val="nil"/>
                    <w:tr2bl w:val="nil"/>
                  </w:tcBorders>
                  <w:noWrap w:val="0"/>
                  <w:vAlign w:val="center"/>
                </w:tcPr>
                <w:p w14:paraId="108AEF4F">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5（8）</w:t>
                  </w:r>
                </w:p>
              </w:tc>
              <w:tc>
                <w:tcPr>
                  <w:tcW w:w="887" w:type="dxa"/>
                  <w:tcBorders>
                    <w:tl2br w:val="nil"/>
                    <w:tr2bl w:val="nil"/>
                  </w:tcBorders>
                  <w:noWrap w:val="0"/>
                  <w:vAlign w:val="center"/>
                </w:tcPr>
                <w:p w14:paraId="03900197">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0.5</w:t>
                  </w:r>
                </w:p>
              </w:tc>
              <w:tc>
                <w:tcPr>
                  <w:tcW w:w="887" w:type="dxa"/>
                  <w:tcBorders>
                    <w:tl2br w:val="nil"/>
                    <w:tr2bl w:val="nil"/>
                  </w:tcBorders>
                  <w:noWrap w:val="0"/>
                  <w:vAlign w:val="center"/>
                </w:tcPr>
                <w:p w14:paraId="7D2019F2">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15</w:t>
                  </w:r>
                </w:p>
              </w:tc>
              <w:tc>
                <w:tcPr>
                  <w:tcW w:w="893" w:type="dxa"/>
                  <w:tcBorders>
                    <w:tl2br w:val="nil"/>
                    <w:tr2bl w:val="nil"/>
                  </w:tcBorders>
                  <w:noWrap w:val="0"/>
                  <w:vAlign w:val="center"/>
                </w:tcPr>
                <w:p w14:paraId="30C5B417">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6~9</w:t>
                  </w:r>
                </w:p>
              </w:tc>
            </w:tr>
            <w:tr w14:paraId="16A1E7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893" w:type="dxa"/>
                  <w:tcBorders>
                    <w:tl2br w:val="nil"/>
                    <w:tr2bl w:val="nil"/>
                  </w:tcBorders>
                  <w:noWrap w:val="0"/>
                  <w:vAlign w:val="center"/>
                </w:tcPr>
                <w:p w14:paraId="63B1BB9B">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处理效率（%）</w:t>
                  </w:r>
                </w:p>
              </w:tc>
              <w:tc>
                <w:tcPr>
                  <w:tcW w:w="850" w:type="dxa"/>
                  <w:tcBorders>
                    <w:tl2br w:val="nil"/>
                    <w:tr2bl w:val="nil"/>
                  </w:tcBorders>
                  <w:noWrap w:val="0"/>
                  <w:vAlign w:val="center"/>
                </w:tcPr>
                <w:p w14:paraId="14AFF5DE">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88.88</w:t>
                  </w:r>
                </w:p>
              </w:tc>
              <w:tc>
                <w:tcPr>
                  <w:tcW w:w="831" w:type="dxa"/>
                  <w:tcBorders>
                    <w:tl2br w:val="nil"/>
                    <w:tr2bl w:val="nil"/>
                  </w:tcBorders>
                  <w:noWrap w:val="0"/>
                  <w:vAlign w:val="center"/>
                </w:tcPr>
                <w:p w14:paraId="09E361E3">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96</w:t>
                  </w:r>
                </w:p>
              </w:tc>
              <w:tc>
                <w:tcPr>
                  <w:tcW w:w="887" w:type="dxa"/>
                  <w:tcBorders>
                    <w:tl2br w:val="nil"/>
                    <w:tr2bl w:val="nil"/>
                  </w:tcBorders>
                  <w:noWrap w:val="0"/>
                  <w:vAlign w:val="center"/>
                </w:tcPr>
                <w:p w14:paraId="1C745AD8">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96.66</w:t>
                  </w:r>
                </w:p>
              </w:tc>
              <w:tc>
                <w:tcPr>
                  <w:tcW w:w="887" w:type="dxa"/>
                  <w:tcBorders>
                    <w:tl2br w:val="nil"/>
                    <w:tr2bl w:val="nil"/>
                  </w:tcBorders>
                  <w:noWrap w:val="0"/>
                  <w:vAlign w:val="center"/>
                </w:tcPr>
                <w:p w14:paraId="075760BC">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90（84）</w:t>
                  </w:r>
                </w:p>
              </w:tc>
              <w:tc>
                <w:tcPr>
                  <w:tcW w:w="887" w:type="dxa"/>
                  <w:tcBorders>
                    <w:tl2br w:val="nil"/>
                    <w:tr2bl w:val="nil"/>
                  </w:tcBorders>
                  <w:noWrap w:val="0"/>
                  <w:vAlign w:val="center"/>
                </w:tcPr>
                <w:p w14:paraId="1669D85C">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91.66</w:t>
                  </w:r>
                </w:p>
              </w:tc>
              <w:tc>
                <w:tcPr>
                  <w:tcW w:w="887" w:type="dxa"/>
                  <w:tcBorders>
                    <w:tl2br w:val="nil"/>
                    <w:tr2bl w:val="nil"/>
                  </w:tcBorders>
                  <w:noWrap w:val="0"/>
                  <w:vAlign w:val="center"/>
                </w:tcPr>
                <w:p w14:paraId="1F0B2BEE">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75</w:t>
                  </w:r>
                </w:p>
              </w:tc>
              <w:tc>
                <w:tcPr>
                  <w:tcW w:w="893" w:type="dxa"/>
                  <w:tcBorders>
                    <w:tl2br w:val="nil"/>
                    <w:tr2bl w:val="nil"/>
                  </w:tcBorders>
                  <w:noWrap w:val="0"/>
                  <w:vAlign w:val="center"/>
                </w:tcPr>
                <w:p w14:paraId="0BC2F12F">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w:t>
                  </w:r>
                </w:p>
              </w:tc>
            </w:tr>
            <w:tr w14:paraId="67C67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893" w:type="dxa"/>
                  <w:tcBorders>
                    <w:tl2br w:val="nil"/>
                    <w:tr2bl w:val="nil"/>
                  </w:tcBorders>
                  <w:noWrap w:val="0"/>
                  <w:vAlign w:val="center"/>
                </w:tcPr>
                <w:p w14:paraId="1E536913">
                  <w:pPr>
                    <w:pStyle w:val="2"/>
                    <w:snapToGrid w:val="0"/>
                    <w:spacing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r>
                    <w:rPr>
                      <w:rFonts w:hint="default" w:ascii="Times New Roman" w:hAnsi="Times New Roman" w:eastAsia="宋体" w:cs="Times New Roman"/>
                      <w:color w:val="auto"/>
                      <w:sz w:val="18"/>
                      <w:szCs w:val="18"/>
                      <w:highlight w:val="none"/>
                      <w:lang w:eastAsia="zh-CN"/>
                    </w:rPr>
                    <w:t>城镇污水处理厂</w:t>
                  </w:r>
                  <w:r>
                    <w:rPr>
                      <w:rFonts w:hint="default" w:ascii="Times New Roman" w:hAnsi="Times New Roman" w:eastAsia="宋体" w:cs="Times New Roman"/>
                      <w:color w:val="auto"/>
                      <w:sz w:val="18"/>
                      <w:szCs w:val="18"/>
                      <w:highlight w:val="none"/>
                    </w:rPr>
                    <w:t>污染物排放标准》（GB18918-2002）一级A标准</w:t>
                  </w:r>
                </w:p>
              </w:tc>
              <w:tc>
                <w:tcPr>
                  <w:tcW w:w="850" w:type="dxa"/>
                  <w:tcBorders>
                    <w:tl2br w:val="nil"/>
                    <w:tr2bl w:val="nil"/>
                  </w:tcBorders>
                  <w:noWrap w:val="0"/>
                  <w:vAlign w:val="center"/>
                </w:tcPr>
                <w:p w14:paraId="5AC3FD1E">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≤50</w:t>
                  </w:r>
                </w:p>
              </w:tc>
              <w:tc>
                <w:tcPr>
                  <w:tcW w:w="831" w:type="dxa"/>
                  <w:tcBorders>
                    <w:tl2br w:val="nil"/>
                    <w:tr2bl w:val="nil"/>
                  </w:tcBorders>
                  <w:noWrap w:val="0"/>
                  <w:vAlign w:val="center"/>
                </w:tcPr>
                <w:p w14:paraId="472A6BF4">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≤10</w:t>
                  </w:r>
                </w:p>
              </w:tc>
              <w:tc>
                <w:tcPr>
                  <w:tcW w:w="887" w:type="dxa"/>
                  <w:tcBorders>
                    <w:tl2br w:val="nil"/>
                    <w:tr2bl w:val="nil"/>
                  </w:tcBorders>
                  <w:noWrap w:val="0"/>
                  <w:vAlign w:val="center"/>
                </w:tcPr>
                <w:p w14:paraId="18C28175">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≤10</w:t>
                  </w:r>
                </w:p>
              </w:tc>
              <w:tc>
                <w:tcPr>
                  <w:tcW w:w="887" w:type="dxa"/>
                  <w:tcBorders>
                    <w:tl2br w:val="nil"/>
                    <w:tr2bl w:val="nil"/>
                  </w:tcBorders>
                  <w:noWrap w:val="0"/>
                  <w:vAlign w:val="center"/>
                </w:tcPr>
                <w:p w14:paraId="050A889C">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≤5（8）</w:t>
                  </w:r>
                </w:p>
              </w:tc>
              <w:tc>
                <w:tcPr>
                  <w:tcW w:w="887" w:type="dxa"/>
                  <w:tcBorders>
                    <w:tl2br w:val="nil"/>
                    <w:tr2bl w:val="nil"/>
                  </w:tcBorders>
                  <w:noWrap w:val="0"/>
                  <w:vAlign w:val="center"/>
                </w:tcPr>
                <w:p w14:paraId="23C8EFD7">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≤0.5</w:t>
                  </w:r>
                </w:p>
              </w:tc>
              <w:tc>
                <w:tcPr>
                  <w:tcW w:w="887" w:type="dxa"/>
                  <w:tcBorders>
                    <w:tl2br w:val="nil"/>
                    <w:tr2bl w:val="nil"/>
                  </w:tcBorders>
                  <w:noWrap w:val="0"/>
                  <w:vAlign w:val="center"/>
                </w:tcPr>
                <w:p w14:paraId="58D5C229">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≤15</w:t>
                  </w:r>
                </w:p>
              </w:tc>
              <w:tc>
                <w:tcPr>
                  <w:tcW w:w="893" w:type="dxa"/>
                  <w:tcBorders>
                    <w:tl2br w:val="nil"/>
                    <w:tr2bl w:val="nil"/>
                  </w:tcBorders>
                  <w:noWrap w:val="0"/>
                  <w:vAlign w:val="center"/>
                </w:tcPr>
                <w:p w14:paraId="373EA2E7">
                  <w:pPr>
                    <w:pStyle w:val="2"/>
                    <w:snapToGrid w:val="0"/>
                    <w:spacing w:after="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6~9</w:t>
                  </w:r>
                </w:p>
              </w:tc>
            </w:tr>
            <w:tr w14:paraId="5AA30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5" w:type="dxa"/>
                  <w:gridSpan w:val="8"/>
                  <w:tcBorders>
                    <w:tl2br w:val="nil"/>
                    <w:tr2bl w:val="nil"/>
                  </w:tcBorders>
                  <w:noWrap w:val="0"/>
                  <w:vAlign w:val="center"/>
                </w:tcPr>
                <w:p w14:paraId="493C86CF">
                  <w:pPr>
                    <w:pStyle w:val="2"/>
                    <w:snapToGrid w:val="0"/>
                    <w:spacing w:after="0"/>
                    <w:jc w:val="both"/>
                    <w:rPr>
                      <w:rFonts w:hint="default" w:eastAsia="宋体"/>
                      <w:color w:val="auto"/>
                      <w:highlight w:val="none"/>
                      <w:lang w:val="en-US" w:eastAsia="zh-CN"/>
                    </w:rPr>
                  </w:pPr>
                  <w:r>
                    <w:rPr>
                      <w:rFonts w:hint="eastAsia" w:cs="Times New Roman"/>
                      <w:color w:val="auto"/>
                      <w:kern w:val="2"/>
                      <w:sz w:val="18"/>
                      <w:szCs w:val="18"/>
                      <w:highlight w:val="none"/>
                      <w:lang w:val="en-US" w:eastAsia="zh-CN" w:bidi="ar-SA"/>
                    </w:rPr>
                    <w:t>注：</w:t>
                  </w:r>
                  <w:r>
                    <w:rPr>
                      <w:rFonts w:hint="eastAsia" w:ascii="宋体" w:hAnsi="宋体" w:eastAsia="宋体" w:cs="宋体"/>
                      <w:color w:val="auto"/>
                      <w:kern w:val="2"/>
                      <w:sz w:val="18"/>
                      <w:szCs w:val="18"/>
                      <w:highlight w:val="none"/>
                      <w:lang w:val="en-US" w:eastAsia="zh-CN" w:bidi="ar-SA"/>
                    </w:rPr>
                    <w:t>①</w:t>
                  </w:r>
                  <w:r>
                    <w:rPr>
                      <w:rFonts w:hint="eastAsia" w:cs="Times New Roman"/>
                      <w:color w:val="auto"/>
                      <w:kern w:val="2"/>
                      <w:sz w:val="18"/>
                      <w:szCs w:val="18"/>
                      <w:highlight w:val="none"/>
                      <w:lang w:val="en-US" w:eastAsia="zh-CN" w:bidi="ar-SA"/>
                    </w:rPr>
                    <w:t>水温&gt;12℃时</w:t>
                  </w:r>
                  <w:r>
                    <w:rPr>
                      <w:rFonts w:hint="default" w:ascii="Times New Roman" w:hAnsi="Times New Roman" w:eastAsia="宋体" w:cs="Times New Roman"/>
                      <w:color w:val="auto"/>
                      <w:kern w:val="2"/>
                      <w:sz w:val="18"/>
                      <w:szCs w:val="18"/>
                      <w:highlight w:val="none"/>
                      <w:lang w:val="en-US" w:eastAsia="zh-CN" w:bidi="ar-SA"/>
                    </w:rPr>
                    <w:t>NH</w:t>
                  </w:r>
                  <w:r>
                    <w:rPr>
                      <w:rFonts w:hint="default" w:ascii="Times New Roman" w:hAnsi="Times New Roman" w:eastAsia="宋体" w:cs="Times New Roman"/>
                      <w:color w:val="auto"/>
                      <w:kern w:val="2"/>
                      <w:sz w:val="18"/>
                      <w:szCs w:val="18"/>
                      <w:highlight w:val="none"/>
                      <w:vertAlign w:val="subscript"/>
                      <w:lang w:val="en-US" w:eastAsia="zh-CN" w:bidi="ar-SA"/>
                    </w:rPr>
                    <w:t>3</w:t>
                  </w:r>
                  <w:r>
                    <w:rPr>
                      <w:rFonts w:hint="default" w:ascii="Times New Roman" w:hAnsi="Times New Roman" w:eastAsia="宋体" w:cs="Times New Roman"/>
                      <w:color w:val="auto"/>
                      <w:kern w:val="2"/>
                      <w:sz w:val="18"/>
                      <w:szCs w:val="18"/>
                      <w:highlight w:val="none"/>
                      <w:lang w:val="en-US" w:eastAsia="zh-CN" w:bidi="ar-SA"/>
                    </w:rPr>
                    <w:t>-N</w:t>
                  </w:r>
                  <w:r>
                    <w:rPr>
                      <w:rFonts w:hint="eastAsia" w:cs="Times New Roman"/>
                      <w:color w:val="auto"/>
                      <w:kern w:val="2"/>
                      <w:sz w:val="18"/>
                      <w:szCs w:val="18"/>
                      <w:highlight w:val="none"/>
                      <w:lang w:val="en-US" w:eastAsia="zh-CN" w:bidi="ar-SA"/>
                    </w:rPr>
                    <w:t>≤5；水温≤12℃时</w:t>
                  </w:r>
                  <w:r>
                    <w:rPr>
                      <w:rFonts w:hint="default" w:ascii="Times New Roman" w:hAnsi="Times New Roman" w:eastAsia="宋体" w:cs="Times New Roman"/>
                      <w:color w:val="auto"/>
                      <w:kern w:val="2"/>
                      <w:sz w:val="18"/>
                      <w:szCs w:val="18"/>
                      <w:highlight w:val="none"/>
                      <w:lang w:val="en-US" w:eastAsia="zh-CN" w:bidi="ar-SA"/>
                    </w:rPr>
                    <w:t>NH</w:t>
                  </w:r>
                  <w:r>
                    <w:rPr>
                      <w:rFonts w:hint="default" w:ascii="Times New Roman" w:hAnsi="Times New Roman" w:eastAsia="宋体" w:cs="Times New Roman"/>
                      <w:color w:val="auto"/>
                      <w:kern w:val="2"/>
                      <w:sz w:val="18"/>
                      <w:szCs w:val="18"/>
                      <w:highlight w:val="none"/>
                      <w:vertAlign w:val="subscript"/>
                      <w:lang w:val="en-US" w:eastAsia="zh-CN" w:bidi="ar-SA"/>
                    </w:rPr>
                    <w:t>3</w:t>
                  </w:r>
                  <w:r>
                    <w:rPr>
                      <w:rFonts w:hint="default" w:ascii="Times New Roman" w:hAnsi="Times New Roman" w:eastAsia="宋体" w:cs="Times New Roman"/>
                      <w:color w:val="auto"/>
                      <w:kern w:val="2"/>
                      <w:sz w:val="18"/>
                      <w:szCs w:val="18"/>
                      <w:highlight w:val="none"/>
                      <w:lang w:val="en-US" w:eastAsia="zh-CN" w:bidi="ar-SA"/>
                    </w:rPr>
                    <w:t>-N</w:t>
                  </w:r>
                  <w:r>
                    <w:rPr>
                      <w:rFonts w:hint="eastAsia" w:cs="Times New Roman"/>
                      <w:color w:val="auto"/>
                      <w:kern w:val="2"/>
                      <w:sz w:val="18"/>
                      <w:szCs w:val="18"/>
                      <w:highlight w:val="none"/>
                      <w:lang w:val="en-US" w:eastAsia="zh-CN" w:bidi="ar-SA"/>
                    </w:rPr>
                    <w:t>≤8。</w:t>
                  </w:r>
                  <w:r>
                    <w:rPr>
                      <w:rFonts w:hint="default" w:ascii="Times New Roman" w:hAnsi="Times New Roman" w:eastAsia="宋体" w:cs="Times New Roman"/>
                      <w:color w:val="auto"/>
                      <w:kern w:val="2"/>
                      <w:sz w:val="18"/>
                      <w:szCs w:val="18"/>
                      <w:highlight w:val="none"/>
                      <w:lang w:val="en-US" w:eastAsia="zh-CN" w:bidi="ar-SA"/>
                    </w:rPr>
                    <w:t>②</w:t>
                  </w:r>
                  <w:r>
                    <w:rPr>
                      <w:rFonts w:hint="eastAsia" w:ascii="Times New Roman" w:hAnsi="Times New Roman" w:eastAsia="宋体" w:cs="Times New Roman"/>
                      <w:color w:val="auto"/>
                      <w:kern w:val="2"/>
                      <w:sz w:val="18"/>
                      <w:szCs w:val="18"/>
                      <w:highlight w:val="none"/>
                      <w:lang w:val="en-US" w:eastAsia="zh-CN" w:bidi="ar-SA"/>
                    </w:rPr>
                    <w:t>由于初步设计时间早于</w:t>
                  </w:r>
                  <w:r>
                    <w:rPr>
                      <w:rFonts w:hint="default" w:ascii="Times New Roman" w:hAnsi="Times New Roman" w:eastAsia="宋体" w:cs="Times New Roman"/>
                      <w:color w:val="auto"/>
                      <w:kern w:val="2"/>
                      <w:sz w:val="18"/>
                      <w:szCs w:val="18"/>
                      <w:highlight w:val="none"/>
                      <w:lang w:val="en-US" w:eastAsia="zh-CN" w:bidi="ar-SA"/>
                    </w:rPr>
                    <w:t>《城镇污水处理厂污染物排放标准》（GB 18918-2002）</w:t>
                  </w:r>
                  <w:r>
                    <w:rPr>
                      <w:rFonts w:hint="eastAsia" w:ascii="Times New Roman" w:hAnsi="Times New Roman" w:eastAsia="宋体" w:cs="Times New Roman"/>
                      <w:color w:val="auto"/>
                      <w:kern w:val="2"/>
                      <w:sz w:val="18"/>
                      <w:szCs w:val="18"/>
                      <w:highlight w:val="none"/>
                      <w:lang w:val="en-US" w:eastAsia="zh-CN" w:bidi="ar-SA"/>
                    </w:rPr>
                    <w:t>2025年修改单颁布时间，因此设计中未提及出水水质应满足瞬时值的要求。本次环评编制期间已将修改单内容及瞬时值要求反馈给初步设计单位，要求其完善该部分内容。</w:t>
                  </w:r>
                </w:p>
              </w:tc>
            </w:tr>
          </w:tbl>
          <w:p w14:paraId="1D1BD7E2">
            <w:pPr>
              <w:tabs>
                <w:tab w:val="left" w:leader="middleDot" w:pos="8399"/>
              </w:tabs>
              <w:jc w:val="center"/>
              <w:rPr>
                <w:rFonts w:hint="default" w:ascii="Times New Roman" w:hAnsi="Times New Roman" w:eastAsia="宋体"/>
                <w:b/>
                <w:color w:val="auto"/>
                <w:szCs w:val="21"/>
                <w:highlight w:val="none"/>
                <w:lang w:val="en-US" w:eastAsia="zh-CN"/>
              </w:rPr>
            </w:pPr>
            <w:r>
              <w:rPr>
                <w:rFonts w:ascii="Times New Roman" w:hAnsi="Times New Roman"/>
                <w:b/>
                <w:color w:val="auto"/>
                <w:szCs w:val="21"/>
                <w:highlight w:val="none"/>
              </w:rPr>
              <w:t>表</w:t>
            </w:r>
            <w:r>
              <w:rPr>
                <w:rFonts w:hint="eastAsia" w:ascii="Times New Roman" w:hAnsi="Times New Roman"/>
                <w:b/>
                <w:color w:val="auto"/>
                <w:szCs w:val="21"/>
                <w:highlight w:val="none"/>
                <w:lang w:val="en-US" w:eastAsia="zh-CN"/>
              </w:rPr>
              <w:t>2-5</w:t>
            </w:r>
            <w:r>
              <w:rPr>
                <w:rFonts w:ascii="Times New Roman" w:hAnsi="Times New Roman"/>
                <w:b/>
                <w:color w:val="auto"/>
                <w:szCs w:val="21"/>
                <w:highlight w:val="none"/>
              </w:rPr>
              <w:t xml:space="preserve">  </w:t>
            </w:r>
            <w:r>
              <w:rPr>
                <w:rFonts w:hint="eastAsia" w:ascii="Times New Roman" w:hAnsi="Times New Roman"/>
                <w:b/>
                <w:color w:val="auto"/>
                <w:szCs w:val="21"/>
                <w:highlight w:val="none"/>
                <w:lang w:eastAsia="zh-CN"/>
              </w:rPr>
              <w:t>修改单中</w:t>
            </w:r>
            <w:r>
              <w:rPr>
                <w:rFonts w:hint="eastAsia" w:ascii="Times New Roman" w:hAnsi="Times New Roman"/>
                <w:b/>
                <w:color w:val="auto"/>
                <w:szCs w:val="21"/>
                <w:highlight w:val="none"/>
              </w:rPr>
              <w:t>基本控制项目最高允许排放浓度</w:t>
            </w:r>
            <w:r>
              <w:rPr>
                <w:rFonts w:hint="eastAsia" w:ascii="Times New Roman" w:hAnsi="Times New Roman"/>
                <w:b/>
                <w:color w:val="auto"/>
                <w:szCs w:val="21"/>
                <w:highlight w:val="none"/>
                <w:lang w:eastAsia="zh-CN"/>
              </w:rPr>
              <w:t>（</w:t>
            </w:r>
            <w:r>
              <w:rPr>
                <w:rFonts w:hint="eastAsia" w:ascii="Times New Roman" w:hAnsi="Times New Roman"/>
                <w:b/>
                <w:color w:val="auto"/>
                <w:szCs w:val="21"/>
                <w:highlight w:val="none"/>
              </w:rPr>
              <w:t>瞬时值</w:t>
            </w:r>
            <w:r>
              <w:rPr>
                <w:rFonts w:hint="eastAsia" w:ascii="Times New Roman" w:hAnsi="Times New Roman"/>
                <w:b/>
                <w:color w:val="auto"/>
                <w:szCs w:val="21"/>
                <w:highlight w:val="none"/>
                <w:lang w:eastAsia="zh-CN"/>
              </w:rPr>
              <w:t>）</w:t>
            </w:r>
            <w:r>
              <w:rPr>
                <w:rFonts w:hint="eastAsia" w:ascii="Times New Roman" w:hAnsi="Times New Roman"/>
                <w:b/>
                <w:color w:val="auto"/>
                <w:szCs w:val="21"/>
                <w:highlight w:val="none"/>
                <w:lang w:val="en-US" w:eastAsia="zh-CN"/>
              </w:rPr>
              <w:t xml:space="preserve">    单位：mg/L</w:t>
            </w:r>
          </w:p>
          <w:tbl>
            <w:tblPr>
              <w:tblStyle w:val="31"/>
              <w:tblW w:w="82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4"/>
              <w:gridCol w:w="465"/>
              <w:gridCol w:w="1667"/>
              <w:gridCol w:w="1621"/>
              <w:gridCol w:w="1184"/>
              <w:gridCol w:w="1233"/>
              <w:gridCol w:w="1133"/>
            </w:tblGrid>
            <w:tr w14:paraId="5F151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vMerge w:val="restart"/>
                  <w:noWrap w:val="0"/>
                  <w:vAlign w:val="center"/>
                </w:tcPr>
                <w:p w14:paraId="542A19CA">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序号</w:t>
                  </w:r>
                </w:p>
              </w:tc>
              <w:tc>
                <w:tcPr>
                  <w:tcW w:w="2132" w:type="dxa"/>
                  <w:gridSpan w:val="2"/>
                  <w:vMerge w:val="restart"/>
                  <w:noWrap w:val="0"/>
                  <w:vAlign w:val="center"/>
                </w:tcPr>
                <w:p w14:paraId="3B1DB6F9">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基本控制项目</w:t>
                  </w:r>
                </w:p>
              </w:tc>
              <w:tc>
                <w:tcPr>
                  <w:tcW w:w="2805" w:type="dxa"/>
                  <w:gridSpan w:val="2"/>
                  <w:noWrap w:val="0"/>
                  <w:vAlign w:val="center"/>
                </w:tcPr>
                <w:p w14:paraId="11650329">
                  <w:pPr>
                    <w:widowControl/>
                    <w:jc w:val="center"/>
                    <w:textAlignment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一级标准</w:t>
                  </w:r>
                </w:p>
              </w:tc>
              <w:tc>
                <w:tcPr>
                  <w:tcW w:w="1233" w:type="dxa"/>
                  <w:vMerge w:val="restart"/>
                  <w:noWrap w:val="0"/>
                  <w:vAlign w:val="center"/>
                </w:tcPr>
                <w:p w14:paraId="443CD22F">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二级标准</w:t>
                  </w:r>
                </w:p>
              </w:tc>
              <w:tc>
                <w:tcPr>
                  <w:tcW w:w="1133" w:type="dxa"/>
                  <w:vMerge w:val="restart"/>
                  <w:noWrap w:val="0"/>
                  <w:vAlign w:val="center"/>
                </w:tcPr>
                <w:p w14:paraId="4A1E7C54">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三级标准</w:t>
                  </w:r>
                </w:p>
              </w:tc>
            </w:tr>
            <w:tr w14:paraId="037BB0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vMerge w:val="continue"/>
                  <w:noWrap w:val="0"/>
                  <w:vAlign w:val="center"/>
                </w:tcPr>
                <w:p w14:paraId="188294E6">
                  <w:pPr>
                    <w:widowControl/>
                    <w:jc w:val="center"/>
                    <w:textAlignment w:val="center"/>
                    <w:rPr>
                      <w:rFonts w:hint="eastAsia" w:ascii="Times New Roman" w:hAnsi="Times New Roman" w:eastAsia="宋体"/>
                      <w:color w:val="auto"/>
                      <w:kern w:val="0"/>
                      <w:szCs w:val="21"/>
                      <w:highlight w:val="none"/>
                      <w:lang w:eastAsia="zh-CN"/>
                    </w:rPr>
                  </w:pPr>
                </w:p>
              </w:tc>
              <w:tc>
                <w:tcPr>
                  <w:tcW w:w="2132" w:type="dxa"/>
                  <w:gridSpan w:val="2"/>
                  <w:vMerge w:val="continue"/>
                  <w:noWrap w:val="0"/>
                  <w:vAlign w:val="center"/>
                </w:tcPr>
                <w:p w14:paraId="71CB413F">
                  <w:pPr>
                    <w:widowControl/>
                    <w:jc w:val="center"/>
                    <w:textAlignment w:val="center"/>
                    <w:rPr>
                      <w:rFonts w:hint="eastAsia" w:ascii="Times New Roman" w:hAnsi="Times New Roman" w:eastAsia="宋体"/>
                      <w:color w:val="auto"/>
                      <w:kern w:val="0"/>
                      <w:szCs w:val="21"/>
                      <w:highlight w:val="none"/>
                      <w:lang w:eastAsia="zh-CN"/>
                    </w:rPr>
                  </w:pPr>
                </w:p>
              </w:tc>
              <w:tc>
                <w:tcPr>
                  <w:tcW w:w="1621" w:type="dxa"/>
                  <w:noWrap w:val="0"/>
                  <w:vAlign w:val="center"/>
                </w:tcPr>
                <w:p w14:paraId="500911E6">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A标准</w:t>
                  </w:r>
                </w:p>
              </w:tc>
              <w:tc>
                <w:tcPr>
                  <w:tcW w:w="1184" w:type="dxa"/>
                  <w:noWrap w:val="0"/>
                  <w:vAlign w:val="center"/>
                </w:tcPr>
                <w:p w14:paraId="52D568F8">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B标准</w:t>
                  </w:r>
                </w:p>
              </w:tc>
              <w:tc>
                <w:tcPr>
                  <w:tcW w:w="1233" w:type="dxa"/>
                  <w:vMerge w:val="continue"/>
                  <w:noWrap w:val="0"/>
                  <w:vAlign w:val="center"/>
                </w:tcPr>
                <w:p w14:paraId="3B12C65B">
                  <w:pPr>
                    <w:widowControl/>
                    <w:jc w:val="center"/>
                    <w:textAlignment w:val="center"/>
                    <w:rPr>
                      <w:rFonts w:hint="eastAsia" w:ascii="Times New Roman" w:hAnsi="Times New Roman" w:eastAsia="宋体"/>
                      <w:color w:val="auto"/>
                      <w:kern w:val="0"/>
                      <w:szCs w:val="21"/>
                      <w:highlight w:val="none"/>
                      <w:lang w:eastAsia="zh-CN"/>
                    </w:rPr>
                  </w:pPr>
                </w:p>
              </w:tc>
              <w:tc>
                <w:tcPr>
                  <w:tcW w:w="1133" w:type="dxa"/>
                  <w:vMerge w:val="continue"/>
                  <w:noWrap w:val="0"/>
                  <w:vAlign w:val="center"/>
                </w:tcPr>
                <w:p w14:paraId="3CAA4364">
                  <w:pPr>
                    <w:widowControl/>
                    <w:jc w:val="center"/>
                    <w:textAlignment w:val="center"/>
                    <w:rPr>
                      <w:rFonts w:hint="eastAsia" w:ascii="Times New Roman" w:hAnsi="Times New Roman" w:eastAsia="宋体"/>
                      <w:color w:val="auto"/>
                      <w:kern w:val="0"/>
                      <w:szCs w:val="21"/>
                      <w:highlight w:val="none"/>
                      <w:lang w:eastAsia="zh-CN"/>
                    </w:rPr>
                  </w:pPr>
                </w:p>
              </w:tc>
            </w:tr>
            <w:tr w14:paraId="44971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290C8109">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w:t>
                  </w:r>
                </w:p>
              </w:tc>
              <w:tc>
                <w:tcPr>
                  <w:tcW w:w="2132" w:type="dxa"/>
                  <w:gridSpan w:val="2"/>
                  <w:noWrap w:val="0"/>
                  <w:vAlign w:val="center"/>
                </w:tcPr>
                <w:p w14:paraId="55951056">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化学需氧量</w:t>
                  </w:r>
                </w:p>
              </w:tc>
              <w:tc>
                <w:tcPr>
                  <w:tcW w:w="1621" w:type="dxa"/>
                  <w:noWrap w:val="0"/>
                  <w:vAlign w:val="center"/>
                </w:tcPr>
                <w:p w14:paraId="6FD7331C">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75</w:t>
                  </w:r>
                </w:p>
              </w:tc>
              <w:tc>
                <w:tcPr>
                  <w:tcW w:w="1184" w:type="dxa"/>
                  <w:noWrap w:val="0"/>
                  <w:vAlign w:val="center"/>
                </w:tcPr>
                <w:p w14:paraId="4BFC1E70">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90</w:t>
                  </w:r>
                </w:p>
              </w:tc>
              <w:tc>
                <w:tcPr>
                  <w:tcW w:w="1233" w:type="dxa"/>
                  <w:noWrap w:val="0"/>
                  <w:vAlign w:val="center"/>
                </w:tcPr>
                <w:p w14:paraId="29C096F3">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130</w:t>
                  </w:r>
                </w:p>
              </w:tc>
              <w:tc>
                <w:tcPr>
                  <w:tcW w:w="1133" w:type="dxa"/>
                  <w:noWrap w:val="0"/>
                  <w:vAlign w:val="center"/>
                </w:tcPr>
                <w:p w14:paraId="72D97074">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140</w:t>
                  </w:r>
                  <w:r>
                    <w:rPr>
                      <w:rFonts w:hint="eastAsia" w:ascii="宋体" w:hAnsi="宋体" w:eastAsia="宋体" w:cs="宋体"/>
                      <w:color w:val="auto"/>
                      <w:kern w:val="2"/>
                      <w:sz w:val="18"/>
                      <w:szCs w:val="18"/>
                      <w:highlight w:val="none"/>
                      <w:vertAlign w:val="superscript"/>
                      <w:lang w:val="en-US" w:eastAsia="zh-CN" w:bidi="ar-SA"/>
                    </w:rPr>
                    <w:t>①</w:t>
                  </w:r>
                </w:p>
              </w:tc>
            </w:tr>
            <w:tr w14:paraId="28D3C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5BE79A06">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w:t>
                  </w:r>
                </w:p>
              </w:tc>
              <w:tc>
                <w:tcPr>
                  <w:tcW w:w="2132" w:type="dxa"/>
                  <w:gridSpan w:val="2"/>
                  <w:noWrap w:val="0"/>
                  <w:vAlign w:val="center"/>
                </w:tcPr>
                <w:p w14:paraId="2E2FCD4F">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总氮</w:t>
                  </w:r>
                </w:p>
              </w:tc>
              <w:tc>
                <w:tcPr>
                  <w:tcW w:w="1621" w:type="dxa"/>
                  <w:noWrap w:val="0"/>
                  <w:vAlign w:val="center"/>
                </w:tcPr>
                <w:p w14:paraId="2E5B7AC9">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20</w:t>
                  </w:r>
                </w:p>
              </w:tc>
              <w:tc>
                <w:tcPr>
                  <w:tcW w:w="1184" w:type="dxa"/>
                  <w:noWrap w:val="0"/>
                  <w:vAlign w:val="center"/>
                </w:tcPr>
                <w:p w14:paraId="7BFD7B80">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25</w:t>
                  </w:r>
                </w:p>
              </w:tc>
              <w:tc>
                <w:tcPr>
                  <w:tcW w:w="1233" w:type="dxa"/>
                  <w:noWrap w:val="0"/>
                  <w:vAlign w:val="center"/>
                </w:tcPr>
                <w:p w14:paraId="26D96965">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w:t>
                  </w:r>
                </w:p>
              </w:tc>
              <w:tc>
                <w:tcPr>
                  <w:tcW w:w="1133" w:type="dxa"/>
                  <w:noWrap w:val="0"/>
                  <w:vAlign w:val="center"/>
                </w:tcPr>
                <w:p w14:paraId="7CD6A058">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w:t>
                  </w:r>
                </w:p>
              </w:tc>
            </w:tr>
            <w:tr w14:paraId="396B4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5D2A8E03">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w:t>
                  </w:r>
                </w:p>
              </w:tc>
              <w:tc>
                <w:tcPr>
                  <w:tcW w:w="2132" w:type="dxa"/>
                  <w:gridSpan w:val="2"/>
                  <w:noWrap w:val="0"/>
                  <w:vAlign w:val="center"/>
                </w:tcPr>
                <w:p w14:paraId="047D7B00">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氨氮</w:t>
                  </w:r>
                  <w:r>
                    <w:rPr>
                      <w:rFonts w:hint="default" w:ascii="Times New Roman" w:hAnsi="Times New Roman" w:eastAsia="宋体" w:cs="Times New Roman"/>
                      <w:color w:val="auto"/>
                      <w:kern w:val="2"/>
                      <w:sz w:val="18"/>
                      <w:szCs w:val="18"/>
                      <w:highlight w:val="none"/>
                      <w:vertAlign w:val="superscript"/>
                      <w:lang w:val="en-US" w:eastAsia="zh-CN" w:bidi="ar-SA"/>
                    </w:rPr>
                    <w:t>②</w:t>
                  </w:r>
                </w:p>
              </w:tc>
              <w:tc>
                <w:tcPr>
                  <w:tcW w:w="1621" w:type="dxa"/>
                  <w:noWrap w:val="0"/>
                  <w:vAlign w:val="center"/>
                </w:tcPr>
                <w:p w14:paraId="021772D1">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10（15）</w:t>
                  </w:r>
                </w:p>
              </w:tc>
              <w:tc>
                <w:tcPr>
                  <w:tcW w:w="1184" w:type="dxa"/>
                  <w:noWrap w:val="0"/>
                  <w:vAlign w:val="center"/>
                </w:tcPr>
                <w:p w14:paraId="7CFCA303">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15（20）</w:t>
                  </w:r>
                </w:p>
              </w:tc>
              <w:tc>
                <w:tcPr>
                  <w:tcW w:w="1233" w:type="dxa"/>
                  <w:noWrap w:val="0"/>
                  <w:vAlign w:val="center"/>
                </w:tcPr>
                <w:p w14:paraId="6577B510">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30（35）</w:t>
                  </w:r>
                </w:p>
              </w:tc>
              <w:tc>
                <w:tcPr>
                  <w:tcW w:w="1133" w:type="dxa"/>
                  <w:noWrap w:val="0"/>
                  <w:vAlign w:val="center"/>
                </w:tcPr>
                <w:p w14:paraId="48AD4D16">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w:t>
                  </w:r>
                </w:p>
              </w:tc>
            </w:tr>
            <w:tr w14:paraId="629F3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6E90D032">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w:t>
                  </w:r>
                </w:p>
              </w:tc>
              <w:tc>
                <w:tcPr>
                  <w:tcW w:w="465" w:type="dxa"/>
                  <w:vMerge w:val="restart"/>
                  <w:noWrap w:val="0"/>
                  <w:vAlign w:val="center"/>
                </w:tcPr>
                <w:p w14:paraId="162FE674">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总磷</w:t>
                  </w:r>
                </w:p>
              </w:tc>
              <w:tc>
                <w:tcPr>
                  <w:tcW w:w="1667" w:type="dxa"/>
                  <w:noWrap w:val="0"/>
                  <w:vAlign w:val="center"/>
                </w:tcPr>
                <w:p w14:paraId="31F34B74">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2005年12月31日前建设的</w:t>
                  </w:r>
                  <w:r>
                    <w:rPr>
                      <w:rFonts w:hint="eastAsia" w:ascii="宋体" w:hAnsi="宋体" w:eastAsia="宋体" w:cs="宋体"/>
                      <w:color w:val="auto"/>
                      <w:kern w:val="0"/>
                      <w:szCs w:val="21"/>
                      <w:highlight w:val="none"/>
                      <w:vertAlign w:val="superscript"/>
                    </w:rPr>
                    <w:t>③</w:t>
                  </w:r>
                </w:p>
              </w:tc>
              <w:tc>
                <w:tcPr>
                  <w:tcW w:w="1621" w:type="dxa"/>
                  <w:noWrap w:val="0"/>
                  <w:vAlign w:val="center"/>
                </w:tcPr>
                <w:p w14:paraId="697F2135">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w:t>
                  </w:r>
                </w:p>
              </w:tc>
              <w:tc>
                <w:tcPr>
                  <w:tcW w:w="1184" w:type="dxa"/>
                  <w:noWrap w:val="0"/>
                  <w:vAlign w:val="center"/>
                </w:tcPr>
                <w:p w14:paraId="3FC444BA">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2.5</w:t>
                  </w:r>
                </w:p>
              </w:tc>
              <w:tc>
                <w:tcPr>
                  <w:tcW w:w="1233" w:type="dxa"/>
                  <w:noWrap w:val="0"/>
                  <w:vAlign w:val="center"/>
                </w:tcPr>
                <w:p w14:paraId="5933866F">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w:t>
                  </w:r>
                </w:p>
              </w:tc>
              <w:tc>
                <w:tcPr>
                  <w:tcW w:w="1133" w:type="dxa"/>
                  <w:noWrap w:val="0"/>
                  <w:vAlign w:val="center"/>
                </w:tcPr>
                <w:p w14:paraId="451D9DC6">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w:t>
                  </w:r>
                </w:p>
              </w:tc>
            </w:tr>
            <w:tr w14:paraId="19BDC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7DB1B34E">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w:t>
                  </w:r>
                </w:p>
              </w:tc>
              <w:tc>
                <w:tcPr>
                  <w:tcW w:w="465" w:type="dxa"/>
                  <w:vMerge w:val="continue"/>
                  <w:noWrap w:val="0"/>
                  <w:vAlign w:val="center"/>
                </w:tcPr>
                <w:p w14:paraId="2BDC7C95">
                  <w:pPr>
                    <w:widowControl/>
                    <w:jc w:val="center"/>
                    <w:textAlignment w:val="center"/>
                    <w:rPr>
                      <w:rFonts w:ascii="Times New Roman" w:hAnsi="Times New Roman"/>
                      <w:color w:val="auto"/>
                      <w:kern w:val="0"/>
                      <w:szCs w:val="21"/>
                      <w:highlight w:val="none"/>
                    </w:rPr>
                  </w:pPr>
                </w:p>
              </w:tc>
              <w:tc>
                <w:tcPr>
                  <w:tcW w:w="1667" w:type="dxa"/>
                  <w:noWrap w:val="0"/>
                  <w:vAlign w:val="center"/>
                </w:tcPr>
                <w:p w14:paraId="223FF121">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2006年1月1日起建设的</w:t>
                  </w:r>
                </w:p>
              </w:tc>
              <w:tc>
                <w:tcPr>
                  <w:tcW w:w="1621" w:type="dxa"/>
                  <w:noWrap w:val="0"/>
                  <w:vAlign w:val="center"/>
                </w:tcPr>
                <w:p w14:paraId="10875A02">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w:t>
                  </w:r>
                </w:p>
              </w:tc>
              <w:tc>
                <w:tcPr>
                  <w:tcW w:w="1184" w:type="dxa"/>
                  <w:noWrap w:val="0"/>
                  <w:vAlign w:val="center"/>
                </w:tcPr>
                <w:p w14:paraId="6192C5CB">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w:t>
                  </w:r>
                </w:p>
              </w:tc>
              <w:tc>
                <w:tcPr>
                  <w:tcW w:w="1233" w:type="dxa"/>
                  <w:noWrap w:val="0"/>
                  <w:vAlign w:val="center"/>
                </w:tcPr>
                <w:p w14:paraId="128F015A">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w:t>
                  </w:r>
                </w:p>
              </w:tc>
              <w:tc>
                <w:tcPr>
                  <w:tcW w:w="1133" w:type="dxa"/>
                  <w:noWrap w:val="0"/>
                  <w:vAlign w:val="center"/>
                </w:tcPr>
                <w:p w14:paraId="0B824005">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w:t>
                  </w:r>
                </w:p>
              </w:tc>
            </w:tr>
            <w:tr w14:paraId="7D275B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3FDDD612">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6</w:t>
                  </w:r>
                </w:p>
              </w:tc>
              <w:tc>
                <w:tcPr>
                  <w:tcW w:w="2132" w:type="dxa"/>
                  <w:gridSpan w:val="2"/>
                  <w:noWrap w:val="0"/>
                  <w:vAlign w:val="center"/>
                </w:tcPr>
                <w:p w14:paraId="622F8065">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色度（稀释倍数）</w:t>
                  </w:r>
                </w:p>
              </w:tc>
              <w:tc>
                <w:tcPr>
                  <w:tcW w:w="1621" w:type="dxa"/>
                  <w:noWrap w:val="0"/>
                  <w:vAlign w:val="center"/>
                </w:tcPr>
                <w:p w14:paraId="65531771">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30</w:t>
                  </w:r>
                </w:p>
              </w:tc>
              <w:tc>
                <w:tcPr>
                  <w:tcW w:w="1184" w:type="dxa"/>
                  <w:noWrap w:val="0"/>
                  <w:vAlign w:val="center"/>
                </w:tcPr>
                <w:p w14:paraId="3960876B">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30</w:t>
                  </w:r>
                </w:p>
              </w:tc>
              <w:tc>
                <w:tcPr>
                  <w:tcW w:w="1233" w:type="dxa"/>
                  <w:noWrap w:val="0"/>
                  <w:vAlign w:val="center"/>
                </w:tcPr>
                <w:p w14:paraId="25988E24">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40</w:t>
                  </w:r>
                </w:p>
              </w:tc>
              <w:tc>
                <w:tcPr>
                  <w:tcW w:w="1133" w:type="dxa"/>
                  <w:noWrap w:val="0"/>
                  <w:vAlign w:val="center"/>
                </w:tcPr>
                <w:p w14:paraId="298965E3">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50</w:t>
                  </w:r>
                </w:p>
              </w:tc>
            </w:tr>
            <w:tr w14:paraId="662112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32332274">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7</w:t>
                  </w:r>
                </w:p>
              </w:tc>
              <w:tc>
                <w:tcPr>
                  <w:tcW w:w="2132" w:type="dxa"/>
                  <w:gridSpan w:val="2"/>
                  <w:noWrap w:val="0"/>
                  <w:vAlign w:val="center"/>
                </w:tcPr>
                <w:p w14:paraId="151834C0">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pH</w:t>
                  </w:r>
                </w:p>
              </w:tc>
              <w:tc>
                <w:tcPr>
                  <w:tcW w:w="5171" w:type="dxa"/>
                  <w:gridSpan w:val="4"/>
                  <w:noWrap w:val="0"/>
                  <w:vAlign w:val="center"/>
                </w:tcPr>
                <w:p w14:paraId="2EABB0F5">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6~9</w:t>
                  </w:r>
                </w:p>
              </w:tc>
            </w:tr>
            <w:tr w14:paraId="4B1E94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670A8B05">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8</w:t>
                  </w:r>
                </w:p>
              </w:tc>
              <w:tc>
                <w:tcPr>
                  <w:tcW w:w="2132" w:type="dxa"/>
                  <w:gridSpan w:val="2"/>
                  <w:noWrap w:val="0"/>
                  <w:vAlign w:val="center"/>
                </w:tcPr>
                <w:p w14:paraId="6D19D6F6">
                  <w:pPr>
                    <w:widowControl/>
                    <w:jc w:val="center"/>
                    <w:textAlignment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粪大肠菌群数（MPN/L）</w:t>
                  </w:r>
                </w:p>
              </w:tc>
              <w:tc>
                <w:tcPr>
                  <w:tcW w:w="1621" w:type="dxa"/>
                  <w:noWrap w:val="0"/>
                  <w:vAlign w:val="center"/>
                </w:tcPr>
                <w:p w14:paraId="557193E3">
                  <w:pPr>
                    <w:widowControl/>
                    <w:jc w:val="center"/>
                    <w:textAlignment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3</w:t>
                  </w:r>
                  <w:r>
                    <w:rPr>
                      <w:rFonts w:hint="eastAsia" w:ascii="Times New Roman" w:hAnsi="Times New Roman"/>
                      <w:color w:val="auto"/>
                      <w:kern w:val="0"/>
                      <w:szCs w:val="21"/>
                      <w:highlight w:val="none"/>
                      <w:lang w:val="en-US" w:eastAsia="zh-CN"/>
                    </w:rPr>
                    <w:t>（回用）</w:t>
                  </w:r>
                </w:p>
                <w:p w14:paraId="0FAD1831">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4</w:t>
                  </w:r>
                  <w:r>
                    <w:rPr>
                      <w:rFonts w:hint="eastAsia" w:ascii="Times New Roman" w:hAnsi="Times New Roman"/>
                      <w:color w:val="auto"/>
                      <w:kern w:val="0"/>
                      <w:szCs w:val="21"/>
                      <w:highlight w:val="none"/>
                      <w:lang w:val="en-US" w:eastAsia="zh-CN"/>
                    </w:rPr>
                    <w:t>（</w:t>
                  </w:r>
                  <w:r>
                    <w:rPr>
                      <w:rFonts w:hint="eastAsia"/>
                      <w:color w:val="auto"/>
                      <w:kern w:val="0"/>
                      <w:szCs w:val="21"/>
                      <w:highlight w:val="none"/>
                      <w:lang w:val="en-US" w:eastAsia="zh-CN"/>
                    </w:rPr>
                    <w:t>非</w:t>
                  </w:r>
                  <w:r>
                    <w:rPr>
                      <w:rFonts w:hint="eastAsia" w:ascii="Times New Roman" w:hAnsi="Times New Roman"/>
                      <w:color w:val="auto"/>
                      <w:kern w:val="0"/>
                      <w:szCs w:val="21"/>
                      <w:highlight w:val="none"/>
                      <w:lang w:val="en-US" w:eastAsia="zh-CN"/>
                    </w:rPr>
                    <w:t>回用）</w:t>
                  </w:r>
                </w:p>
              </w:tc>
              <w:tc>
                <w:tcPr>
                  <w:tcW w:w="1184" w:type="dxa"/>
                  <w:noWrap w:val="0"/>
                  <w:vAlign w:val="center"/>
                </w:tcPr>
                <w:p w14:paraId="61F9C2D4">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4</w:t>
                  </w:r>
                </w:p>
              </w:tc>
              <w:tc>
                <w:tcPr>
                  <w:tcW w:w="1233" w:type="dxa"/>
                  <w:noWrap w:val="0"/>
                  <w:vAlign w:val="center"/>
                </w:tcPr>
                <w:p w14:paraId="62A35383">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4</w:t>
                  </w:r>
                </w:p>
              </w:tc>
              <w:tc>
                <w:tcPr>
                  <w:tcW w:w="1133" w:type="dxa"/>
                  <w:noWrap w:val="0"/>
                  <w:vAlign w:val="center"/>
                </w:tcPr>
                <w:p w14:paraId="7DE9774A">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w:t>
                  </w:r>
                </w:p>
              </w:tc>
            </w:tr>
            <w:tr w14:paraId="60C23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37" w:type="dxa"/>
                  <w:gridSpan w:val="7"/>
                  <w:noWrap w:val="0"/>
                  <w:vAlign w:val="center"/>
                </w:tcPr>
                <w:p w14:paraId="7855F9A1">
                  <w:pPr>
                    <w:widowControl/>
                    <w:jc w:val="both"/>
                    <w:textAlignment w:val="center"/>
                    <w:rPr>
                      <w:rFonts w:hint="eastAsia" w:ascii="Times New Roman" w:hAnsi="Times New Roman"/>
                      <w:color w:val="auto"/>
                      <w:kern w:val="0"/>
                      <w:sz w:val="18"/>
                      <w:szCs w:val="18"/>
                      <w:highlight w:val="none"/>
                      <w:lang w:val="en-US" w:eastAsia="zh-CN"/>
                    </w:rPr>
                  </w:pPr>
                  <w:r>
                    <w:rPr>
                      <w:rFonts w:hint="eastAsia" w:ascii="Times New Roman" w:hAnsi="Times New Roman"/>
                      <w:color w:val="auto"/>
                      <w:kern w:val="0"/>
                      <w:sz w:val="18"/>
                      <w:szCs w:val="18"/>
                      <w:highlight w:val="none"/>
                      <w:lang w:val="en-US" w:eastAsia="zh-CN"/>
                    </w:rPr>
                    <w:t>注：</w:t>
                  </w:r>
                  <w:r>
                    <w:rPr>
                      <w:rFonts w:hint="eastAsia" w:ascii="宋体" w:hAnsi="宋体" w:eastAsia="宋体" w:cs="宋体"/>
                      <w:color w:val="auto"/>
                      <w:kern w:val="2"/>
                      <w:sz w:val="18"/>
                      <w:szCs w:val="18"/>
                      <w:highlight w:val="none"/>
                      <w:lang w:val="en-US" w:eastAsia="zh-CN" w:bidi="ar-SA"/>
                    </w:rPr>
                    <w:t>①</w:t>
                  </w:r>
                  <w:r>
                    <w:rPr>
                      <w:rFonts w:hint="eastAsia" w:ascii="Times New Roman" w:hAnsi="Times New Roman"/>
                      <w:color w:val="auto"/>
                      <w:kern w:val="0"/>
                      <w:sz w:val="18"/>
                      <w:szCs w:val="18"/>
                      <w:highlight w:val="none"/>
                      <w:lang w:val="en-US" w:eastAsia="zh-CN"/>
                    </w:rPr>
                    <w:t>下列情况下按去除率指标执行：当进水COD大于350mg/L时，去除率应大于60%；BOD大于160mg/L时，去除率应大于50%。</w:t>
                  </w:r>
                </w:p>
                <w:p w14:paraId="17C6153B">
                  <w:pPr>
                    <w:widowControl/>
                    <w:jc w:val="both"/>
                    <w:textAlignment w:val="center"/>
                    <w:rPr>
                      <w:rFonts w:hint="eastAsia" w:ascii="Times New Roman" w:hAnsi="Times New Roman"/>
                      <w:color w:val="auto"/>
                      <w:kern w:val="0"/>
                      <w:sz w:val="18"/>
                      <w:szCs w:val="18"/>
                      <w:highlight w:val="none"/>
                      <w:lang w:val="en-US" w:eastAsia="zh-CN"/>
                    </w:rPr>
                  </w:pPr>
                  <w:r>
                    <w:rPr>
                      <w:rFonts w:hint="default" w:ascii="Times New Roman" w:hAnsi="Times New Roman" w:eastAsia="宋体" w:cs="Times New Roman"/>
                      <w:color w:val="auto"/>
                      <w:kern w:val="2"/>
                      <w:sz w:val="18"/>
                      <w:szCs w:val="18"/>
                      <w:highlight w:val="none"/>
                      <w:lang w:val="en-US" w:eastAsia="zh-CN" w:bidi="ar-SA"/>
                    </w:rPr>
                    <w:t>②</w:t>
                  </w:r>
                  <w:r>
                    <w:rPr>
                      <w:rFonts w:hint="eastAsia" w:ascii="Times New Roman" w:hAnsi="Times New Roman"/>
                      <w:color w:val="auto"/>
                      <w:kern w:val="0"/>
                      <w:sz w:val="18"/>
                      <w:szCs w:val="18"/>
                      <w:highlight w:val="none"/>
                      <w:lang w:val="en-US" w:eastAsia="zh-CN"/>
                    </w:rPr>
                    <w:t>括号外数值为水温&gt;12°C时的控制指标，括号内数值为水温≤12°C时的控制指标。</w:t>
                  </w:r>
                </w:p>
                <w:p w14:paraId="756AD4E1">
                  <w:pPr>
                    <w:widowControl/>
                    <w:jc w:val="both"/>
                    <w:textAlignment w:val="center"/>
                    <w:rPr>
                      <w:rFonts w:hint="eastAsia" w:ascii="Times New Roman" w:hAnsi="Times New Roman"/>
                      <w:color w:val="auto"/>
                      <w:kern w:val="0"/>
                      <w:szCs w:val="21"/>
                      <w:highlight w:val="none"/>
                      <w:lang w:val="en-US" w:eastAsia="zh-CN"/>
                    </w:rPr>
                  </w:pPr>
                  <w:r>
                    <w:rPr>
                      <w:rFonts w:hint="eastAsia" w:ascii="宋体" w:hAnsi="宋体" w:eastAsia="宋体" w:cs="宋体"/>
                      <w:color w:val="auto"/>
                      <w:kern w:val="0"/>
                      <w:sz w:val="18"/>
                      <w:szCs w:val="18"/>
                      <w:highlight w:val="none"/>
                      <w:lang w:val="en-US" w:eastAsia="zh-CN"/>
                    </w:rPr>
                    <w:t>③</w:t>
                  </w:r>
                  <w:r>
                    <w:rPr>
                      <w:rFonts w:hint="eastAsia" w:ascii="Times New Roman" w:hAnsi="Times New Roman"/>
                      <w:color w:val="auto"/>
                      <w:kern w:val="0"/>
                      <w:sz w:val="18"/>
                      <w:szCs w:val="18"/>
                      <w:highlight w:val="none"/>
                      <w:lang w:val="en-US" w:eastAsia="zh-CN"/>
                    </w:rPr>
                    <w:t>2005年12月31日前建设的城镇污水处理厂，自2028年1月1日起，执行2006年1月1日起建设的城镇污水处理厂的排放限值。</w:t>
                  </w:r>
                </w:p>
              </w:tc>
            </w:tr>
          </w:tbl>
          <w:p w14:paraId="35D02CBF">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0" w:leftChars="0" w:firstLine="482" w:firstLineChars="200"/>
              <w:jc w:val="both"/>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kern w:val="2"/>
                <w:sz w:val="24"/>
                <w:szCs w:val="24"/>
                <w:highlight w:val="none"/>
                <w:lang w:val="en-US" w:eastAsia="zh-CN" w:bidi="ar-SA"/>
              </w:rPr>
              <w:t>5、</w:t>
            </w:r>
            <w:r>
              <w:rPr>
                <w:rFonts w:hint="default" w:ascii="Times New Roman" w:hAnsi="Times New Roman" w:cs="Times New Roman"/>
                <w:b/>
                <w:bCs w:val="0"/>
                <w:color w:val="auto"/>
                <w:sz w:val="24"/>
                <w:szCs w:val="24"/>
                <w:highlight w:val="none"/>
                <w:lang w:val="en-US" w:eastAsia="zh-CN"/>
              </w:rPr>
              <w:t>平面布置</w:t>
            </w:r>
          </w:p>
          <w:p w14:paraId="260BC362">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根据</w:t>
            </w:r>
            <w:r>
              <w:rPr>
                <w:rFonts w:hint="eastAsia" w:ascii="Times New Roman" w:hAnsi="Times New Roman" w:cs="Times New Roman"/>
                <w:bCs/>
                <w:color w:val="auto"/>
                <w:sz w:val="24"/>
                <w:szCs w:val="24"/>
                <w:highlight w:val="none"/>
                <w:lang w:val="en-US" w:eastAsia="zh-CN"/>
              </w:rPr>
              <w:t>设计方提供的</w:t>
            </w:r>
            <w:r>
              <w:rPr>
                <w:rFonts w:hint="default" w:ascii="Times New Roman" w:hAnsi="Times New Roman" w:eastAsia="宋体" w:cs="Times New Roman"/>
                <w:bCs/>
                <w:color w:val="auto"/>
                <w:sz w:val="24"/>
                <w:szCs w:val="24"/>
                <w:highlight w:val="none"/>
                <w:lang w:val="en-US" w:eastAsia="zh-CN"/>
              </w:rPr>
              <w:t>污水处理</w:t>
            </w:r>
            <w:r>
              <w:rPr>
                <w:rFonts w:hint="eastAsia" w:ascii="Times New Roman" w:hAnsi="Times New Roman" w:cs="Times New Roman"/>
                <w:bCs/>
                <w:color w:val="auto"/>
                <w:sz w:val="24"/>
                <w:szCs w:val="24"/>
                <w:highlight w:val="none"/>
                <w:lang w:val="en-US" w:eastAsia="zh-CN"/>
              </w:rPr>
              <w:t>厂</w:t>
            </w:r>
            <w:r>
              <w:rPr>
                <w:rFonts w:hint="default" w:ascii="Times New Roman" w:hAnsi="Times New Roman" w:eastAsia="宋体" w:cs="Times New Roman"/>
                <w:bCs/>
                <w:color w:val="auto"/>
                <w:sz w:val="24"/>
                <w:szCs w:val="24"/>
                <w:highlight w:val="none"/>
                <w:lang w:val="en-US" w:eastAsia="zh-CN"/>
              </w:rPr>
              <w:t>平面布置，</w:t>
            </w:r>
            <w:r>
              <w:rPr>
                <w:rFonts w:hint="eastAsia" w:ascii="Times New Roman" w:hAnsi="Times New Roman" w:cs="Times New Roman"/>
                <w:bCs/>
                <w:color w:val="auto"/>
                <w:sz w:val="24"/>
                <w:szCs w:val="24"/>
                <w:highlight w:val="none"/>
                <w:lang w:val="en-US" w:eastAsia="zh-CN"/>
              </w:rPr>
              <w:t>其中污水处理区</w:t>
            </w:r>
            <w:r>
              <w:rPr>
                <w:rFonts w:hint="default" w:ascii="Times New Roman" w:hAnsi="Times New Roman" w:eastAsia="宋体" w:cs="Times New Roman"/>
                <w:bCs/>
                <w:color w:val="auto"/>
                <w:sz w:val="24"/>
                <w:szCs w:val="24"/>
                <w:highlight w:val="none"/>
                <w:lang w:val="en-US" w:eastAsia="zh-CN"/>
              </w:rPr>
              <w:t>位于</w:t>
            </w:r>
            <w:r>
              <w:rPr>
                <w:rFonts w:hint="eastAsia" w:ascii="Times New Roman" w:hAnsi="Times New Roman" w:cs="Times New Roman"/>
                <w:bCs/>
                <w:color w:val="auto"/>
                <w:sz w:val="24"/>
                <w:szCs w:val="24"/>
                <w:highlight w:val="none"/>
                <w:lang w:val="en-US" w:eastAsia="zh-CN"/>
              </w:rPr>
              <w:t>场地</w:t>
            </w:r>
            <w:r>
              <w:rPr>
                <w:rFonts w:hint="default" w:ascii="Times New Roman" w:hAnsi="Times New Roman" w:eastAsia="宋体" w:cs="Times New Roman"/>
                <w:bCs/>
                <w:color w:val="auto"/>
                <w:sz w:val="24"/>
                <w:szCs w:val="24"/>
                <w:highlight w:val="none"/>
                <w:lang w:val="en-US" w:eastAsia="zh-CN"/>
              </w:rPr>
              <w:t>北侧，由</w:t>
            </w:r>
            <w:r>
              <w:rPr>
                <w:rFonts w:hint="eastAsia" w:ascii="Times New Roman" w:hAnsi="Times New Roman" w:cs="Times New Roman"/>
                <w:bCs/>
                <w:color w:val="auto"/>
                <w:sz w:val="24"/>
                <w:szCs w:val="24"/>
                <w:highlight w:val="none"/>
                <w:lang w:val="en-US" w:eastAsia="zh-CN"/>
              </w:rPr>
              <w:t>西至东</w:t>
            </w:r>
            <w:r>
              <w:rPr>
                <w:rFonts w:hint="default" w:ascii="Times New Roman" w:hAnsi="Times New Roman" w:eastAsia="宋体" w:cs="Times New Roman"/>
                <w:bCs/>
                <w:color w:val="auto"/>
                <w:sz w:val="24"/>
                <w:szCs w:val="24"/>
                <w:highlight w:val="none"/>
                <w:lang w:val="en-US" w:eastAsia="zh-CN"/>
              </w:rPr>
              <w:t>分别布设预处理</w:t>
            </w:r>
            <w:r>
              <w:rPr>
                <w:rFonts w:hint="eastAsia" w:ascii="Times New Roman" w:hAnsi="Times New Roman" w:cs="Times New Roman"/>
                <w:bCs/>
                <w:color w:val="auto"/>
                <w:sz w:val="24"/>
                <w:szCs w:val="24"/>
                <w:highlight w:val="none"/>
                <w:lang w:val="en-US" w:eastAsia="zh-CN"/>
              </w:rPr>
              <w:t>单元</w:t>
            </w:r>
            <w:r>
              <w:rPr>
                <w:rFonts w:hint="default" w:ascii="Times New Roman" w:hAnsi="Times New Roman" w:eastAsia="宋体" w:cs="Times New Roman"/>
                <w:bCs/>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生物处理单元</w:t>
            </w:r>
            <w:r>
              <w:rPr>
                <w:rFonts w:hint="default" w:ascii="Times New Roman" w:hAnsi="Times New Roman" w:eastAsia="宋体" w:cs="Times New Roman"/>
                <w:bCs/>
                <w:color w:val="auto"/>
                <w:sz w:val="24"/>
                <w:szCs w:val="24"/>
                <w:highlight w:val="none"/>
                <w:lang w:val="en-US" w:eastAsia="zh-CN"/>
              </w:rPr>
              <w:t>、深度处理</w:t>
            </w:r>
            <w:r>
              <w:rPr>
                <w:rFonts w:hint="eastAsia" w:ascii="Times New Roman" w:hAnsi="Times New Roman" w:cs="Times New Roman"/>
                <w:bCs/>
                <w:color w:val="auto"/>
                <w:sz w:val="24"/>
                <w:szCs w:val="24"/>
                <w:highlight w:val="none"/>
                <w:lang w:val="en-US" w:eastAsia="zh-CN"/>
              </w:rPr>
              <w:t>单元</w:t>
            </w:r>
            <w:r>
              <w:rPr>
                <w:rFonts w:hint="default" w:ascii="Times New Roman" w:hAnsi="Times New Roman" w:eastAsia="宋体" w:cs="Times New Roman"/>
                <w:bCs/>
                <w:color w:val="auto"/>
                <w:sz w:val="24"/>
                <w:szCs w:val="24"/>
                <w:highlight w:val="none"/>
                <w:lang w:val="en-US" w:eastAsia="zh-CN"/>
              </w:rPr>
              <w:t>，预处理构筑物包括格栅渠、</w:t>
            </w:r>
            <w:r>
              <w:rPr>
                <w:rFonts w:hint="eastAsia" w:ascii="Times New Roman" w:hAnsi="Times New Roman" w:cs="Times New Roman"/>
                <w:bCs/>
                <w:color w:val="auto"/>
                <w:sz w:val="24"/>
                <w:szCs w:val="24"/>
                <w:highlight w:val="none"/>
                <w:lang w:val="en-US" w:eastAsia="zh-CN"/>
              </w:rPr>
              <w:t>集水池、</w:t>
            </w:r>
            <w:r>
              <w:rPr>
                <w:rFonts w:hint="default" w:ascii="Times New Roman" w:hAnsi="Times New Roman" w:eastAsia="宋体" w:cs="Times New Roman"/>
                <w:bCs/>
                <w:color w:val="auto"/>
                <w:sz w:val="24"/>
                <w:szCs w:val="24"/>
                <w:highlight w:val="none"/>
                <w:lang w:val="en-US" w:eastAsia="zh-CN"/>
              </w:rPr>
              <w:t>调节池；</w:t>
            </w:r>
            <w:r>
              <w:rPr>
                <w:rFonts w:hint="eastAsia" w:ascii="Times New Roman" w:hAnsi="Times New Roman" w:cs="Times New Roman"/>
                <w:bCs/>
                <w:color w:val="auto"/>
                <w:sz w:val="24"/>
                <w:szCs w:val="24"/>
                <w:highlight w:val="none"/>
                <w:lang w:val="en-US" w:eastAsia="zh-CN"/>
              </w:rPr>
              <w:t>生物处理</w:t>
            </w:r>
            <w:r>
              <w:rPr>
                <w:rFonts w:hint="default" w:ascii="Times New Roman" w:hAnsi="Times New Roman" w:eastAsia="宋体" w:cs="Times New Roman"/>
                <w:bCs/>
                <w:color w:val="auto"/>
                <w:sz w:val="24"/>
                <w:szCs w:val="24"/>
                <w:highlight w:val="none"/>
                <w:lang w:val="en-US" w:eastAsia="zh-CN"/>
              </w:rPr>
              <w:t>构筑物包括A</w:t>
            </w:r>
            <w:r>
              <w:rPr>
                <w:rFonts w:hint="default" w:ascii="Times New Roman" w:hAnsi="Times New Roman" w:eastAsia="宋体" w:cs="Times New Roman"/>
                <w:bCs/>
                <w:color w:val="auto"/>
                <w:sz w:val="24"/>
                <w:szCs w:val="24"/>
                <w:highlight w:val="none"/>
                <w:vertAlign w:val="superscript"/>
                <w:lang w:val="en-US" w:eastAsia="zh-CN"/>
              </w:rPr>
              <w:t>2</w:t>
            </w:r>
            <w:r>
              <w:rPr>
                <w:rFonts w:hint="default" w:ascii="Times New Roman" w:hAnsi="Times New Roman" w:eastAsia="宋体" w:cs="Times New Roman"/>
                <w:bCs/>
                <w:color w:val="auto"/>
                <w:sz w:val="24"/>
                <w:szCs w:val="24"/>
                <w:highlight w:val="none"/>
                <w:lang w:val="en-US" w:eastAsia="zh-CN"/>
              </w:rPr>
              <w:t>O生化池</w:t>
            </w:r>
            <w:r>
              <w:rPr>
                <w:rFonts w:hint="eastAsia" w:ascii="Times New Roman" w:hAnsi="Times New Roman"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lang w:val="en-US" w:eastAsia="zh-CN"/>
              </w:rPr>
              <w:t>二沉池</w:t>
            </w:r>
            <w:r>
              <w:rPr>
                <w:rFonts w:hint="eastAsia" w:ascii="Times New Roman" w:hAnsi="Times New Roman" w:cs="Times New Roman"/>
                <w:bCs/>
                <w:color w:val="auto"/>
                <w:sz w:val="24"/>
                <w:szCs w:val="24"/>
                <w:highlight w:val="none"/>
                <w:lang w:val="en-US" w:eastAsia="zh-CN"/>
              </w:rPr>
              <w:t>、高密度沉淀池和滤布滤池</w:t>
            </w:r>
            <w:r>
              <w:rPr>
                <w:rFonts w:hint="default" w:ascii="Times New Roman" w:hAnsi="Times New Roman" w:eastAsia="宋体" w:cs="Times New Roman"/>
                <w:bCs/>
                <w:color w:val="auto"/>
                <w:sz w:val="24"/>
                <w:szCs w:val="24"/>
                <w:highlight w:val="none"/>
                <w:lang w:val="en-US" w:eastAsia="zh-CN"/>
              </w:rPr>
              <w:t>；深度处理构筑物为接触消毒池</w:t>
            </w:r>
            <w:r>
              <w:rPr>
                <w:rFonts w:hint="eastAsia" w:ascii="Times New Roman" w:hAnsi="Times New Roman" w:cs="Times New Roman"/>
                <w:bCs/>
                <w:color w:val="auto"/>
                <w:sz w:val="24"/>
                <w:szCs w:val="24"/>
                <w:highlight w:val="none"/>
                <w:lang w:val="en-US" w:eastAsia="zh-CN"/>
              </w:rPr>
              <w:t>；辅助工程位于场地中部，由西至东分别布设有综合管理用房、控制室、鼓风机房、柴油发电机房、配电室、加药间、危废间；污泥处理单元位于场地东南部，包括污泥浓缩池和污泥脱水间。</w:t>
            </w:r>
          </w:p>
          <w:p w14:paraId="7D414638">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整个厂区布置紧凑、功能分区明确、运行管理方便，建、构筑物布置间距符合防火及卫生防护要求，并充分利用建、构筑物间及建构筑物与道路间的空间进行花草树木的种植，创造出整洁宜人的站区工作和生活环境。项目污水处理站总平面布置见附图</w:t>
            </w:r>
            <w:r>
              <w:rPr>
                <w:rFonts w:hint="eastAsia" w:ascii="Times New Roman" w:hAnsi="Times New Roman"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lang w:val="en-US" w:eastAsia="zh-CN"/>
              </w:rPr>
              <w:t>。</w:t>
            </w:r>
          </w:p>
          <w:p w14:paraId="20C5F0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kern w:val="2"/>
                <w:sz w:val="24"/>
                <w:szCs w:val="24"/>
                <w:highlight w:val="none"/>
                <w:lang w:val="en-US" w:eastAsia="zh-CN" w:bidi="ar-SA"/>
              </w:rPr>
              <w:t>6、</w:t>
            </w:r>
            <w:r>
              <w:rPr>
                <w:rFonts w:hint="default" w:ascii="Times New Roman" w:hAnsi="Times New Roman" w:cs="Times New Roman"/>
                <w:b/>
                <w:bCs w:val="0"/>
                <w:color w:val="auto"/>
                <w:sz w:val="24"/>
                <w:szCs w:val="24"/>
                <w:highlight w:val="none"/>
                <w:lang w:val="en-US" w:eastAsia="zh-CN"/>
              </w:rPr>
              <w:t>劳动定员</w:t>
            </w:r>
          </w:p>
          <w:p w14:paraId="64CD5712">
            <w:pPr>
              <w:snapToGrid w:val="0"/>
              <w:spacing w:line="360" w:lineRule="auto"/>
              <w:ind w:firstLine="480" w:firstLineChars="200"/>
              <w:rPr>
                <w:rFonts w:hint="default" w:hAnsi="宋体" w:eastAsia="宋体"/>
                <w:color w:val="auto"/>
                <w:sz w:val="24"/>
                <w:highlight w:val="none"/>
                <w:lang w:val="en-US" w:eastAsia="zh-CN"/>
              </w:rPr>
            </w:pPr>
            <w:r>
              <w:rPr>
                <w:rFonts w:hint="eastAsia" w:cs="Times New Roman"/>
                <w:bCs/>
                <w:color w:val="auto"/>
                <w:kern w:val="0"/>
                <w:sz w:val="24"/>
                <w:szCs w:val="24"/>
                <w:highlight w:val="none"/>
                <w:lang w:val="en-US" w:eastAsia="zh-CN" w:bidi="ar-SA"/>
              </w:rPr>
              <w:t>本项目</w:t>
            </w:r>
            <w:r>
              <w:rPr>
                <w:rFonts w:hint="eastAsia" w:hAnsi="宋体"/>
                <w:color w:val="auto"/>
                <w:sz w:val="24"/>
                <w:highlight w:val="none"/>
                <w:lang w:eastAsia="zh-CN"/>
              </w:rPr>
              <w:t>劳动</w:t>
            </w:r>
            <w:r>
              <w:rPr>
                <w:rFonts w:hint="eastAsia" w:hAnsi="宋体"/>
                <w:color w:val="auto"/>
                <w:sz w:val="24"/>
                <w:highlight w:val="none"/>
              </w:rPr>
              <w:t>定员</w:t>
            </w:r>
            <w:r>
              <w:rPr>
                <w:rFonts w:hint="eastAsia" w:hAnsi="宋体"/>
                <w:color w:val="auto"/>
                <w:sz w:val="24"/>
                <w:highlight w:val="none"/>
                <w:lang w:val="en-US" w:eastAsia="zh-CN"/>
              </w:rPr>
              <w:t>14</w:t>
            </w:r>
            <w:r>
              <w:rPr>
                <w:rFonts w:hint="eastAsia" w:hAnsi="宋体"/>
                <w:color w:val="auto"/>
                <w:sz w:val="24"/>
                <w:highlight w:val="none"/>
              </w:rPr>
              <w:t>人，厂区内设食堂。</w:t>
            </w:r>
            <w:r>
              <w:rPr>
                <w:rFonts w:hint="eastAsia" w:hAnsi="宋体"/>
                <w:color w:val="auto"/>
                <w:sz w:val="24"/>
                <w:highlight w:val="none"/>
                <w:lang w:eastAsia="zh-CN"/>
              </w:rPr>
              <w:t>其中污水处理单元每天</w:t>
            </w:r>
            <w:r>
              <w:rPr>
                <w:rFonts w:hint="eastAsia" w:hAnsi="宋体"/>
                <w:color w:val="auto"/>
                <w:sz w:val="24"/>
                <w:highlight w:val="none"/>
                <w:lang w:val="en-US" w:eastAsia="zh-CN"/>
              </w:rPr>
              <w:t>3班，每班2人；污泥处理单元每天2班，每班2人；控制室每天1班，每班1人；管理及技术人员每天1班，每班合计3人。</w:t>
            </w:r>
          </w:p>
          <w:p w14:paraId="77D7880D">
            <w:pPr>
              <w:pStyle w:val="2"/>
              <w:numPr>
                <w:ilvl w:val="0"/>
                <w:numId w:val="0"/>
              </w:numPr>
              <w:ind w:right="113" w:rightChars="0" w:firstLine="482" w:firstLineChars="200"/>
              <w:rPr>
                <w:rFonts w:hint="eastAsia" w:cs="Times New Roman"/>
                <w:b/>
                <w:bCs w:val="0"/>
                <w:color w:val="auto"/>
                <w:kern w:val="0"/>
                <w:sz w:val="24"/>
                <w:szCs w:val="24"/>
                <w:highlight w:val="none"/>
                <w:lang w:val="en-US" w:eastAsia="zh-CN" w:bidi="ar-SA"/>
              </w:rPr>
            </w:pPr>
            <w:r>
              <w:rPr>
                <w:rFonts w:hint="eastAsia" w:cs="Times New Roman"/>
                <w:b/>
                <w:bCs w:val="0"/>
                <w:color w:val="auto"/>
                <w:kern w:val="0"/>
                <w:sz w:val="24"/>
                <w:szCs w:val="24"/>
                <w:highlight w:val="none"/>
                <w:lang w:val="en-US" w:eastAsia="zh-CN" w:bidi="ar-SA"/>
              </w:rPr>
              <w:t>7、公用工程</w:t>
            </w:r>
          </w:p>
          <w:p w14:paraId="61925BDE">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①</w:t>
            </w:r>
            <w:r>
              <w:rPr>
                <w:rFonts w:hint="default" w:ascii="Times New Roman" w:hAnsi="Times New Roman" w:eastAsia="宋体" w:cs="Times New Roman"/>
                <w:bCs/>
                <w:color w:val="auto"/>
                <w:sz w:val="24"/>
                <w:szCs w:val="24"/>
                <w:highlight w:val="none"/>
                <w:lang w:val="en-US" w:eastAsia="zh-CN"/>
              </w:rPr>
              <w:t>供电</w:t>
            </w:r>
          </w:p>
          <w:p w14:paraId="5E98BBB4">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由当地供电系统提供，厂内设置配电室，供电电压采用10kV，配电电压采用0.38kV；此外，还设置一台400kW柴油发电机为备用电源，确保运营期用电得到长期保证</w:t>
            </w:r>
            <w:r>
              <w:rPr>
                <w:rFonts w:hint="default" w:ascii="Times New Roman" w:hAnsi="Times New Roman" w:eastAsia="宋体" w:cs="Times New Roman"/>
                <w:bCs/>
                <w:color w:val="auto"/>
                <w:sz w:val="24"/>
                <w:szCs w:val="24"/>
                <w:highlight w:val="none"/>
                <w:lang w:val="en-US" w:eastAsia="zh-CN"/>
              </w:rPr>
              <w:t>。</w:t>
            </w:r>
          </w:p>
          <w:p w14:paraId="146AC052">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②</w:t>
            </w:r>
            <w:r>
              <w:rPr>
                <w:rFonts w:hint="default" w:ascii="Times New Roman" w:hAnsi="Times New Roman" w:eastAsia="宋体" w:cs="Times New Roman"/>
                <w:bCs/>
                <w:color w:val="auto"/>
                <w:sz w:val="24"/>
                <w:szCs w:val="24"/>
                <w:highlight w:val="none"/>
                <w:lang w:val="en-US" w:eastAsia="zh-CN"/>
              </w:rPr>
              <w:t>给水</w:t>
            </w:r>
          </w:p>
          <w:p w14:paraId="23FF3BFB">
            <w:pPr>
              <w:pStyle w:val="30"/>
              <w:keepNext w:val="0"/>
              <w:keepLines w:val="0"/>
              <w:pageBreakBefore w:val="0"/>
              <w:widowControl w:val="0"/>
              <w:kinsoku/>
              <w:wordWrap/>
              <w:overflowPunct/>
              <w:topLinePunct w:val="0"/>
              <w:autoSpaceDE/>
              <w:autoSpaceDN/>
              <w:bidi w:val="0"/>
              <w:adjustRightInd/>
              <w:snapToGrid/>
              <w:spacing w:after="0" w:line="360" w:lineRule="auto"/>
              <w:ind w:left="479" w:leftChars="228" w:firstLine="0" w:firstLineChars="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污水处理厂内</w:t>
            </w:r>
            <w:r>
              <w:rPr>
                <w:rFonts w:hint="default" w:ascii="Times New Roman" w:hAnsi="Times New Roman" w:eastAsia="宋体" w:cs="Times New Roman"/>
                <w:bCs/>
                <w:color w:val="auto"/>
                <w:sz w:val="24"/>
                <w:szCs w:val="24"/>
                <w:highlight w:val="none"/>
                <w:lang w:val="en-US" w:eastAsia="zh-CN"/>
              </w:rPr>
              <w:t>用水接自</w:t>
            </w:r>
            <w:r>
              <w:rPr>
                <w:rFonts w:hint="eastAsia" w:ascii="Times New Roman" w:hAnsi="Times New Roman" w:cs="Times New Roman"/>
                <w:bCs/>
                <w:color w:val="auto"/>
                <w:sz w:val="24"/>
                <w:szCs w:val="24"/>
                <w:highlight w:val="none"/>
                <w:lang w:val="en-US" w:eastAsia="zh-CN"/>
              </w:rPr>
              <w:t>当地自来水</w:t>
            </w:r>
            <w:r>
              <w:rPr>
                <w:rFonts w:hint="default" w:ascii="Times New Roman" w:hAnsi="Times New Roman" w:eastAsia="宋体" w:cs="Times New Roman"/>
                <w:bCs/>
                <w:color w:val="auto"/>
                <w:sz w:val="24"/>
                <w:szCs w:val="24"/>
                <w:highlight w:val="none"/>
                <w:lang w:val="en-US" w:eastAsia="zh-CN"/>
              </w:rPr>
              <w:t>管网，采用PE管道，热熔连接。</w:t>
            </w:r>
          </w:p>
          <w:p w14:paraId="71D48E5C">
            <w:pPr>
              <w:pStyle w:val="30"/>
              <w:keepNext w:val="0"/>
              <w:keepLines w:val="0"/>
              <w:pageBreakBefore w:val="0"/>
              <w:widowControl w:val="0"/>
              <w:kinsoku/>
              <w:wordWrap/>
              <w:overflowPunct/>
              <w:topLinePunct w:val="0"/>
              <w:autoSpaceDE/>
              <w:autoSpaceDN/>
              <w:bidi w:val="0"/>
              <w:adjustRightInd/>
              <w:snapToGrid/>
              <w:spacing w:after="0" w:line="360" w:lineRule="auto"/>
              <w:ind w:left="479" w:leftChars="228" w:firstLine="0" w:firstLineChars="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③</w:t>
            </w:r>
            <w:r>
              <w:rPr>
                <w:rFonts w:hint="default" w:ascii="Times New Roman" w:hAnsi="Times New Roman" w:eastAsia="宋体" w:cs="Times New Roman"/>
                <w:bCs/>
                <w:color w:val="auto"/>
                <w:sz w:val="24"/>
                <w:szCs w:val="24"/>
                <w:highlight w:val="none"/>
                <w:lang w:val="en-US" w:eastAsia="zh-CN"/>
              </w:rPr>
              <w:t>排水</w:t>
            </w:r>
          </w:p>
          <w:p w14:paraId="66F7D3B2">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厂区</w:t>
            </w:r>
            <w:r>
              <w:rPr>
                <w:rFonts w:hint="default" w:ascii="Times New Roman" w:hAnsi="Times New Roman" w:eastAsia="宋体" w:cs="Times New Roman"/>
                <w:bCs/>
                <w:color w:val="auto"/>
                <w:sz w:val="24"/>
                <w:szCs w:val="24"/>
                <w:highlight w:val="none"/>
                <w:lang w:val="en-US" w:eastAsia="zh-CN"/>
              </w:rPr>
              <w:t>排水体制为雨污分流制</w:t>
            </w:r>
            <w:r>
              <w:rPr>
                <w:rFonts w:hint="eastAsia" w:ascii="Times New Roman" w:hAnsi="Times New Roman" w:cs="Times New Roman"/>
                <w:bCs/>
                <w:color w:val="auto"/>
                <w:sz w:val="24"/>
                <w:szCs w:val="24"/>
                <w:highlight w:val="none"/>
                <w:lang w:val="en-US" w:eastAsia="zh-CN"/>
              </w:rPr>
              <w:t>。屋面雨水采用外排式重力流雨水排水系统，厂区内雨水经雨水管网统一收集后外排至溢水河；</w:t>
            </w:r>
            <w:r>
              <w:rPr>
                <w:rFonts w:hint="eastAsia" w:ascii="Times New Roman" w:hAnsi="Times New Roman" w:cs="Times New Roman"/>
                <w:bCs/>
                <w:color w:val="auto"/>
                <w:sz w:val="24"/>
                <w:szCs w:val="24"/>
                <w:highlight w:val="none"/>
                <w:lang w:val="en-US" w:eastAsia="zh-CN"/>
              </w:rPr>
              <w:t>员工生活污水、管网收集生活污水和污泥脱水产生的废水接入厂区污水处理系统处理，达到《城镇污水处理厂污染物排放标准》（GB18918-2002）表1中一级A标准和2025年修改单表4中瞬时值标准后排入溢水河</w:t>
            </w:r>
            <w:r>
              <w:rPr>
                <w:rFonts w:hint="default" w:ascii="Times New Roman" w:hAnsi="Times New Roman" w:eastAsia="宋体" w:cs="Times New Roman"/>
                <w:bCs/>
                <w:color w:val="auto"/>
                <w:sz w:val="24"/>
                <w:szCs w:val="24"/>
                <w:highlight w:val="none"/>
                <w:lang w:val="en-US" w:eastAsia="zh-CN"/>
              </w:rPr>
              <w:t>。</w:t>
            </w:r>
          </w:p>
          <w:p w14:paraId="2409B4F0">
            <w:pPr>
              <w:rPr>
                <w:rFonts w:hint="default" w:ascii="Times New Roman" w:hAnsi="Times New Roman" w:eastAsia="宋体" w:cs="Times New Roman"/>
                <w:bCs/>
                <w:color w:val="auto"/>
                <w:sz w:val="24"/>
                <w:szCs w:val="24"/>
                <w:highlight w:val="none"/>
                <w:lang w:val="en-US" w:eastAsia="zh-CN"/>
              </w:rPr>
            </w:pPr>
          </w:p>
          <w:p w14:paraId="61FDE944">
            <w:pPr>
              <w:rPr>
                <w:rFonts w:hint="default" w:ascii="Times New Roman" w:hAnsi="Times New Roman" w:eastAsia="宋体" w:cs="Times New Roman"/>
                <w:bCs/>
                <w:color w:val="auto"/>
                <w:sz w:val="24"/>
                <w:szCs w:val="24"/>
                <w:highlight w:val="none"/>
                <w:lang w:val="en-US" w:eastAsia="zh-CN"/>
              </w:rPr>
            </w:pPr>
          </w:p>
          <w:p w14:paraId="129A1107">
            <w:pPr>
              <w:rPr>
                <w:rFonts w:hint="default" w:ascii="Times New Roman" w:hAnsi="Times New Roman" w:eastAsia="宋体" w:cs="Times New Roman"/>
                <w:bCs/>
                <w:color w:val="auto"/>
                <w:sz w:val="24"/>
                <w:szCs w:val="24"/>
                <w:highlight w:val="none"/>
                <w:lang w:val="en-US" w:eastAsia="zh-CN"/>
              </w:rPr>
            </w:pPr>
          </w:p>
          <w:p w14:paraId="578F574F">
            <w:pPr>
              <w:rPr>
                <w:rFonts w:hint="default" w:ascii="Times New Roman" w:hAnsi="Times New Roman" w:eastAsia="宋体" w:cs="Times New Roman"/>
                <w:bCs/>
                <w:color w:val="auto"/>
                <w:sz w:val="24"/>
                <w:szCs w:val="24"/>
                <w:highlight w:val="none"/>
                <w:lang w:val="en-US" w:eastAsia="zh-CN"/>
              </w:rPr>
            </w:pPr>
          </w:p>
          <w:p w14:paraId="165EEBAD">
            <w:pPr>
              <w:rPr>
                <w:rFonts w:hint="default" w:ascii="Times New Roman" w:hAnsi="Times New Roman" w:eastAsia="宋体" w:cs="Times New Roman"/>
                <w:bCs/>
                <w:color w:val="auto"/>
                <w:sz w:val="24"/>
                <w:szCs w:val="24"/>
                <w:highlight w:val="none"/>
                <w:lang w:val="en-US" w:eastAsia="zh-CN"/>
              </w:rPr>
            </w:pPr>
          </w:p>
          <w:p w14:paraId="087D0059">
            <w:pPr>
              <w:rPr>
                <w:rFonts w:hint="default" w:ascii="Times New Roman" w:hAnsi="Times New Roman" w:eastAsia="宋体" w:cs="Times New Roman"/>
                <w:bCs/>
                <w:color w:val="auto"/>
                <w:sz w:val="24"/>
                <w:szCs w:val="24"/>
                <w:highlight w:val="none"/>
                <w:lang w:val="en-US" w:eastAsia="zh-CN"/>
              </w:rPr>
            </w:pPr>
          </w:p>
          <w:p w14:paraId="4D35DC9B">
            <w:pPr>
              <w:rPr>
                <w:rFonts w:hint="default" w:ascii="Times New Roman" w:hAnsi="Times New Roman" w:eastAsia="宋体" w:cs="Times New Roman"/>
                <w:bCs/>
                <w:color w:val="auto"/>
                <w:sz w:val="24"/>
                <w:szCs w:val="24"/>
                <w:highlight w:val="none"/>
                <w:lang w:val="en-US" w:eastAsia="zh-CN"/>
              </w:rPr>
            </w:pPr>
          </w:p>
          <w:p w14:paraId="7210ECD7">
            <w:pPr>
              <w:rPr>
                <w:rFonts w:hint="default" w:ascii="Times New Roman" w:hAnsi="Times New Roman" w:eastAsia="宋体" w:cs="Times New Roman"/>
                <w:bCs/>
                <w:color w:val="auto"/>
                <w:sz w:val="24"/>
                <w:szCs w:val="24"/>
                <w:highlight w:val="none"/>
                <w:lang w:val="en-US" w:eastAsia="zh-CN"/>
              </w:rPr>
            </w:pPr>
          </w:p>
        </w:tc>
      </w:tr>
      <w:tr w14:paraId="3F8F74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23" w:type="dxa"/>
            <w:noWrap w:val="0"/>
            <w:vAlign w:val="center"/>
          </w:tcPr>
          <w:p w14:paraId="388C3E27">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4"/>
                <w:szCs w:val="24"/>
                <w:highlight w:val="none"/>
              </w:rPr>
              <w:t>工艺流程和产排污环节</w:t>
            </w:r>
          </w:p>
        </w:tc>
        <w:tc>
          <w:tcPr>
            <w:tcW w:w="8161" w:type="dxa"/>
            <w:noWrap w:val="0"/>
            <w:vAlign w:val="top"/>
          </w:tcPr>
          <w:p w14:paraId="76723DE7">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1、施工期工艺流程及产污环节</w:t>
            </w:r>
          </w:p>
          <w:p w14:paraId="60B4D531">
            <w:pPr>
              <w:adjustRightInd w:val="0"/>
              <w:snapToGrid w:val="0"/>
              <w:spacing w:line="360" w:lineRule="auto"/>
              <w:ind w:firstLine="480" w:firstLineChars="200"/>
              <w:jc w:val="left"/>
              <w:rPr>
                <w:rFonts w:hint="eastAsia" w:eastAsia="宋体" w:cs="宋体"/>
                <w:color w:val="auto"/>
                <w:sz w:val="24"/>
                <w:highlight w:val="none"/>
                <w:lang w:eastAsia="zh-CN"/>
              </w:rPr>
            </w:pPr>
            <w:r>
              <w:rPr>
                <w:rFonts w:hint="eastAsia" w:cs="宋体"/>
                <w:color w:val="auto"/>
                <w:sz w:val="24"/>
                <w:highlight w:val="none"/>
                <w:lang w:eastAsia="zh-CN"/>
              </w:rPr>
              <w:t>（</w:t>
            </w:r>
            <w:r>
              <w:rPr>
                <w:rFonts w:hint="eastAsia" w:cs="宋体"/>
                <w:color w:val="auto"/>
                <w:sz w:val="24"/>
                <w:highlight w:val="none"/>
                <w:lang w:val="en-US" w:eastAsia="zh-CN"/>
              </w:rPr>
              <w:t>1</w:t>
            </w:r>
            <w:r>
              <w:rPr>
                <w:rFonts w:hint="eastAsia" w:cs="宋体"/>
                <w:color w:val="auto"/>
                <w:sz w:val="24"/>
                <w:highlight w:val="none"/>
                <w:lang w:eastAsia="zh-CN"/>
              </w:rPr>
              <w:t>）</w:t>
            </w:r>
            <w:r>
              <w:rPr>
                <w:rFonts w:hint="eastAsia" w:cs="宋体"/>
                <w:color w:val="auto"/>
                <w:sz w:val="24"/>
                <w:highlight w:val="none"/>
              </w:rPr>
              <w:t>项目施工期主要流程及产污环节见下图</w:t>
            </w:r>
            <w:r>
              <w:rPr>
                <w:rFonts w:hint="eastAsia" w:cs="宋体"/>
                <w:color w:val="auto"/>
                <w:sz w:val="24"/>
                <w:highlight w:val="none"/>
                <w:lang w:eastAsia="zh-CN"/>
              </w:rPr>
              <w:t>：</w:t>
            </w:r>
          </w:p>
          <w:p w14:paraId="281BF16B">
            <w:pPr>
              <w:pStyle w:val="1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object>
                <v:shape id="_x0000_i1025" o:spt="75" type="#_x0000_t75" style="height:65.25pt;width:396.6pt;" o:ole="t" filled="f" o:preferrelative="t" stroked="f" coordsize="21600,21600">
                  <v:path/>
                  <v:fill on="f" focussize="0,0"/>
                  <v:stroke on="f"/>
                  <v:imagedata r:id="rId15" o:title=""/>
                  <o:lock v:ext="edit" aspectratio="f"/>
                  <w10:wrap type="none"/>
                  <w10:anchorlock/>
                </v:shape>
                <o:OLEObject Type="Embed" ProgID="Visio.Drawing.11" ShapeID="_x0000_i1025" DrawAspect="Content" ObjectID="_1468075725" r:id="rId14">
                  <o:LockedField>false</o:LockedField>
                </o:OLEObject>
              </w:object>
            </w:r>
            <w:r>
              <w:rPr>
                <w:rFonts w:hint="default" w:ascii="Times New Roman" w:hAnsi="Times New Roman" w:cs="Times New Roman"/>
                <w:b/>
                <w:color w:val="auto"/>
                <w:szCs w:val="21"/>
                <w:highlight w:val="none"/>
              </w:rPr>
              <w:t>图</w:t>
            </w:r>
            <w:r>
              <w:rPr>
                <w:rFonts w:hint="default" w:ascii="Times New Roman" w:hAnsi="Times New Roman" w:cs="Times New Roman"/>
                <w:b/>
                <w:color w:val="auto"/>
                <w:szCs w:val="21"/>
                <w:highlight w:val="none"/>
                <w:lang w:val="en-US" w:eastAsia="zh-CN"/>
              </w:rPr>
              <w:t>2-</w:t>
            </w:r>
            <w:r>
              <w:rPr>
                <w:rFonts w:hint="eastAsia" w:cs="Times New Roman"/>
                <w:b/>
                <w:color w:val="auto"/>
                <w:szCs w:val="21"/>
                <w:highlight w:val="none"/>
                <w:lang w:val="en-US" w:eastAsia="zh-CN"/>
              </w:rPr>
              <w:t>1</w:t>
            </w:r>
            <w:r>
              <w:rPr>
                <w:rFonts w:hint="default" w:ascii="Times New Roman" w:hAnsi="Times New Roman" w:cs="Times New Roman"/>
                <w:b/>
                <w:color w:val="auto"/>
                <w:szCs w:val="21"/>
                <w:highlight w:val="none"/>
              </w:rPr>
              <w:t xml:space="preserve">  </w:t>
            </w:r>
            <w:r>
              <w:rPr>
                <w:rFonts w:hint="eastAsia" w:cs="Times New Roman"/>
                <w:b/>
                <w:color w:val="auto"/>
                <w:szCs w:val="21"/>
                <w:highlight w:val="none"/>
                <w:lang w:eastAsia="zh-CN"/>
              </w:rPr>
              <w:t>施工期</w:t>
            </w:r>
            <w:r>
              <w:rPr>
                <w:rFonts w:hint="default" w:ascii="Times New Roman" w:hAnsi="Times New Roman" w:cs="Times New Roman"/>
                <w:b/>
                <w:color w:val="auto"/>
                <w:szCs w:val="21"/>
                <w:highlight w:val="none"/>
              </w:rPr>
              <w:t>工艺流程及产污环节图</w:t>
            </w:r>
          </w:p>
          <w:p w14:paraId="499F3A0A">
            <w:pPr>
              <w:adjustRightInd w:val="0"/>
              <w:snapToGrid w:val="0"/>
              <w:spacing w:line="360" w:lineRule="auto"/>
              <w:ind w:firstLine="482" w:firstLineChars="200"/>
              <w:rPr>
                <w:b/>
                <w:color w:val="auto"/>
                <w:sz w:val="24"/>
                <w:highlight w:val="none"/>
              </w:rPr>
            </w:pPr>
            <w:r>
              <w:rPr>
                <w:rFonts w:hint="eastAsia" w:cs="宋体"/>
                <w:b/>
                <w:color w:val="auto"/>
                <w:sz w:val="24"/>
                <w:highlight w:val="none"/>
              </w:rPr>
              <w:t>工艺流程简述：</w:t>
            </w:r>
          </w:p>
          <w:p w14:paraId="1D6B0ED9">
            <w:pPr>
              <w:adjustRightInd w:val="0"/>
              <w:snapToGrid w:val="0"/>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①首先</w:t>
            </w:r>
            <w:r>
              <w:rPr>
                <w:rFonts w:hint="eastAsia" w:ascii="宋体" w:hAnsi="宋体" w:cs="宋体"/>
                <w:bCs/>
                <w:color w:val="auto"/>
                <w:sz w:val="24"/>
                <w:highlight w:val="none"/>
                <w:lang w:eastAsia="zh-CN"/>
              </w:rPr>
              <w:t>拆除现有预制件厂房主体结构；</w:t>
            </w:r>
          </w:p>
          <w:p w14:paraId="4FE5DE93">
            <w:pPr>
              <w:adjustRightInd w:val="0"/>
              <w:snapToGrid w:val="0"/>
              <w:spacing w:line="360" w:lineRule="auto"/>
              <w:ind w:firstLine="480" w:firstLineChars="200"/>
              <w:rPr>
                <w:bCs/>
                <w:color w:val="auto"/>
                <w:sz w:val="24"/>
                <w:highlight w:val="none"/>
              </w:rPr>
            </w:pPr>
            <w:r>
              <w:rPr>
                <w:rFonts w:hint="eastAsia" w:ascii="宋体" w:hAnsi="宋体" w:cs="宋体"/>
                <w:bCs/>
                <w:color w:val="auto"/>
                <w:sz w:val="24"/>
                <w:highlight w:val="none"/>
              </w:rPr>
              <w:t>②</w:t>
            </w:r>
            <w:r>
              <w:rPr>
                <w:rFonts w:hint="eastAsia" w:ascii="宋体" w:hAnsi="宋体" w:cs="宋体"/>
                <w:bCs/>
                <w:color w:val="auto"/>
                <w:sz w:val="24"/>
                <w:highlight w:val="none"/>
                <w:lang w:eastAsia="zh-CN"/>
              </w:rPr>
              <w:t>其次</w:t>
            </w:r>
            <w:r>
              <w:rPr>
                <w:rFonts w:hint="eastAsia" w:ascii="宋体" w:hAnsi="宋体" w:cs="宋体"/>
                <w:bCs/>
                <w:color w:val="auto"/>
                <w:sz w:val="24"/>
                <w:highlight w:val="none"/>
              </w:rPr>
              <w:t>清理场地内的生活垃圾、少量杂草及杂物，</w:t>
            </w:r>
            <w:r>
              <w:rPr>
                <w:rFonts w:hint="eastAsia"/>
                <w:bCs/>
                <w:color w:val="auto"/>
                <w:sz w:val="24"/>
                <w:highlight w:val="none"/>
              </w:rPr>
              <w:t>平整场地；</w:t>
            </w:r>
          </w:p>
          <w:p w14:paraId="3A8E17B7">
            <w:pPr>
              <w:adjustRightInd w:val="0"/>
              <w:snapToGrid w:val="0"/>
              <w:spacing w:line="360" w:lineRule="auto"/>
              <w:ind w:firstLine="480" w:firstLineChars="200"/>
              <w:rPr>
                <w:bCs/>
                <w:color w:val="auto"/>
                <w:sz w:val="24"/>
                <w:highlight w:val="none"/>
              </w:rPr>
            </w:pPr>
            <w:r>
              <w:rPr>
                <w:rFonts w:hint="eastAsia" w:ascii="宋体" w:hAnsi="宋体" w:cs="宋体"/>
                <w:bCs/>
                <w:color w:val="auto"/>
                <w:sz w:val="24"/>
                <w:highlight w:val="none"/>
              </w:rPr>
              <w:t>③</w:t>
            </w:r>
            <w:r>
              <w:rPr>
                <w:rFonts w:hint="eastAsia"/>
                <w:bCs/>
                <w:color w:val="auto"/>
                <w:sz w:val="24"/>
                <w:highlight w:val="none"/>
              </w:rPr>
              <w:t>进行</w:t>
            </w:r>
            <w:r>
              <w:rPr>
                <w:rFonts w:hint="eastAsia"/>
                <w:bCs/>
                <w:color w:val="auto"/>
                <w:sz w:val="24"/>
                <w:highlight w:val="none"/>
                <w:lang w:eastAsia="zh-CN"/>
              </w:rPr>
              <w:t>污水处理厂</w:t>
            </w:r>
            <w:r>
              <w:rPr>
                <w:rFonts w:hint="eastAsia"/>
                <w:bCs/>
                <w:color w:val="auto"/>
                <w:sz w:val="24"/>
                <w:highlight w:val="none"/>
              </w:rPr>
              <w:t>基础工程建设，包括</w:t>
            </w:r>
            <w:r>
              <w:rPr>
                <w:rFonts w:hint="eastAsia"/>
                <w:bCs/>
                <w:color w:val="auto"/>
                <w:sz w:val="24"/>
                <w:highlight w:val="none"/>
                <w:lang w:eastAsia="zh-CN"/>
              </w:rPr>
              <w:t>污水处理区地面</w:t>
            </w:r>
            <w:r>
              <w:rPr>
                <w:rFonts w:hint="eastAsia"/>
                <w:bCs/>
                <w:color w:val="auto"/>
                <w:sz w:val="24"/>
                <w:highlight w:val="none"/>
              </w:rPr>
              <w:t>硬化</w:t>
            </w:r>
            <w:r>
              <w:rPr>
                <w:rFonts w:hint="eastAsia"/>
                <w:bCs/>
                <w:color w:val="auto"/>
                <w:sz w:val="24"/>
                <w:highlight w:val="none"/>
                <w:lang w:eastAsia="zh-CN"/>
              </w:rPr>
              <w:t>以及厂区</w:t>
            </w:r>
            <w:r>
              <w:rPr>
                <w:rFonts w:hint="eastAsia"/>
                <w:bCs/>
                <w:color w:val="auto"/>
                <w:sz w:val="24"/>
                <w:highlight w:val="none"/>
              </w:rPr>
              <w:t>道路硬化等；</w:t>
            </w:r>
          </w:p>
          <w:p w14:paraId="1FDA5591">
            <w:pPr>
              <w:adjustRightInd w:val="0"/>
              <w:snapToGrid w:val="0"/>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④进行主体工程建设，包括</w:t>
            </w:r>
            <w:r>
              <w:rPr>
                <w:rFonts w:hint="eastAsia" w:ascii="宋体" w:hAnsi="宋体" w:cs="宋体"/>
                <w:bCs/>
                <w:color w:val="auto"/>
                <w:sz w:val="24"/>
                <w:highlight w:val="none"/>
                <w:lang w:eastAsia="zh-CN"/>
              </w:rPr>
              <w:t>污水处理区及配套的（加药间、配电室、危废间）等建设，以及调节池、消毒池等池体修建；</w:t>
            </w:r>
          </w:p>
          <w:p w14:paraId="4F279D56">
            <w:pPr>
              <w:adjustRightInd w:val="0"/>
              <w:snapToGrid w:val="0"/>
              <w:spacing w:line="360" w:lineRule="auto"/>
              <w:ind w:firstLine="480" w:firstLineChars="200"/>
              <w:rPr>
                <w:bCs/>
                <w:color w:val="auto"/>
                <w:sz w:val="24"/>
                <w:highlight w:val="none"/>
              </w:rPr>
            </w:pPr>
            <w:r>
              <w:rPr>
                <w:rFonts w:hint="eastAsia" w:ascii="宋体" w:hAnsi="宋体" w:cs="宋体"/>
                <w:bCs/>
                <w:color w:val="auto"/>
                <w:sz w:val="24"/>
                <w:highlight w:val="none"/>
              </w:rPr>
              <w:t>⑤随后</w:t>
            </w:r>
            <w:r>
              <w:rPr>
                <w:rFonts w:hint="eastAsia" w:ascii="宋体" w:hAnsi="宋体" w:cs="宋体"/>
                <w:bCs/>
                <w:color w:val="auto"/>
                <w:sz w:val="24"/>
                <w:highlight w:val="none"/>
                <w:lang w:eastAsia="zh-CN"/>
              </w:rPr>
              <w:t>对厂区各构建筑物进行内外装修，装修完成后</w:t>
            </w:r>
            <w:r>
              <w:rPr>
                <w:rFonts w:hint="eastAsia"/>
                <w:bCs/>
                <w:color w:val="auto"/>
                <w:sz w:val="24"/>
                <w:highlight w:val="none"/>
              </w:rPr>
              <w:t>安装相应的</w:t>
            </w:r>
            <w:r>
              <w:rPr>
                <w:rFonts w:hint="eastAsia"/>
                <w:bCs/>
                <w:color w:val="auto"/>
                <w:sz w:val="24"/>
                <w:highlight w:val="none"/>
                <w:lang w:eastAsia="zh-CN"/>
              </w:rPr>
              <w:t>污水处理设备并进行调试</w:t>
            </w:r>
            <w:r>
              <w:rPr>
                <w:rFonts w:hint="eastAsia"/>
                <w:bCs/>
                <w:color w:val="auto"/>
                <w:sz w:val="24"/>
                <w:highlight w:val="none"/>
              </w:rPr>
              <w:t>；</w:t>
            </w:r>
          </w:p>
          <w:p w14:paraId="5F939EFA">
            <w:pPr>
              <w:snapToGrid w:val="0"/>
              <w:spacing w:line="360" w:lineRule="auto"/>
              <w:ind w:firstLine="470" w:firstLineChars="196"/>
              <w:rPr>
                <w:rFonts w:hint="eastAsia"/>
                <w:bCs/>
                <w:color w:val="auto"/>
                <w:sz w:val="24"/>
                <w:highlight w:val="none"/>
              </w:rPr>
            </w:pPr>
            <w:r>
              <w:rPr>
                <w:rFonts w:hint="eastAsia" w:ascii="宋体" w:hAnsi="宋体" w:eastAsia="宋体" w:cs="宋体"/>
                <w:bCs/>
                <w:color w:val="auto"/>
                <w:sz w:val="24"/>
                <w:highlight w:val="none"/>
              </w:rPr>
              <w:t>⑥</w:t>
            </w:r>
            <w:r>
              <w:rPr>
                <w:rFonts w:hint="eastAsia" w:ascii="宋体" w:hAnsi="宋体" w:cs="宋体"/>
                <w:bCs/>
                <w:color w:val="auto"/>
                <w:sz w:val="24"/>
                <w:highlight w:val="none"/>
              </w:rPr>
              <w:t>最后</w:t>
            </w:r>
            <w:r>
              <w:rPr>
                <w:rFonts w:hint="eastAsia"/>
                <w:bCs/>
                <w:color w:val="auto"/>
                <w:sz w:val="24"/>
                <w:highlight w:val="none"/>
              </w:rPr>
              <w:t>对施工时剩余的</w:t>
            </w:r>
            <w:r>
              <w:rPr>
                <w:rFonts w:hint="eastAsia"/>
                <w:bCs/>
                <w:color w:val="auto"/>
                <w:sz w:val="24"/>
                <w:highlight w:val="none"/>
                <w:lang w:eastAsia="zh-CN"/>
              </w:rPr>
              <w:t>废建材和生活垃圾</w:t>
            </w:r>
            <w:r>
              <w:rPr>
                <w:rFonts w:hint="eastAsia"/>
                <w:bCs/>
                <w:color w:val="auto"/>
                <w:sz w:val="24"/>
                <w:highlight w:val="none"/>
              </w:rPr>
              <w:t>分类收集后，进行工程验收。</w:t>
            </w:r>
          </w:p>
          <w:p w14:paraId="2DF7EC1D">
            <w:pPr>
              <w:adjustRightInd w:val="0"/>
              <w:snapToGrid w:val="0"/>
              <w:spacing w:line="360" w:lineRule="auto"/>
              <w:ind w:firstLine="480" w:firstLineChars="200"/>
              <w:rPr>
                <w:b w:val="0"/>
                <w:bCs/>
                <w:color w:val="auto"/>
                <w:sz w:val="24"/>
                <w:highlight w:val="none"/>
              </w:rPr>
            </w:pPr>
            <w:r>
              <w:rPr>
                <w:rFonts w:hint="eastAsia"/>
                <w:b w:val="0"/>
                <w:bCs/>
                <w:color w:val="auto"/>
                <w:sz w:val="24"/>
                <w:highlight w:val="none"/>
                <w:lang w:eastAsia="zh-CN"/>
              </w:rPr>
              <w:t>（</w:t>
            </w:r>
            <w:r>
              <w:rPr>
                <w:rFonts w:hint="eastAsia"/>
                <w:b w:val="0"/>
                <w:bCs/>
                <w:color w:val="auto"/>
                <w:sz w:val="24"/>
                <w:highlight w:val="none"/>
                <w:lang w:val="en-US" w:eastAsia="zh-CN"/>
              </w:rPr>
              <w:t>2</w:t>
            </w:r>
            <w:r>
              <w:rPr>
                <w:rFonts w:hint="eastAsia"/>
                <w:b w:val="0"/>
                <w:bCs/>
                <w:color w:val="auto"/>
                <w:sz w:val="24"/>
                <w:highlight w:val="none"/>
                <w:lang w:eastAsia="zh-CN"/>
              </w:rPr>
              <w:t>）</w:t>
            </w:r>
            <w:r>
              <w:rPr>
                <w:rFonts w:hint="eastAsia" w:cs="宋体"/>
                <w:b w:val="0"/>
                <w:bCs/>
                <w:color w:val="auto"/>
                <w:sz w:val="24"/>
                <w:highlight w:val="none"/>
              </w:rPr>
              <w:t>主要产排污环节</w:t>
            </w:r>
          </w:p>
          <w:p w14:paraId="41E0A08B">
            <w:pPr>
              <w:adjustRightInd w:val="0"/>
              <w:snapToGrid w:val="0"/>
              <w:spacing w:line="360" w:lineRule="auto"/>
              <w:ind w:firstLine="480" w:firstLineChars="200"/>
              <w:rPr>
                <w:color w:val="auto"/>
                <w:sz w:val="24"/>
                <w:highlight w:val="none"/>
              </w:rPr>
            </w:pPr>
            <w:r>
              <w:rPr>
                <w:rFonts w:hint="eastAsia" w:ascii="宋体" w:hAnsi="宋体" w:eastAsia="宋体" w:cs="宋体"/>
                <w:color w:val="auto"/>
                <w:sz w:val="24"/>
                <w:highlight w:val="none"/>
              </w:rPr>
              <w:t>①</w:t>
            </w:r>
            <w:r>
              <w:rPr>
                <w:rFonts w:hint="eastAsia" w:cs="宋体"/>
                <w:color w:val="auto"/>
                <w:sz w:val="24"/>
                <w:highlight w:val="none"/>
              </w:rPr>
              <w:t>废气</w:t>
            </w:r>
            <w:r>
              <w:rPr>
                <w:rFonts w:hint="eastAsia" w:cs="宋体"/>
                <w:color w:val="auto"/>
                <w:sz w:val="24"/>
                <w:highlight w:val="none"/>
                <w:lang w:eastAsia="zh-CN"/>
              </w:rPr>
              <w:t>：</w:t>
            </w:r>
            <w:r>
              <w:rPr>
                <w:rFonts w:hint="eastAsia" w:cs="宋体"/>
                <w:color w:val="auto"/>
                <w:sz w:val="24"/>
                <w:highlight w:val="none"/>
              </w:rPr>
              <w:t>施工期大气污染物主要包括施工扬尘、焊接废气、</w:t>
            </w:r>
            <w:r>
              <w:rPr>
                <w:rFonts w:hint="eastAsia" w:cs="宋体"/>
                <w:color w:val="auto"/>
                <w:sz w:val="24"/>
                <w:highlight w:val="none"/>
                <w:lang w:eastAsia="zh-CN"/>
              </w:rPr>
              <w:t>装修废气、</w:t>
            </w:r>
            <w:r>
              <w:rPr>
                <w:rFonts w:hint="eastAsia" w:cs="宋体"/>
                <w:color w:val="auto"/>
                <w:sz w:val="24"/>
                <w:highlight w:val="none"/>
              </w:rPr>
              <w:t>燃油机械及运输车辆尾气。</w:t>
            </w:r>
          </w:p>
          <w:p w14:paraId="3AE4AD07">
            <w:pPr>
              <w:adjustRightInd w:val="0"/>
              <w:snapToGrid w:val="0"/>
              <w:spacing w:line="360" w:lineRule="auto"/>
              <w:ind w:firstLine="482"/>
              <w:rPr>
                <w:color w:val="auto"/>
                <w:sz w:val="24"/>
                <w:highlight w:val="none"/>
              </w:rPr>
            </w:pPr>
            <w:r>
              <w:rPr>
                <w:rFonts w:hint="eastAsia" w:ascii="宋体" w:hAnsi="宋体" w:eastAsia="宋体" w:cs="宋体"/>
                <w:color w:val="auto"/>
                <w:sz w:val="24"/>
                <w:highlight w:val="none"/>
              </w:rPr>
              <w:t>②</w:t>
            </w:r>
            <w:r>
              <w:rPr>
                <w:rFonts w:hint="eastAsia" w:cs="宋体"/>
                <w:color w:val="auto"/>
                <w:sz w:val="24"/>
                <w:highlight w:val="none"/>
              </w:rPr>
              <w:t>废水</w:t>
            </w:r>
            <w:r>
              <w:rPr>
                <w:rFonts w:hint="eastAsia" w:cs="宋体"/>
                <w:color w:val="auto"/>
                <w:sz w:val="24"/>
                <w:highlight w:val="none"/>
                <w:lang w:eastAsia="zh-CN"/>
              </w:rPr>
              <w:t>：</w:t>
            </w:r>
            <w:r>
              <w:rPr>
                <w:rFonts w:hint="eastAsia" w:cs="宋体"/>
                <w:color w:val="auto"/>
                <w:sz w:val="24"/>
                <w:highlight w:val="none"/>
              </w:rPr>
              <w:t>本项目施工产生废水为施工人员生活污水以及施工过程产生的生产废水。</w:t>
            </w:r>
          </w:p>
          <w:p w14:paraId="6A87F8D5">
            <w:pPr>
              <w:tabs>
                <w:tab w:val="left" w:pos="2220"/>
              </w:tabs>
              <w:adjustRightInd w:val="0"/>
              <w:snapToGrid w:val="0"/>
              <w:spacing w:line="360" w:lineRule="auto"/>
              <w:ind w:firstLine="480" w:firstLineChars="200"/>
              <w:rPr>
                <w:color w:val="auto"/>
                <w:sz w:val="24"/>
                <w:highlight w:val="none"/>
              </w:rPr>
            </w:pPr>
            <w:r>
              <w:rPr>
                <w:rFonts w:hint="eastAsia" w:ascii="宋体" w:hAnsi="宋体" w:eastAsia="宋体" w:cs="宋体"/>
                <w:color w:val="auto"/>
                <w:sz w:val="24"/>
                <w:highlight w:val="none"/>
              </w:rPr>
              <w:t>③</w:t>
            </w:r>
            <w:r>
              <w:rPr>
                <w:rFonts w:hint="eastAsia" w:cs="宋体"/>
                <w:color w:val="auto"/>
                <w:sz w:val="24"/>
                <w:highlight w:val="none"/>
              </w:rPr>
              <w:t>噪声</w:t>
            </w:r>
            <w:r>
              <w:rPr>
                <w:rFonts w:hint="eastAsia" w:cs="宋体"/>
                <w:color w:val="auto"/>
                <w:sz w:val="24"/>
                <w:highlight w:val="none"/>
                <w:lang w:eastAsia="zh-CN"/>
              </w:rPr>
              <w:t>：</w:t>
            </w:r>
            <w:r>
              <w:rPr>
                <w:rFonts w:hint="eastAsia" w:cs="宋体"/>
                <w:color w:val="auto"/>
                <w:sz w:val="24"/>
                <w:highlight w:val="none"/>
              </w:rPr>
              <w:t>施工噪声</w:t>
            </w:r>
            <w:r>
              <w:rPr>
                <w:rFonts w:hint="eastAsia" w:cs="宋体"/>
                <w:color w:val="auto"/>
                <w:sz w:val="24"/>
                <w:highlight w:val="none"/>
                <w:lang w:eastAsia="zh-CN"/>
              </w:rPr>
              <w:t>主要来源于</w:t>
            </w:r>
            <w:r>
              <w:rPr>
                <w:rFonts w:hint="eastAsia" w:cs="宋体"/>
                <w:color w:val="auto"/>
                <w:sz w:val="24"/>
                <w:highlight w:val="none"/>
              </w:rPr>
              <w:t>设备安装、原辅料运输等施工活动。</w:t>
            </w:r>
          </w:p>
          <w:p w14:paraId="3F9650AB">
            <w:pPr>
              <w:tabs>
                <w:tab w:val="left" w:pos="2220"/>
              </w:tabs>
              <w:adjustRightInd w:val="0"/>
              <w:snapToGrid w:val="0"/>
              <w:spacing w:line="360" w:lineRule="auto"/>
              <w:ind w:firstLine="480" w:firstLineChars="200"/>
              <w:rPr>
                <w:rFonts w:hint="default"/>
                <w:color w:val="auto"/>
                <w:highlight w:val="none"/>
              </w:rPr>
            </w:pPr>
            <w:r>
              <w:rPr>
                <w:rFonts w:hint="eastAsia" w:ascii="宋体" w:hAnsi="宋体" w:eastAsia="宋体" w:cs="宋体"/>
                <w:color w:val="auto"/>
                <w:sz w:val="24"/>
                <w:highlight w:val="none"/>
              </w:rPr>
              <w:t>④</w:t>
            </w:r>
            <w:r>
              <w:rPr>
                <w:rFonts w:hint="eastAsia" w:cs="宋体"/>
                <w:color w:val="auto"/>
                <w:sz w:val="24"/>
                <w:highlight w:val="none"/>
              </w:rPr>
              <w:t>固体废物</w:t>
            </w:r>
            <w:r>
              <w:rPr>
                <w:rFonts w:hint="eastAsia" w:cs="宋体"/>
                <w:color w:val="auto"/>
                <w:sz w:val="24"/>
                <w:highlight w:val="none"/>
                <w:lang w:eastAsia="zh-CN"/>
              </w:rPr>
              <w:t>：</w:t>
            </w:r>
            <w:r>
              <w:rPr>
                <w:rFonts w:hint="eastAsia" w:cs="宋体"/>
                <w:color w:val="auto"/>
                <w:sz w:val="24"/>
                <w:highlight w:val="none"/>
                <w:lang w:eastAsia="zh-CN"/>
              </w:rPr>
              <w:t>本项目开挖产生的弃方全部用于</w:t>
            </w:r>
            <w:r>
              <w:rPr>
                <w:rFonts w:ascii="宋体" w:hAnsi="宋体" w:eastAsia="宋体" w:cs="宋体"/>
                <w:color w:val="auto"/>
                <w:sz w:val="24"/>
                <w:szCs w:val="24"/>
                <w:highlight w:val="none"/>
              </w:rPr>
              <w:t>低洼区域</w:t>
            </w:r>
            <w:r>
              <w:rPr>
                <w:rFonts w:hint="eastAsia" w:cs="宋体"/>
                <w:color w:val="auto"/>
                <w:sz w:val="24"/>
                <w:highlight w:val="none"/>
                <w:lang w:eastAsia="zh-CN"/>
              </w:rPr>
              <w:t>平整、管线沟槽回填、绿化区域利用等，施工结束后无剩余弃方，</w:t>
            </w:r>
            <w:r>
              <w:rPr>
                <w:rFonts w:hint="eastAsia" w:cs="宋体"/>
                <w:color w:val="auto"/>
                <w:sz w:val="24"/>
                <w:highlight w:val="none"/>
              </w:rPr>
              <w:t>因此施工过程产生的固体废物包括</w:t>
            </w:r>
            <w:r>
              <w:rPr>
                <w:rFonts w:hint="eastAsia" w:cs="宋体"/>
                <w:color w:val="auto"/>
                <w:sz w:val="24"/>
                <w:highlight w:val="none"/>
                <w:lang w:eastAsia="zh-CN"/>
              </w:rPr>
              <w:t>拆除废弃物（砖块、木材等）、</w:t>
            </w:r>
            <w:r>
              <w:rPr>
                <w:rFonts w:hint="eastAsia" w:cs="宋体"/>
                <w:color w:val="auto"/>
                <w:sz w:val="24"/>
                <w:highlight w:val="none"/>
              </w:rPr>
              <w:t>建筑垃圾</w:t>
            </w:r>
            <w:r>
              <w:rPr>
                <w:rFonts w:hint="eastAsia" w:cs="宋体"/>
                <w:color w:val="auto"/>
                <w:sz w:val="24"/>
                <w:highlight w:val="none"/>
                <w:lang w:eastAsia="zh-CN"/>
              </w:rPr>
              <w:t>、装修废物</w:t>
            </w:r>
            <w:r>
              <w:rPr>
                <w:rFonts w:hint="eastAsia" w:cs="宋体"/>
                <w:color w:val="auto"/>
                <w:sz w:val="24"/>
                <w:highlight w:val="none"/>
              </w:rPr>
              <w:t>以及施工人员的生活垃圾。</w:t>
            </w:r>
          </w:p>
          <w:p w14:paraId="6620232B">
            <w:pPr>
              <w:snapToGrid w:val="0"/>
              <w:spacing w:line="360" w:lineRule="auto"/>
              <w:ind w:firstLine="472" w:firstLineChars="196"/>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2、运营期工艺流程及产污环节</w:t>
            </w:r>
          </w:p>
          <w:p w14:paraId="544C62BD">
            <w:pPr>
              <w:adjustRightInd w:val="0"/>
              <w:snapToGrid w:val="0"/>
              <w:spacing w:line="360" w:lineRule="auto"/>
              <w:ind w:firstLine="480" w:firstLineChars="200"/>
              <w:rPr>
                <w:rFonts w:hint="default"/>
                <w:color w:val="auto"/>
                <w:highlight w:val="none"/>
                <w:lang w:val="en-US" w:eastAsia="zh-CN"/>
              </w:rPr>
            </w:pPr>
            <w:r>
              <w:rPr>
                <w:rFonts w:hint="default" w:ascii="Times New Roman" w:hAnsi="Times New Roman" w:cs="Times New Roman"/>
                <w:color w:val="auto"/>
                <w:sz w:val="24"/>
                <w:highlight w:val="none"/>
              </w:rPr>
              <w:t>项目污水处理</w:t>
            </w:r>
            <w:r>
              <w:rPr>
                <w:rFonts w:hint="eastAsia" w:cs="Times New Roman"/>
                <w:color w:val="auto"/>
                <w:sz w:val="24"/>
                <w:highlight w:val="none"/>
                <w:lang w:val="en-US" w:eastAsia="zh-CN"/>
              </w:rPr>
              <w:t>厂</w:t>
            </w:r>
            <w:r>
              <w:rPr>
                <w:rFonts w:hint="default" w:ascii="Times New Roman" w:hAnsi="Times New Roman" w:cs="Times New Roman"/>
                <w:color w:val="auto"/>
                <w:sz w:val="24"/>
                <w:highlight w:val="none"/>
              </w:rPr>
              <w:t>运营期工艺流程及产污环节如下图</w:t>
            </w:r>
            <w:r>
              <w:rPr>
                <w:rFonts w:hint="default" w:ascii="Times New Roman" w:hAnsi="Times New Roman" w:cs="Times New Roman"/>
                <w:color w:val="auto"/>
                <w:sz w:val="24"/>
                <w:highlight w:val="none"/>
                <w:lang w:val="en-US" w:eastAsia="zh-CN"/>
              </w:rPr>
              <w:t>所</w:t>
            </w:r>
            <w:r>
              <w:rPr>
                <w:rFonts w:hint="default" w:ascii="Times New Roman" w:hAnsi="Times New Roman" w:cs="Times New Roman"/>
                <w:color w:val="auto"/>
                <w:sz w:val="24"/>
                <w:highlight w:val="none"/>
              </w:rPr>
              <w:t>示：</w:t>
            </w:r>
          </w:p>
          <w:p w14:paraId="10A38C2B">
            <w:pPr>
              <w:tabs>
                <w:tab w:val="left" w:pos="286"/>
                <w:tab w:val="center" w:pos="4300"/>
              </w:tabs>
              <w:adjustRightInd w:val="0"/>
              <w:snapToGrid w:val="0"/>
              <w:spacing w:before="156" w:beforeLines="50" w:line="360" w:lineRule="auto"/>
              <w:jc w:val="both"/>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object>
                <v:shape id="_x0000_i1026" o:spt="75" type="#_x0000_t75" style="height:153.9pt;width:396.5pt;" o:ole="t" filled="f" o:preferrelative="t" stroked="f" coordsize="21600,21600">
                  <v:path/>
                  <v:fill on="f" focussize="0,0"/>
                  <v:stroke on="f"/>
                  <v:imagedata r:id="rId17" o:title=""/>
                  <o:lock v:ext="edit" aspectratio="f"/>
                  <w10:wrap type="none"/>
                  <w10:anchorlock/>
                </v:shape>
                <o:OLEObject Type="Embed" ProgID="Visio.Drawing.11" ShapeID="_x0000_i1026" DrawAspect="Content" ObjectID="_1468075726" r:id="rId16">
                  <o:LockedField>false</o:LockedField>
                </o:OLEObject>
              </w:object>
            </w:r>
          </w:p>
          <w:p w14:paraId="50783F70">
            <w:pPr>
              <w:tabs>
                <w:tab w:val="left" w:pos="286"/>
                <w:tab w:val="center" w:pos="4300"/>
              </w:tabs>
              <w:adjustRightInd w:val="0"/>
              <w:snapToGrid w:val="0"/>
              <w:spacing w:before="156" w:beforeLines="50" w:line="360"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图</w:t>
            </w:r>
            <w:r>
              <w:rPr>
                <w:rFonts w:hint="default" w:ascii="Times New Roman" w:hAnsi="Times New Roman" w:cs="Times New Roman"/>
                <w:b/>
                <w:color w:val="auto"/>
                <w:szCs w:val="21"/>
                <w:highlight w:val="none"/>
                <w:lang w:val="en-US" w:eastAsia="zh-CN"/>
              </w:rPr>
              <w:t>2-</w:t>
            </w:r>
            <w:r>
              <w:rPr>
                <w:rFonts w:hint="eastAsia" w:cs="Times New Roman"/>
                <w:b/>
                <w:color w:val="auto"/>
                <w:szCs w:val="21"/>
                <w:highlight w:val="none"/>
                <w:lang w:val="en-US" w:eastAsia="zh-CN"/>
              </w:rPr>
              <w:t>2</w:t>
            </w:r>
            <w:r>
              <w:rPr>
                <w:rFonts w:hint="default" w:ascii="Times New Roman" w:hAnsi="Times New Roman" w:cs="Times New Roman"/>
                <w:b/>
                <w:color w:val="auto"/>
                <w:szCs w:val="21"/>
                <w:highlight w:val="none"/>
              </w:rPr>
              <w:t xml:space="preserve">  运营期工艺流程及产污环节图</w:t>
            </w:r>
          </w:p>
          <w:p w14:paraId="0373E3C3">
            <w:pPr>
              <w:adjustRightInd w:val="0"/>
              <w:snapToGrid w:val="0"/>
              <w:spacing w:line="360" w:lineRule="auto"/>
              <w:ind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污水处理工艺：</w:t>
            </w:r>
          </w:p>
          <w:p w14:paraId="196AE85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lang w:val="en-US" w:eastAsia="zh-CN"/>
              </w:rPr>
              <w:t>生活污水</w:t>
            </w:r>
            <w:r>
              <w:rPr>
                <w:rFonts w:hint="default" w:ascii="Times New Roman" w:hAnsi="Times New Roman" w:eastAsia="宋体" w:cs="Times New Roman"/>
                <w:color w:val="auto"/>
                <w:sz w:val="24"/>
                <w:highlight w:val="none"/>
              </w:rPr>
              <w:t>采用格栅</w:t>
            </w:r>
            <w:r>
              <w:rPr>
                <w:rFonts w:hint="default" w:ascii="Times New Roman" w:hAnsi="Times New Roman" w:eastAsia="宋体" w:cs="Times New Roman"/>
                <w:color w:val="auto"/>
                <w:sz w:val="24"/>
                <w:highlight w:val="none"/>
                <w:lang w:val="en-US" w:eastAsia="zh-CN"/>
              </w:rPr>
              <w:t>池</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沉砂池</w:t>
            </w:r>
            <w:r>
              <w:rPr>
                <w:rFonts w:hint="default" w:ascii="Times New Roman" w:hAnsi="Times New Roman" w:eastAsia="宋体" w:cs="Times New Roman"/>
                <w:color w:val="auto"/>
                <w:sz w:val="24"/>
                <w:highlight w:val="none"/>
              </w:rPr>
              <w:t>→调节池→</w:t>
            </w:r>
            <w:r>
              <w:rPr>
                <w:rFonts w:hint="default" w:ascii="Times New Roman" w:hAnsi="Times New Roman" w:eastAsia="宋体" w:cs="Times New Roman"/>
                <w:color w:val="auto"/>
                <w:sz w:val="24"/>
                <w:highlight w:val="none"/>
                <w:lang w:val="en-US" w:eastAsia="zh-CN"/>
              </w:rPr>
              <w:t>厌氧池</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缺氧池</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好氧池</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二沉</w:t>
            </w:r>
            <w:r>
              <w:rPr>
                <w:rFonts w:hint="default" w:ascii="Times New Roman" w:hAnsi="Times New Roman" w:eastAsia="宋体" w:cs="Times New Roman"/>
                <w:color w:val="auto"/>
                <w:sz w:val="24"/>
                <w:highlight w:val="none"/>
              </w:rPr>
              <w:t>池→</w:t>
            </w:r>
            <w:r>
              <w:rPr>
                <w:rFonts w:hint="eastAsia" w:cs="Times New Roman"/>
                <w:color w:val="auto"/>
                <w:sz w:val="24"/>
                <w:highlight w:val="none"/>
                <w:lang w:eastAsia="zh-CN"/>
              </w:rPr>
              <w:t>高密度沉淀池</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滤布滤池</w:t>
            </w:r>
            <w:r>
              <w:rPr>
                <w:rFonts w:hint="default" w:ascii="Times New Roman" w:hAnsi="Times New Roman" w:eastAsia="宋体" w:cs="Times New Roman"/>
                <w:color w:val="auto"/>
                <w:sz w:val="24"/>
                <w:highlight w:val="none"/>
              </w:rPr>
              <w:t>→消毒池→达标排入受纳水体</w:t>
            </w:r>
            <w:r>
              <w:rPr>
                <w:rFonts w:hint="default" w:ascii="Times New Roman" w:hAnsi="Times New Roman" w:eastAsia="宋体" w:cs="Times New Roman"/>
                <w:color w:val="auto"/>
                <w:sz w:val="24"/>
                <w:highlight w:val="none"/>
                <w:lang w:val="en-US" w:eastAsia="zh-CN"/>
              </w:rPr>
              <w:t>。除磷采用聚合氯化铝</w:t>
            </w:r>
            <w:r>
              <w:rPr>
                <w:rFonts w:hint="eastAsia" w:cs="Times New Roman"/>
                <w:color w:val="auto"/>
                <w:sz w:val="24"/>
                <w:highlight w:val="none"/>
                <w:lang w:val="en-US" w:eastAsia="zh-CN"/>
              </w:rPr>
              <w:t>（PAC）</w:t>
            </w:r>
            <w:r>
              <w:rPr>
                <w:rFonts w:hint="default" w:ascii="Times New Roman" w:hAnsi="Times New Roman" w:eastAsia="宋体" w:cs="Times New Roman"/>
                <w:color w:val="auto"/>
                <w:sz w:val="24"/>
                <w:highlight w:val="none"/>
                <w:lang w:val="en-US" w:eastAsia="zh-CN"/>
              </w:rPr>
              <w:t>；消毒采用次氯酸钠</w:t>
            </w:r>
            <w:r>
              <w:rPr>
                <w:rFonts w:hint="eastAsia" w:cs="Times New Roman"/>
                <w:color w:val="auto"/>
                <w:sz w:val="24"/>
                <w:highlight w:val="none"/>
                <w:lang w:val="en-US" w:eastAsia="zh-CN"/>
              </w:rPr>
              <w:t>；絮凝沉淀采用</w:t>
            </w:r>
            <w:r>
              <w:rPr>
                <w:rFonts w:hint="default" w:ascii="Times New Roman" w:hAnsi="Times New Roman" w:eastAsia="宋体" w:cs="Times New Roman"/>
                <w:bCs/>
                <w:color w:val="auto"/>
                <w:sz w:val="24"/>
                <w:szCs w:val="24"/>
                <w:highlight w:val="none"/>
                <w:lang w:val="en-US" w:eastAsia="zh-CN"/>
              </w:rPr>
              <w:t>聚丙烯酰胺</w:t>
            </w:r>
            <w:r>
              <w:rPr>
                <w:rFonts w:hint="eastAsia" w:cs="Times New Roman"/>
                <w:bCs/>
                <w:color w:val="auto"/>
                <w:sz w:val="24"/>
                <w:szCs w:val="24"/>
                <w:highlight w:val="none"/>
                <w:lang w:val="en-US" w:eastAsia="zh-CN"/>
              </w:rPr>
              <w:t>（</w:t>
            </w:r>
            <w:r>
              <w:rPr>
                <w:rFonts w:hint="eastAsia" w:cs="Times New Roman"/>
                <w:color w:val="auto"/>
                <w:sz w:val="24"/>
                <w:highlight w:val="none"/>
                <w:lang w:val="en-US" w:eastAsia="zh-CN"/>
              </w:rPr>
              <w:t>PAM</w:t>
            </w:r>
            <w:r>
              <w:rPr>
                <w:rFonts w:hint="eastAsia" w:cs="Times New Roman"/>
                <w:bCs/>
                <w:color w:val="auto"/>
                <w:sz w:val="24"/>
                <w:szCs w:val="24"/>
                <w:highlight w:val="none"/>
                <w:lang w:val="en-US" w:eastAsia="zh-CN"/>
              </w:rPr>
              <w:t>）</w:t>
            </w:r>
            <w:r>
              <w:rPr>
                <w:rFonts w:hint="eastAsia" w:cs="Times New Roman"/>
                <w:color w:val="auto"/>
                <w:sz w:val="24"/>
                <w:highlight w:val="none"/>
                <w:lang w:val="en-US" w:eastAsia="zh-CN"/>
              </w:rPr>
              <w:t>和三氯化铁</w:t>
            </w:r>
            <w:r>
              <w:rPr>
                <w:rFonts w:hint="default" w:ascii="Times New Roman" w:hAnsi="Times New Roman" w:eastAsia="宋体" w:cs="Times New Roman"/>
                <w:color w:val="auto"/>
                <w:sz w:val="24"/>
                <w:highlight w:val="none"/>
                <w:lang w:val="en-US" w:eastAsia="zh-CN"/>
              </w:rPr>
              <w:t>。</w:t>
            </w:r>
          </w:p>
          <w:p w14:paraId="6614A40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主要工艺流程简述：</w:t>
            </w:r>
          </w:p>
          <w:p w14:paraId="6ED19C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市政管网收集的生活污水</w:t>
            </w:r>
            <w:r>
              <w:rPr>
                <w:rFonts w:hint="eastAsia" w:cs="Times New Roman"/>
                <w:color w:val="auto"/>
                <w:sz w:val="24"/>
                <w:highlight w:val="none"/>
                <w:lang w:eastAsia="zh-CN"/>
              </w:rPr>
              <w:t>以及经化粪池处理后的员工生活污水一同</w:t>
            </w:r>
            <w:r>
              <w:rPr>
                <w:rFonts w:hint="default" w:ascii="Times New Roman" w:hAnsi="Times New Roman" w:cs="Times New Roman"/>
                <w:color w:val="auto"/>
                <w:sz w:val="24"/>
                <w:highlight w:val="none"/>
                <w:lang w:eastAsia="zh-CN"/>
              </w:rPr>
              <w:t>进入污水处理厂的粗格栅、细格栅去除污水中</w:t>
            </w:r>
            <w:r>
              <w:rPr>
                <w:rFonts w:hint="eastAsia" w:cs="Times New Roman"/>
                <w:color w:val="auto"/>
                <w:sz w:val="24"/>
                <w:highlight w:val="none"/>
                <w:lang w:eastAsia="zh-CN"/>
              </w:rPr>
              <w:t>的</w:t>
            </w:r>
            <w:r>
              <w:rPr>
                <w:rFonts w:hint="default" w:ascii="Times New Roman" w:hAnsi="Times New Roman" w:cs="Times New Roman"/>
                <w:color w:val="auto"/>
                <w:sz w:val="24"/>
                <w:highlight w:val="none"/>
                <w:lang w:eastAsia="zh-CN"/>
              </w:rPr>
              <w:t>漂浮物</w:t>
            </w:r>
            <w:r>
              <w:rPr>
                <w:rFonts w:hint="eastAsia" w:cs="Times New Roman"/>
                <w:color w:val="auto"/>
                <w:sz w:val="24"/>
                <w:highlight w:val="none"/>
                <w:lang w:eastAsia="zh-CN"/>
              </w:rPr>
              <w:t>（格栅渣）</w:t>
            </w:r>
            <w:r>
              <w:rPr>
                <w:rFonts w:hint="default" w:ascii="Times New Roman" w:hAnsi="Times New Roman" w:cs="Times New Roman"/>
                <w:color w:val="auto"/>
                <w:sz w:val="24"/>
                <w:highlight w:val="none"/>
                <w:lang w:eastAsia="zh-CN"/>
              </w:rPr>
              <w:t>后，经集水池提升进入旋流沉砂池进行初步预处理，旋流沉砂池出水自流进入调节池进行水质水量调节，调节池设提升泵将污水提升至生化处理系统进行生物处理（去除有机污染物并脱氮除磷），生化系统的出水进入二沉池进行泥水分离，二沉池上清液</w:t>
            </w:r>
            <w:r>
              <w:rPr>
                <w:rFonts w:hint="eastAsia" w:cs="Times New Roman"/>
                <w:color w:val="auto"/>
                <w:sz w:val="24"/>
                <w:highlight w:val="none"/>
                <w:lang w:eastAsia="zh-CN"/>
              </w:rPr>
              <w:t>进入</w:t>
            </w:r>
            <w:r>
              <w:rPr>
                <w:rFonts w:hint="default" w:ascii="Times New Roman" w:hAnsi="Times New Roman" w:cs="Times New Roman"/>
                <w:color w:val="auto"/>
                <w:sz w:val="24"/>
                <w:highlight w:val="none"/>
                <w:lang w:eastAsia="zh-CN"/>
              </w:rPr>
              <w:t>深度处理阶段，产生的剩余污泥一部分回流至生化池前端，一部分进入污泥处理系统。</w:t>
            </w:r>
          </w:p>
          <w:p w14:paraId="13225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深度处理单元主要进行深度除磷及残留SS的处理，二沉池出水自流进入高密度沉淀池去除污水中的总磷，高密度沉淀池出水进入滤布滤池进行处理，滤池出水经接触消毒池消毒处理后即可达标外排。</w:t>
            </w:r>
          </w:p>
          <w:p w14:paraId="4C7A7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本项目产生污泥的处理工艺有二沉池、高密度沉淀池，主要为活性污泥，污泥含水率在99.2%～99.6%之间。污泥排入污泥浓缩池进行初步浓缩，经泵提升进入污泥脱水车间进行深度处理，处理工艺采用“污泥浓缩池+板框脱水机”，处理后的污泥含水率在60%以下，</w:t>
            </w:r>
            <w:r>
              <w:rPr>
                <w:rFonts w:hint="default" w:ascii="Times New Roman" w:hAnsi="Times New Roman" w:cs="Times New Roman"/>
                <w:color w:val="auto"/>
                <w:sz w:val="24"/>
                <w:highlight w:val="none"/>
                <w:lang w:eastAsia="zh-CN"/>
              </w:rPr>
              <w:t>外运</w:t>
            </w:r>
            <w:r>
              <w:rPr>
                <w:rFonts w:hint="eastAsia" w:cs="Times New Roman"/>
                <w:color w:val="auto"/>
                <w:sz w:val="24"/>
                <w:highlight w:val="none"/>
                <w:lang w:eastAsia="zh-CN"/>
              </w:rPr>
              <w:t>至砖厂制砖</w:t>
            </w:r>
            <w:r>
              <w:rPr>
                <w:rFonts w:hint="default" w:ascii="Times New Roman" w:hAnsi="Times New Roman" w:cs="Times New Roman"/>
                <w:color w:val="auto"/>
                <w:sz w:val="24"/>
                <w:highlight w:val="none"/>
                <w:lang w:eastAsia="zh-CN"/>
              </w:rPr>
              <w:t>。</w:t>
            </w:r>
          </w:p>
          <w:p w14:paraId="33FCA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综上，</w:t>
            </w:r>
            <w:r>
              <w:rPr>
                <w:rFonts w:hint="eastAsia" w:cs="Times New Roman"/>
                <w:color w:val="auto"/>
                <w:sz w:val="24"/>
                <w:szCs w:val="24"/>
                <w:highlight w:val="none"/>
                <w:lang w:val="en-US" w:eastAsia="zh-CN"/>
              </w:rPr>
              <w:t>本项目污水处理厂</w:t>
            </w:r>
            <w:r>
              <w:rPr>
                <w:rFonts w:hint="default" w:ascii="Times New Roman" w:hAnsi="Times New Roman" w:eastAsia="宋体" w:cs="Times New Roman"/>
                <w:color w:val="auto"/>
                <w:sz w:val="24"/>
                <w:szCs w:val="24"/>
                <w:highlight w:val="none"/>
                <w:lang w:val="en-US" w:eastAsia="zh-CN"/>
              </w:rPr>
              <w:t>在运行过程中废气主要为恶臭（</w:t>
            </w:r>
            <w:r>
              <w:rPr>
                <w:rFonts w:hint="default" w:ascii="Times New Roman" w:hAnsi="Times New Roman" w:eastAsia="宋体" w:cs="Times New Roman"/>
                <w:color w:val="auto"/>
                <w:kern w:val="0"/>
                <w:sz w:val="24"/>
                <w:szCs w:val="24"/>
                <w:highlight w:val="none"/>
                <w:lang w:val="zh-CN"/>
              </w:rPr>
              <w:t>NH</w:t>
            </w:r>
            <w:r>
              <w:rPr>
                <w:rFonts w:hint="default" w:ascii="Times New Roman" w:hAnsi="Times New Roman" w:eastAsia="宋体" w:cs="Times New Roman"/>
                <w:color w:val="auto"/>
                <w:kern w:val="0"/>
                <w:sz w:val="24"/>
                <w:szCs w:val="24"/>
                <w:highlight w:val="none"/>
                <w:vertAlign w:val="subscript"/>
                <w:lang w:val="zh-CN"/>
              </w:rPr>
              <w:t>3</w:t>
            </w:r>
            <w:r>
              <w:rPr>
                <w:rFonts w:hint="default" w:ascii="Times New Roman" w:hAnsi="Times New Roman" w:eastAsia="宋体" w:cs="Times New Roman"/>
                <w:color w:val="auto"/>
                <w:kern w:val="0"/>
                <w:sz w:val="24"/>
                <w:szCs w:val="24"/>
                <w:highlight w:val="none"/>
                <w:lang w:val="zh-CN"/>
              </w:rPr>
              <w:t>、H</w:t>
            </w:r>
            <w:r>
              <w:rPr>
                <w:rFonts w:hint="default" w:ascii="Times New Roman" w:hAnsi="Times New Roman" w:eastAsia="宋体" w:cs="Times New Roman"/>
                <w:color w:val="auto"/>
                <w:kern w:val="0"/>
                <w:sz w:val="24"/>
                <w:szCs w:val="24"/>
                <w:highlight w:val="none"/>
                <w:vertAlign w:val="subscript"/>
                <w:lang w:val="zh-CN"/>
              </w:rPr>
              <w:t>2</w:t>
            </w:r>
            <w:r>
              <w:rPr>
                <w:rFonts w:hint="default" w:ascii="Times New Roman" w:hAnsi="Times New Roman" w:eastAsia="宋体" w:cs="Times New Roman"/>
                <w:color w:val="auto"/>
                <w:kern w:val="0"/>
                <w:sz w:val="24"/>
                <w:szCs w:val="24"/>
                <w:highlight w:val="none"/>
                <w:lang w:val="zh-CN"/>
              </w:rPr>
              <w:t>S、臭气浓度</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、食堂油烟及燃油废气；</w:t>
            </w:r>
            <w:r>
              <w:rPr>
                <w:rFonts w:hint="default" w:ascii="Times New Roman" w:hAnsi="Times New Roman" w:eastAsia="宋体" w:cs="Times New Roman"/>
                <w:color w:val="auto"/>
                <w:sz w:val="24"/>
                <w:szCs w:val="24"/>
                <w:highlight w:val="none"/>
                <w:lang w:val="en-US" w:eastAsia="zh-CN"/>
              </w:rPr>
              <w:t>噪声主要为泵、风机等</w:t>
            </w:r>
            <w:r>
              <w:rPr>
                <w:rFonts w:hint="eastAsia" w:cs="Times New Roman"/>
                <w:color w:val="auto"/>
                <w:sz w:val="24"/>
                <w:szCs w:val="24"/>
                <w:highlight w:val="none"/>
                <w:lang w:val="en-US" w:eastAsia="zh-CN"/>
              </w:rPr>
              <w:t>设备运行过程</w:t>
            </w:r>
            <w:r>
              <w:rPr>
                <w:rFonts w:hint="default" w:ascii="Times New Roman" w:hAnsi="Times New Roman" w:eastAsia="宋体" w:cs="Times New Roman"/>
                <w:color w:val="auto"/>
                <w:sz w:val="24"/>
                <w:szCs w:val="24"/>
                <w:highlight w:val="none"/>
                <w:lang w:val="en-US" w:eastAsia="zh-CN"/>
              </w:rPr>
              <w:t>产生的噪声；</w:t>
            </w:r>
            <w:r>
              <w:rPr>
                <w:rFonts w:hint="eastAsia" w:cs="Times New Roman"/>
                <w:color w:val="auto"/>
                <w:sz w:val="24"/>
                <w:szCs w:val="24"/>
                <w:highlight w:val="none"/>
                <w:lang w:val="en-US" w:eastAsia="zh-CN"/>
              </w:rPr>
              <w:t>废水为</w:t>
            </w:r>
            <w:r>
              <w:rPr>
                <w:rFonts w:hint="eastAsia" w:cs="宋体"/>
                <w:color w:val="auto"/>
                <w:sz w:val="24"/>
                <w:highlight w:val="none"/>
                <w:lang w:eastAsia="zh-CN"/>
              </w:rPr>
              <w:t>生活污水和</w:t>
            </w:r>
            <w:r>
              <w:rPr>
                <w:rFonts w:hint="eastAsia" w:cs="宋体"/>
                <w:color w:val="auto"/>
                <w:sz w:val="24"/>
                <w:highlight w:val="none"/>
                <w:lang w:val="en-US" w:eastAsia="zh-CN"/>
              </w:rPr>
              <w:t>污泥脱水产生的废水</w:t>
            </w:r>
            <w:r>
              <w:rPr>
                <w:rFonts w:hint="default" w:ascii="Times New Roman" w:hAnsi="Times New Roman" w:eastAsia="宋体" w:cs="Times New Roman"/>
                <w:color w:val="auto"/>
                <w:sz w:val="24"/>
                <w:szCs w:val="24"/>
                <w:highlight w:val="none"/>
                <w:lang w:val="en-US" w:eastAsia="zh-CN"/>
              </w:rPr>
              <w:t>；固废主要为</w:t>
            </w:r>
            <w:r>
              <w:rPr>
                <w:rFonts w:hint="eastAsia" w:cs="Times New Roman"/>
                <w:color w:val="auto"/>
                <w:sz w:val="24"/>
                <w:szCs w:val="24"/>
                <w:highlight w:val="none"/>
                <w:lang w:val="en-US" w:eastAsia="zh-CN"/>
              </w:rPr>
              <w:t>生活垃圾、</w:t>
            </w:r>
            <w:r>
              <w:rPr>
                <w:rFonts w:hint="default" w:ascii="Times New Roman" w:hAnsi="Times New Roman" w:eastAsia="宋体" w:cs="Times New Roman"/>
                <w:color w:val="auto"/>
                <w:sz w:val="24"/>
                <w:szCs w:val="24"/>
                <w:highlight w:val="none"/>
                <w:lang w:val="en-US" w:eastAsia="zh-CN"/>
              </w:rPr>
              <w:t>栅渣、污泥及设备维护保养过程产生的废润滑油、废油桶</w:t>
            </w:r>
            <w:r>
              <w:rPr>
                <w:rFonts w:hint="eastAsia" w:cs="Times New Roman"/>
                <w:color w:val="auto"/>
                <w:sz w:val="24"/>
                <w:szCs w:val="24"/>
                <w:highlight w:val="none"/>
                <w:lang w:val="en-US" w:eastAsia="zh-CN"/>
              </w:rPr>
              <w:t>、</w:t>
            </w:r>
            <w:r>
              <w:rPr>
                <w:rFonts w:hint="eastAsia" w:ascii="宋体" w:hAnsi="宋体" w:cs="宋体"/>
                <w:color w:val="auto"/>
                <w:kern w:val="0"/>
                <w:sz w:val="24"/>
                <w:highlight w:val="none"/>
              </w:rPr>
              <w:t>含油手套及棉纱</w:t>
            </w:r>
            <w:r>
              <w:rPr>
                <w:rFonts w:hint="default" w:ascii="Times New Roman" w:hAnsi="Times New Roman" w:eastAsia="宋体" w:cs="Times New Roman"/>
                <w:color w:val="auto"/>
                <w:sz w:val="24"/>
                <w:szCs w:val="24"/>
                <w:highlight w:val="none"/>
                <w:lang w:val="en-US" w:eastAsia="zh-CN"/>
              </w:rPr>
              <w:t>等。</w:t>
            </w:r>
          </w:p>
        </w:tc>
      </w:tr>
      <w:tr w14:paraId="095B0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11" w:hRule="atLeast"/>
          <w:jc w:val="center"/>
        </w:trPr>
        <w:tc>
          <w:tcPr>
            <w:tcW w:w="823" w:type="dxa"/>
            <w:noWrap w:val="0"/>
            <w:vAlign w:val="center"/>
          </w:tcPr>
          <w:p w14:paraId="0D85BF0F">
            <w:pPr>
              <w:pStyle w:val="28"/>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kern w:val="2"/>
                <w:sz w:val="24"/>
                <w:szCs w:val="24"/>
                <w:highlight w:val="none"/>
              </w:rPr>
              <w:t>与项目有关的原有环境污染问题</w:t>
            </w:r>
          </w:p>
        </w:tc>
        <w:tc>
          <w:tcPr>
            <w:tcW w:w="8161" w:type="dxa"/>
            <w:noWrap w:val="0"/>
            <w:vAlign w:val="center"/>
          </w:tcPr>
          <w:p w14:paraId="781707DE">
            <w:pPr>
              <w:spacing w:line="360" w:lineRule="auto"/>
              <w:ind w:firstLine="480" w:firstLineChars="200"/>
              <w:rPr>
                <w:rFonts w:hint="default"/>
                <w:color w:val="auto"/>
                <w:highlight w:val="none"/>
                <w:lang w:val="en-US" w:eastAsia="zh-CN"/>
              </w:rPr>
            </w:pPr>
            <w:r>
              <w:rPr>
                <w:rFonts w:hint="eastAsia"/>
                <w:color w:val="auto"/>
                <w:sz w:val="24"/>
                <w:szCs w:val="24"/>
                <w:highlight w:val="none"/>
                <w:lang w:val="en-US" w:eastAsia="zh-CN"/>
              </w:rPr>
              <w:t>本项目为新建项目。经现场调查，项目占地区内遗留有</w:t>
            </w:r>
            <w:r>
              <w:rPr>
                <w:rFonts w:hint="eastAsia"/>
                <w:color w:val="auto"/>
                <w:sz w:val="24"/>
                <w:szCs w:val="24"/>
                <w:highlight w:val="none"/>
                <w:lang w:val="en-US" w:eastAsia="zh-CN"/>
              </w:rPr>
              <w:t>闲置厂房一座，占地约500m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，主要为四〇五厂区建设服务</w:t>
            </w:r>
            <w:r>
              <w:rPr>
                <w:rFonts w:hint="eastAsia"/>
                <w:color w:val="auto"/>
                <w:sz w:val="24"/>
                <w:szCs w:val="24"/>
                <w:highlight w:val="none"/>
                <w:lang w:val="en-US" w:eastAsia="zh-CN"/>
              </w:rPr>
              <w:t>（生产相关预制件）</w:t>
            </w:r>
            <w:r>
              <w:rPr>
                <w:rFonts w:hint="eastAsia"/>
                <w:color w:val="auto"/>
                <w:sz w:val="24"/>
                <w:szCs w:val="24"/>
                <w:highlight w:val="none"/>
                <w:lang w:val="en-US" w:eastAsia="zh-CN"/>
              </w:rPr>
              <w:t>，现已停运多年；目前仅保留厂房主体，场地内无前期剩余的生产设施设备，废污水及物料均妥善处理，无与项目有关的原有环境污染问题。</w:t>
            </w:r>
          </w:p>
        </w:tc>
      </w:tr>
    </w:tbl>
    <w:p w14:paraId="168F7FF5">
      <w:pPr>
        <w:pStyle w:val="28"/>
        <w:jc w:val="center"/>
        <w:rPr>
          <w:rFonts w:hint="default" w:ascii="Times New Roman" w:hAnsi="Times New Roman" w:eastAsia="黑体" w:cs="Times New Roman"/>
          <w:snapToGrid w:val="0"/>
          <w:color w:val="auto"/>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F915EC6">
      <w:pPr>
        <w:pStyle w:val="28"/>
        <w:jc w:val="center"/>
        <w:outlineLvl w:val="0"/>
        <w:rPr>
          <w:rFonts w:hint="default" w:ascii="Times New Roman" w:hAnsi="Times New Roman" w:eastAsia="黑体" w:cs="Times New Roman"/>
          <w:snapToGrid w:val="0"/>
          <w:color w:val="auto"/>
          <w:sz w:val="30"/>
          <w:szCs w:val="30"/>
          <w:highlight w:val="none"/>
        </w:rPr>
      </w:pPr>
      <w:bookmarkStart w:id="35" w:name="_Toc8734"/>
      <w:bookmarkStart w:id="36" w:name="_Toc12886"/>
      <w:bookmarkStart w:id="37" w:name="_Toc11591"/>
      <w:bookmarkStart w:id="38" w:name="_Toc19362"/>
      <w:bookmarkStart w:id="39" w:name="_Toc6549"/>
      <w:bookmarkStart w:id="40" w:name="_Toc8445"/>
      <w:bookmarkStart w:id="41" w:name="_Toc26088"/>
      <w:bookmarkStart w:id="42" w:name="_Toc15146"/>
      <w:bookmarkStart w:id="43" w:name="_Toc20375"/>
      <w:r>
        <w:rPr>
          <w:rFonts w:hint="default" w:ascii="Times New Roman" w:hAnsi="Times New Roman" w:eastAsia="黑体" w:cs="Times New Roman"/>
          <w:snapToGrid w:val="0"/>
          <w:color w:val="auto"/>
          <w:sz w:val="30"/>
          <w:szCs w:val="30"/>
          <w:highlight w:val="none"/>
        </w:rPr>
        <w:t>三、区域环境质量现状、环境保护目标及评价标准</w:t>
      </w:r>
      <w:bookmarkEnd w:id="35"/>
      <w:bookmarkEnd w:id="36"/>
      <w:bookmarkEnd w:id="37"/>
      <w:bookmarkEnd w:id="38"/>
      <w:bookmarkEnd w:id="39"/>
      <w:bookmarkEnd w:id="40"/>
      <w:bookmarkEnd w:id="41"/>
      <w:bookmarkEnd w:id="42"/>
      <w:bookmarkEnd w:id="43"/>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7205C6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994" w:hRule="atLeast"/>
          <w:jc w:val="center"/>
        </w:trPr>
        <w:tc>
          <w:tcPr>
            <w:tcW w:w="800" w:type="dxa"/>
            <w:noWrap w:val="0"/>
            <w:vAlign w:val="center"/>
          </w:tcPr>
          <w:p w14:paraId="1312169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区域</w:t>
            </w:r>
          </w:p>
          <w:p w14:paraId="3FAE898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39597E9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质量</w:t>
            </w:r>
          </w:p>
          <w:p w14:paraId="2445CF4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现状</w:t>
            </w:r>
          </w:p>
        </w:tc>
        <w:tc>
          <w:tcPr>
            <w:tcW w:w="8190" w:type="dxa"/>
            <w:noWrap w:val="0"/>
            <w:vAlign w:val="center"/>
          </w:tcPr>
          <w:p w14:paraId="37C3C53C">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一、</w:t>
            </w:r>
            <w:r>
              <w:rPr>
                <w:rFonts w:hint="default" w:ascii="Times New Roman" w:hAnsi="Times New Roman" w:cs="Times New Roman"/>
                <w:b/>
                <w:bCs/>
                <w:color w:val="auto"/>
                <w:sz w:val="24"/>
                <w:szCs w:val="24"/>
                <w:highlight w:val="none"/>
                <w:lang w:val="en-US" w:eastAsia="zh-CN"/>
              </w:rPr>
              <w:t>大气环境</w:t>
            </w:r>
          </w:p>
          <w:p w14:paraId="0DBC0570">
            <w:pPr>
              <w:pStyle w:val="68"/>
              <w:numPr>
                <w:ilvl w:val="0"/>
                <w:numId w:val="3"/>
              </w:numPr>
              <w:spacing w:line="360" w:lineRule="auto"/>
              <w:ind w:left="-60" w:leftChars="0" w:firstLine="480" w:firstLineChars="0"/>
              <w:jc w:val="both"/>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常规污染物</w:t>
            </w:r>
          </w:p>
          <w:p w14:paraId="489CAD55">
            <w:pPr>
              <w:adjustRightInd w:val="0"/>
              <w:snapToGrid w:val="0"/>
              <w:spacing w:line="360" w:lineRule="auto"/>
              <w:ind w:firstLine="480" w:firstLineChars="200"/>
              <w:jc w:val="left"/>
              <w:rPr>
                <w:rFonts w:ascii="Times New Roman" w:hAnsi="Times New Roman"/>
                <w:color w:val="auto"/>
                <w:sz w:val="24"/>
                <w:highlight w:val="none"/>
              </w:rPr>
            </w:pPr>
            <w:r>
              <w:rPr>
                <w:rFonts w:ascii="Times New Roman" w:hAnsi="Times New Roman"/>
                <w:color w:val="auto"/>
                <w:sz w:val="24"/>
                <w:highlight w:val="none"/>
              </w:rPr>
              <w:t>项目评价区域内环境空气质量执行《环境空气质量标准》（GB 3095-20</w:t>
            </w:r>
            <w:r>
              <w:rPr>
                <w:rFonts w:hint="eastAsia" w:ascii="Times New Roman" w:hAnsi="Times New Roman"/>
                <w:color w:val="auto"/>
                <w:sz w:val="24"/>
                <w:highlight w:val="none"/>
              </w:rPr>
              <w:t>26</w:t>
            </w:r>
            <w:r>
              <w:rPr>
                <w:rFonts w:ascii="Times New Roman" w:hAnsi="Times New Roman"/>
                <w:color w:val="auto"/>
                <w:sz w:val="24"/>
                <w:highlight w:val="none"/>
              </w:rPr>
              <w:t>）中</w:t>
            </w:r>
            <w:r>
              <w:rPr>
                <w:rFonts w:hint="eastAsia" w:ascii="Times New Roman" w:hAnsi="Times New Roman"/>
                <w:color w:val="auto"/>
                <w:sz w:val="24"/>
                <w:highlight w:val="none"/>
              </w:rPr>
              <w:t>过渡阶段</w:t>
            </w:r>
            <w:r>
              <w:rPr>
                <w:rFonts w:ascii="Times New Roman" w:hAnsi="Times New Roman"/>
                <w:color w:val="auto"/>
                <w:sz w:val="24"/>
                <w:highlight w:val="none"/>
              </w:rPr>
              <w:t>二级标准。项目所在区域常规污染物判定优先采用国家或地方生态环境主管部门发布的评价基准年环境质量公告或环境质量报告中的数据或结论。</w:t>
            </w:r>
          </w:p>
          <w:p w14:paraId="6B6A6D6D">
            <w:pPr>
              <w:adjustRightInd w:val="0"/>
              <w:snapToGrid w:val="0"/>
              <w:spacing w:line="360" w:lineRule="auto"/>
              <w:ind w:firstLine="480" w:firstLineChars="200"/>
              <w:jc w:val="left"/>
              <w:rPr>
                <w:rFonts w:ascii="Times New Roman" w:hAnsi="Times New Roman"/>
                <w:color w:val="auto"/>
                <w:sz w:val="24"/>
                <w:highlight w:val="none"/>
              </w:rPr>
            </w:pPr>
            <w:r>
              <w:rPr>
                <w:rFonts w:ascii="Times New Roman" w:hAnsi="Times New Roman"/>
                <w:color w:val="auto"/>
                <w:sz w:val="24"/>
                <w:highlight w:val="none"/>
              </w:rPr>
              <w:t>本次评价引用陕西省生态环境厅办公室发布的《环保快报</w:t>
            </w:r>
            <w:r>
              <w:rPr>
                <w:rFonts w:hint="eastAsia" w:ascii="Times New Roman" w:hAnsi="Times New Roman"/>
                <w:color w:val="auto"/>
                <w:sz w:val="24"/>
                <w:highlight w:val="none"/>
              </w:rPr>
              <w:t>（2026-1）</w:t>
            </w:r>
            <w:r>
              <w:rPr>
                <w:rFonts w:ascii="Times New Roman" w:hAnsi="Times New Roman"/>
                <w:color w:val="auto"/>
                <w:sz w:val="24"/>
                <w:highlight w:val="none"/>
              </w:rPr>
              <w:t>》数据，洋县空气优良天数3</w:t>
            </w:r>
            <w:r>
              <w:rPr>
                <w:rFonts w:hint="eastAsia" w:ascii="Times New Roman" w:hAnsi="Times New Roman"/>
                <w:color w:val="auto"/>
                <w:sz w:val="24"/>
                <w:highlight w:val="none"/>
              </w:rPr>
              <w:t>41</w:t>
            </w:r>
            <w:r>
              <w:rPr>
                <w:rFonts w:ascii="Times New Roman" w:hAnsi="Times New Roman"/>
                <w:color w:val="auto"/>
                <w:sz w:val="24"/>
                <w:highlight w:val="none"/>
              </w:rPr>
              <w:t>天，见表3-1。</w:t>
            </w:r>
          </w:p>
          <w:p w14:paraId="7086B7AA">
            <w:pPr>
              <w:tabs>
                <w:tab w:val="left" w:leader="middleDot" w:pos="8399"/>
              </w:tabs>
              <w:jc w:val="center"/>
              <w:rPr>
                <w:rFonts w:ascii="Times New Roman" w:hAnsi="Times New Roman"/>
                <w:b/>
                <w:color w:val="auto"/>
                <w:szCs w:val="21"/>
                <w:highlight w:val="none"/>
              </w:rPr>
            </w:pPr>
            <w:r>
              <w:rPr>
                <w:rFonts w:ascii="Times New Roman" w:hAnsi="Times New Roman"/>
                <w:b/>
                <w:color w:val="auto"/>
                <w:szCs w:val="21"/>
                <w:highlight w:val="none"/>
              </w:rPr>
              <w:t>表3-1  项目所在区域环境质量现状评价表</w:t>
            </w:r>
          </w:p>
          <w:tbl>
            <w:tblPr>
              <w:tblStyle w:val="31"/>
              <w:tblW w:w="82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4"/>
              <w:gridCol w:w="3127"/>
              <w:gridCol w:w="1142"/>
              <w:gridCol w:w="1080"/>
              <w:gridCol w:w="985"/>
              <w:gridCol w:w="969"/>
            </w:tblGrid>
            <w:tr w14:paraId="25C6C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34" w:type="dxa"/>
                  <w:noWrap w:val="0"/>
                  <w:vAlign w:val="center"/>
                </w:tcPr>
                <w:p w14:paraId="5C0DF8CD">
                  <w:pPr>
                    <w:pStyle w:val="68"/>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污染物</w:t>
                  </w:r>
                </w:p>
              </w:tc>
              <w:tc>
                <w:tcPr>
                  <w:tcW w:w="3127" w:type="dxa"/>
                  <w:noWrap w:val="0"/>
                  <w:vAlign w:val="center"/>
                </w:tcPr>
                <w:p w14:paraId="046128A0">
                  <w:pPr>
                    <w:pStyle w:val="68"/>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年评价指标</w:t>
                  </w:r>
                </w:p>
              </w:tc>
              <w:tc>
                <w:tcPr>
                  <w:tcW w:w="1142" w:type="dxa"/>
                  <w:noWrap w:val="0"/>
                  <w:vAlign w:val="center"/>
                </w:tcPr>
                <w:p w14:paraId="3DFB954F">
                  <w:pPr>
                    <w:pStyle w:val="68"/>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现状浓度/(μg/m</w:t>
                  </w:r>
                  <w:r>
                    <w:rPr>
                      <w:rFonts w:ascii="Times New Roman" w:hAnsi="Times New Roman" w:cs="Times New Roman"/>
                      <w:color w:val="auto"/>
                      <w:sz w:val="21"/>
                      <w:szCs w:val="21"/>
                      <w:highlight w:val="none"/>
                      <w:vertAlign w:val="superscript"/>
                    </w:rPr>
                    <w:t>3</w:t>
                  </w:r>
                  <w:r>
                    <w:rPr>
                      <w:rFonts w:ascii="Times New Roman" w:hAnsi="Times New Roman" w:cs="Times New Roman"/>
                      <w:color w:val="auto"/>
                      <w:sz w:val="21"/>
                      <w:szCs w:val="21"/>
                      <w:highlight w:val="none"/>
                    </w:rPr>
                    <w:t>)</w:t>
                  </w:r>
                </w:p>
              </w:tc>
              <w:tc>
                <w:tcPr>
                  <w:tcW w:w="1080" w:type="dxa"/>
                  <w:noWrap w:val="0"/>
                  <w:vAlign w:val="center"/>
                </w:tcPr>
                <w:p w14:paraId="10370FF8">
                  <w:pPr>
                    <w:pStyle w:val="68"/>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过渡阶段</w:t>
                  </w:r>
                  <w:r>
                    <w:rPr>
                      <w:rFonts w:ascii="Times New Roman" w:hAnsi="Times New Roman" w:cs="Times New Roman"/>
                      <w:color w:val="auto"/>
                      <w:sz w:val="21"/>
                      <w:szCs w:val="21"/>
                      <w:highlight w:val="none"/>
                    </w:rPr>
                    <w:t>标准值/(μg/m</w:t>
                  </w:r>
                  <w:r>
                    <w:rPr>
                      <w:rFonts w:ascii="Times New Roman" w:hAnsi="Times New Roman" w:cs="Times New Roman"/>
                      <w:color w:val="auto"/>
                      <w:sz w:val="21"/>
                      <w:szCs w:val="21"/>
                      <w:highlight w:val="none"/>
                      <w:vertAlign w:val="superscript"/>
                    </w:rPr>
                    <w:t>3</w:t>
                  </w:r>
                  <w:r>
                    <w:rPr>
                      <w:rFonts w:ascii="Times New Roman" w:hAnsi="Times New Roman" w:cs="Times New Roman"/>
                      <w:color w:val="auto"/>
                      <w:sz w:val="21"/>
                      <w:szCs w:val="21"/>
                      <w:highlight w:val="none"/>
                    </w:rPr>
                    <w:t>)</w:t>
                  </w:r>
                </w:p>
              </w:tc>
              <w:tc>
                <w:tcPr>
                  <w:tcW w:w="985" w:type="dxa"/>
                  <w:noWrap w:val="0"/>
                  <w:vAlign w:val="center"/>
                </w:tcPr>
                <w:p w14:paraId="277E092A">
                  <w:pPr>
                    <w:pStyle w:val="68"/>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占标率</w:t>
                  </w:r>
                </w:p>
              </w:tc>
              <w:tc>
                <w:tcPr>
                  <w:tcW w:w="969" w:type="dxa"/>
                  <w:noWrap w:val="0"/>
                  <w:vAlign w:val="center"/>
                </w:tcPr>
                <w:p w14:paraId="54B8804B">
                  <w:pPr>
                    <w:pStyle w:val="68"/>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p w14:paraId="2238FB53">
                  <w:pPr>
                    <w:pStyle w:val="68"/>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情况</w:t>
                  </w:r>
                </w:p>
              </w:tc>
            </w:tr>
            <w:tr w14:paraId="4CE63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7DB4DA19">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PM</w:t>
                  </w:r>
                  <w:r>
                    <w:rPr>
                      <w:rFonts w:ascii="Times New Roman" w:hAnsi="Times New Roman"/>
                      <w:color w:val="auto"/>
                      <w:kern w:val="0"/>
                      <w:szCs w:val="21"/>
                      <w:highlight w:val="none"/>
                      <w:vertAlign w:val="subscript"/>
                    </w:rPr>
                    <w:t>10</w:t>
                  </w:r>
                </w:p>
              </w:tc>
              <w:tc>
                <w:tcPr>
                  <w:tcW w:w="3127" w:type="dxa"/>
                  <w:noWrap w:val="0"/>
                  <w:vAlign w:val="center"/>
                </w:tcPr>
                <w:p w14:paraId="561AB45E">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年平均质量浓度</w:t>
                  </w:r>
                </w:p>
              </w:tc>
              <w:tc>
                <w:tcPr>
                  <w:tcW w:w="1142" w:type="dxa"/>
                  <w:noWrap w:val="0"/>
                  <w:vAlign w:val="center"/>
                </w:tcPr>
                <w:p w14:paraId="6CCD7654">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42</w:t>
                  </w:r>
                </w:p>
              </w:tc>
              <w:tc>
                <w:tcPr>
                  <w:tcW w:w="1080" w:type="dxa"/>
                  <w:noWrap w:val="0"/>
                  <w:vAlign w:val="center"/>
                </w:tcPr>
                <w:p w14:paraId="08D5F77E">
                  <w:pPr>
                    <w:widowControl/>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60</w:t>
                  </w:r>
                </w:p>
              </w:tc>
              <w:tc>
                <w:tcPr>
                  <w:tcW w:w="985" w:type="dxa"/>
                  <w:noWrap w:val="0"/>
                  <w:vAlign w:val="center"/>
                </w:tcPr>
                <w:p w14:paraId="0F904A12">
                  <w:pPr>
                    <w:widowControl/>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70.00</w:t>
                  </w:r>
                  <w:r>
                    <w:rPr>
                      <w:rFonts w:ascii="Times New Roman" w:hAnsi="Times New Roman"/>
                      <w:color w:val="auto"/>
                      <w:kern w:val="0"/>
                      <w:szCs w:val="21"/>
                      <w:highlight w:val="none"/>
                    </w:rPr>
                    <w:t>%</w:t>
                  </w:r>
                </w:p>
              </w:tc>
              <w:tc>
                <w:tcPr>
                  <w:tcW w:w="969" w:type="dxa"/>
                  <w:noWrap w:val="0"/>
                  <w:vAlign w:val="center"/>
                </w:tcPr>
                <w:p w14:paraId="268379DE">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达标</w:t>
                  </w:r>
                </w:p>
              </w:tc>
            </w:tr>
            <w:tr w14:paraId="1AB21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0361E219">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PM</w:t>
                  </w:r>
                  <w:r>
                    <w:rPr>
                      <w:rFonts w:ascii="Times New Roman" w:hAnsi="Times New Roman"/>
                      <w:color w:val="auto"/>
                      <w:kern w:val="0"/>
                      <w:szCs w:val="21"/>
                      <w:highlight w:val="none"/>
                      <w:vertAlign w:val="subscript"/>
                    </w:rPr>
                    <w:t>2.5</w:t>
                  </w:r>
                </w:p>
              </w:tc>
              <w:tc>
                <w:tcPr>
                  <w:tcW w:w="3127" w:type="dxa"/>
                  <w:noWrap w:val="0"/>
                  <w:vAlign w:val="center"/>
                </w:tcPr>
                <w:p w14:paraId="2DE0ABA9">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年平均质量浓度</w:t>
                  </w:r>
                </w:p>
              </w:tc>
              <w:tc>
                <w:tcPr>
                  <w:tcW w:w="1142" w:type="dxa"/>
                  <w:noWrap w:val="0"/>
                  <w:vAlign w:val="center"/>
                </w:tcPr>
                <w:p w14:paraId="4F73A79F">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28.5</w:t>
                  </w:r>
                </w:p>
              </w:tc>
              <w:tc>
                <w:tcPr>
                  <w:tcW w:w="1080" w:type="dxa"/>
                  <w:noWrap w:val="0"/>
                  <w:vAlign w:val="center"/>
                </w:tcPr>
                <w:p w14:paraId="4108BE30">
                  <w:pPr>
                    <w:widowControl/>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30</w:t>
                  </w:r>
                </w:p>
              </w:tc>
              <w:tc>
                <w:tcPr>
                  <w:tcW w:w="985" w:type="dxa"/>
                  <w:noWrap w:val="0"/>
                  <w:vAlign w:val="center"/>
                </w:tcPr>
                <w:p w14:paraId="05BFA644">
                  <w:pPr>
                    <w:widowControl/>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95.00</w:t>
                  </w:r>
                  <w:r>
                    <w:rPr>
                      <w:rFonts w:ascii="Times New Roman" w:hAnsi="Times New Roman"/>
                      <w:color w:val="auto"/>
                      <w:kern w:val="0"/>
                      <w:szCs w:val="21"/>
                      <w:highlight w:val="none"/>
                    </w:rPr>
                    <w:t>%</w:t>
                  </w:r>
                </w:p>
              </w:tc>
              <w:tc>
                <w:tcPr>
                  <w:tcW w:w="969" w:type="dxa"/>
                  <w:noWrap w:val="0"/>
                  <w:vAlign w:val="center"/>
                </w:tcPr>
                <w:p w14:paraId="25442DAA">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达标</w:t>
                  </w:r>
                </w:p>
              </w:tc>
            </w:tr>
            <w:tr w14:paraId="7E66D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6019D555">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SO</w:t>
                  </w:r>
                  <w:r>
                    <w:rPr>
                      <w:rFonts w:ascii="Times New Roman" w:hAnsi="Times New Roman"/>
                      <w:color w:val="auto"/>
                      <w:kern w:val="0"/>
                      <w:szCs w:val="21"/>
                      <w:highlight w:val="none"/>
                      <w:vertAlign w:val="subscript"/>
                    </w:rPr>
                    <w:t>2</w:t>
                  </w:r>
                </w:p>
              </w:tc>
              <w:tc>
                <w:tcPr>
                  <w:tcW w:w="3127" w:type="dxa"/>
                  <w:noWrap w:val="0"/>
                  <w:vAlign w:val="center"/>
                </w:tcPr>
                <w:p w14:paraId="29D4AE73">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年平均质量浓度</w:t>
                  </w:r>
                </w:p>
              </w:tc>
              <w:tc>
                <w:tcPr>
                  <w:tcW w:w="1142" w:type="dxa"/>
                  <w:noWrap w:val="0"/>
                  <w:vAlign w:val="center"/>
                </w:tcPr>
                <w:p w14:paraId="40B376AC">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6</w:t>
                  </w:r>
                </w:p>
              </w:tc>
              <w:tc>
                <w:tcPr>
                  <w:tcW w:w="1080" w:type="dxa"/>
                  <w:noWrap w:val="0"/>
                  <w:vAlign w:val="center"/>
                </w:tcPr>
                <w:p w14:paraId="2A930794">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60</w:t>
                  </w:r>
                </w:p>
              </w:tc>
              <w:tc>
                <w:tcPr>
                  <w:tcW w:w="985" w:type="dxa"/>
                  <w:noWrap w:val="0"/>
                  <w:vAlign w:val="center"/>
                </w:tcPr>
                <w:p w14:paraId="3F7E4A30">
                  <w:pPr>
                    <w:widowControl/>
                    <w:jc w:val="center"/>
                    <w:textAlignment w:val="center"/>
                    <w:rPr>
                      <w:rFonts w:ascii="Times New Roman" w:hAnsi="Times New Roman"/>
                      <w:color w:val="auto"/>
                      <w:szCs w:val="21"/>
                      <w:highlight w:val="none"/>
                    </w:rPr>
                  </w:pPr>
                  <w:r>
                    <w:rPr>
                      <w:rFonts w:hint="eastAsia" w:ascii="Times New Roman" w:hAnsi="Times New Roman"/>
                      <w:color w:val="auto"/>
                      <w:kern w:val="0"/>
                      <w:szCs w:val="21"/>
                      <w:highlight w:val="none"/>
                    </w:rPr>
                    <w:t>10.00</w:t>
                  </w:r>
                  <w:r>
                    <w:rPr>
                      <w:rFonts w:ascii="Times New Roman" w:hAnsi="Times New Roman"/>
                      <w:color w:val="auto"/>
                      <w:kern w:val="0"/>
                      <w:szCs w:val="21"/>
                      <w:highlight w:val="none"/>
                    </w:rPr>
                    <w:t>%</w:t>
                  </w:r>
                </w:p>
              </w:tc>
              <w:tc>
                <w:tcPr>
                  <w:tcW w:w="969" w:type="dxa"/>
                  <w:noWrap w:val="0"/>
                  <w:vAlign w:val="center"/>
                </w:tcPr>
                <w:p w14:paraId="4A98742B">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达标</w:t>
                  </w:r>
                </w:p>
              </w:tc>
            </w:tr>
            <w:tr w14:paraId="36D40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6A3DA570">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NO</w:t>
                  </w:r>
                  <w:r>
                    <w:rPr>
                      <w:rFonts w:ascii="Times New Roman" w:hAnsi="Times New Roman"/>
                      <w:color w:val="auto"/>
                      <w:kern w:val="0"/>
                      <w:szCs w:val="21"/>
                      <w:highlight w:val="none"/>
                      <w:vertAlign w:val="subscript"/>
                    </w:rPr>
                    <w:t>2</w:t>
                  </w:r>
                </w:p>
              </w:tc>
              <w:tc>
                <w:tcPr>
                  <w:tcW w:w="3127" w:type="dxa"/>
                  <w:noWrap w:val="0"/>
                  <w:vAlign w:val="center"/>
                </w:tcPr>
                <w:p w14:paraId="5B1D8874">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年平均质量浓度</w:t>
                  </w:r>
                </w:p>
              </w:tc>
              <w:tc>
                <w:tcPr>
                  <w:tcW w:w="1142" w:type="dxa"/>
                  <w:noWrap w:val="0"/>
                  <w:vAlign w:val="center"/>
                </w:tcPr>
                <w:p w14:paraId="39CBD74D">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14</w:t>
                  </w:r>
                </w:p>
              </w:tc>
              <w:tc>
                <w:tcPr>
                  <w:tcW w:w="1080" w:type="dxa"/>
                  <w:noWrap w:val="0"/>
                  <w:vAlign w:val="center"/>
                </w:tcPr>
                <w:p w14:paraId="4233E832">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40</w:t>
                  </w:r>
                </w:p>
              </w:tc>
              <w:tc>
                <w:tcPr>
                  <w:tcW w:w="985" w:type="dxa"/>
                  <w:noWrap w:val="0"/>
                  <w:vAlign w:val="center"/>
                </w:tcPr>
                <w:p w14:paraId="59508682">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35.00%</w:t>
                  </w:r>
                </w:p>
              </w:tc>
              <w:tc>
                <w:tcPr>
                  <w:tcW w:w="969" w:type="dxa"/>
                  <w:noWrap w:val="0"/>
                  <w:vAlign w:val="center"/>
                </w:tcPr>
                <w:p w14:paraId="37E76CEF">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达标</w:t>
                  </w:r>
                </w:p>
              </w:tc>
            </w:tr>
            <w:tr w14:paraId="25A44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434629C4">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CO</w:t>
                  </w:r>
                </w:p>
              </w:tc>
              <w:tc>
                <w:tcPr>
                  <w:tcW w:w="3127" w:type="dxa"/>
                  <w:noWrap w:val="0"/>
                  <w:vAlign w:val="center"/>
                </w:tcPr>
                <w:p w14:paraId="347886F0">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保证率日平均第</w:t>
                  </w:r>
                  <w:r>
                    <w:rPr>
                      <w:rStyle w:val="99"/>
                      <w:rFonts w:hint="default" w:ascii="Times New Roman" w:hAnsi="Times New Roman" w:cs="Times New Roman"/>
                      <w:color w:val="auto"/>
                      <w:highlight w:val="none"/>
                    </w:rPr>
                    <w:t>95</w:t>
                  </w:r>
                  <w:r>
                    <w:rPr>
                      <w:rFonts w:ascii="Times New Roman" w:hAnsi="Times New Roman"/>
                      <w:color w:val="auto"/>
                      <w:kern w:val="0"/>
                      <w:szCs w:val="21"/>
                      <w:highlight w:val="none"/>
                    </w:rPr>
                    <w:t>百分位数</w:t>
                  </w:r>
                </w:p>
              </w:tc>
              <w:tc>
                <w:tcPr>
                  <w:tcW w:w="1142" w:type="dxa"/>
                  <w:noWrap w:val="0"/>
                  <w:vAlign w:val="center"/>
                </w:tcPr>
                <w:p w14:paraId="4E927F2E">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1200</w:t>
                  </w:r>
                </w:p>
              </w:tc>
              <w:tc>
                <w:tcPr>
                  <w:tcW w:w="1080" w:type="dxa"/>
                  <w:noWrap w:val="0"/>
                  <w:vAlign w:val="center"/>
                </w:tcPr>
                <w:p w14:paraId="24DA6C8D">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4000</w:t>
                  </w:r>
                </w:p>
              </w:tc>
              <w:tc>
                <w:tcPr>
                  <w:tcW w:w="985" w:type="dxa"/>
                  <w:noWrap w:val="0"/>
                  <w:vAlign w:val="center"/>
                </w:tcPr>
                <w:p w14:paraId="4FCBC166">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30.00%</w:t>
                  </w:r>
                </w:p>
              </w:tc>
              <w:tc>
                <w:tcPr>
                  <w:tcW w:w="969" w:type="dxa"/>
                  <w:noWrap w:val="0"/>
                  <w:vAlign w:val="center"/>
                </w:tcPr>
                <w:p w14:paraId="3706563B">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达标</w:t>
                  </w:r>
                </w:p>
              </w:tc>
            </w:tr>
            <w:tr w14:paraId="0A7EB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34" w:type="dxa"/>
                  <w:noWrap w:val="0"/>
                  <w:vAlign w:val="center"/>
                </w:tcPr>
                <w:p w14:paraId="1A0BA0B0">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O</w:t>
                  </w:r>
                  <w:r>
                    <w:rPr>
                      <w:rFonts w:ascii="Times New Roman" w:hAnsi="Times New Roman"/>
                      <w:color w:val="auto"/>
                      <w:kern w:val="0"/>
                      <w:szCs w:val="21"/>
                      <w:highlight w:val="none"/>
                      <w:vertAlign w:val="subscript"/>
                    </w:rPr>
                    <w:t>3</w:t>
                  </w:r>
                </w:p>
              </w:tc>
              <w:tc>
                <w:tcPr>
                  <w:tcW w:w="3127" w:type="dxa"/>
                  <w:noWrap w:val="0"/>
                  <w:vAlign w:val="center"/>
                </w:tcPr>
                <w:p w14:paraId="6F42BD8F">
                  <w:pPr>
                    <w:widowControl/>
                    <w:jc w:val="center"/>
                    <w:textAlignment w:val="center"/>
                    <w:rPr>
                      <w:rFonts w:ascii="Times New Roman" w:hAnsi="Times New Roman"/>
                      <w:color w:val="auto"/>
                      <w:szCs w:val="21"/>
                      <w:highlight w:val="none"/>
                    </w:rPr>
                  </w:pPr>
                  <w:r>
                    <w:rPr>
                      <w:rStyle w:val="99"/>
                      <w:rFonts w:hint="default" w:ascii="Times New Roman" w:hAnsi="Times New Roman" w:cs="Times New Roman"/>
                      <w:color w:val="auto"/>
                      <w:highlight w:val="none"/>
                    </w:rPr>
                    <w:t>90%</w:t>
                  </w:r>
                  <w:r>
                    <w:rPr>
                      <w:rFonts w:ascii="Times New Roman" w:hAnsi="Times New Roman"/>
                      <w:color w:val="auto"/>
                      <w:kern w:val="0"/>
                      <w:szCs w:val="21"/>
                      <w:highlight w:val="none"/>
                    </w:rPr>
                    <w:t>保证率</w:t>
                  </w:r>
                  <w:r>
                    <w:rPr>
                      <w:rStyle w:val="99"/>
                      <w:rFonts w:hint="default" w:ascii="Times New Roman" w:hAnsi="Times New Roman" w:cs="Times New Roman"/>
                      <w:color w:val="auto"/>
                      <w:highlight w:val="none"/>
                    </w:rPr>
                    <w:t>8</w:t>
                  </w:r>
                  <w:r>
                    <w:rPr>
                      <w:rFonts w:ascii="Times New Roman" w:hAnsi="Times New Roman"/>
                      <w:color w:val="auto"/>
                      <w:kern w:val="0"/>
                      <w:szCs w:val="21"/>
                      <w:highlight w:val="none"/>
                    </w:rPr>
                    <w:t>小时平均质量浓度</w:t>
                  </w:r>
                </w:p>
              </w:tc>
              <w:tc>
                <w:tcPr>
                  <w:tcW w:w="1142" w:type="dxa"/>
                  <w:noWrap w:val="0"/>
                  <w:vAlign w:val="center"/>
                </w:tcPr>
                <w:p w14:paraId="06D30AB6">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120</w:t>
                  </w:r>
                </w:p>
              </w:tc>
              <w:tc>
                <w:tcPr>
                  <w:tcW w:w="1080" w:type="dxa"/>
                  <w:noWrap w:val="0"/>
                  <w:vAlign w:val="center"/>
                </w:tcPr>
                <w:p w14:paraId="20C69ED0">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160</w:t>
                  </w:r>
                </w:p>
              </w:tc>
              <w:tc>
                <w:tcPr>
                  <w:tcW w:w="985" w:type="dxa"/>
                  <w:noWrap w:val="0"/>
                  <w:vAlign w:val="center"/>
                </w:tcPr>
                <w:p w14:paraId="3087C829">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75.00%</w:t>
                  </w:r>
                </w:p>
              </w:tc>
              <w:tc>
                <w:tcPr>
                  <w:tcW w:w="969" w:type="dxa"/>
                  <w:noWrap w:val="0"/>
                  <w:vAlign w:val="center"/>
                </w:tcPr>
                <w:p w14:paraId="2EC4CB39">
                  <w:pPr>
                    <w:widowControl/>
                    <w:jc w:val="center"/>
                    <w:textAlignment w:val="center"/>
                    <w:rPr>
                      <w:rFonts w:ascii="Times New Roman" w:hAnsi="Times New Roman"/>
                      <w:color w:val="auto"/>
                      <w:szCs w:val="21"/>
                      <w:highlight w:val="none"/>
                    </w:rPr>
                  </w:pPr>
                  <w:r>
                    <w:rPr>
                      <w:rFonts w:ascii="Times New Roman" w:hAnsi="Times New Roman"/>
                      <w:color w:val="auto"/>
                      <w:kern w:val="0"/>
                      <w:szCs w:val="21"/>
                      <w:highlight w:val="none"/>
                    </w:rPr>
                    <w:t>达标</w:t>
                  </w:r>
                </w:p>
              </w:tc>
            </w:tr>
          </w:tbl>
          <w:p w14:paraId="4BD1CF06">
            <w:pPr>
              <w:snapToGrid w:val="0"/>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从202</w:t>
            </w:r>
            <w:r>
              <w:rPr>
                <w:rFonts w:hint="eastAsia" w:ascii="Times New Roman" w:hAnsi="Times New Roman"/>
                <w:color w:val="auto"/>
                <w:sz w:val="24"/>
                <w:highlight w:val="none"/>
              </w:rPr>
              <w:t>5</w:t>
            </w:r>
            <w:r>
              <w:rPr>
                <w:rFonts w:ascii="Times New Roman" w:hAnsi="Times New Roman"/>
                <w:color w:val="auto"/>
                <w:sz w:val="24"/>
                <w:highlight w:val="none"/>
              </w:rPr>
              <w:t>年环境空气质量监测数据来看，上述污染物在对应评价指标下的现状浓度均达标。</w:t>
            </w:r>
          </w:p>
          <w:p w14:paraId="502392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（2）特征污染物</w:t>
            </w:r>
          </w:p>
          <w:p w14:paraId="1B7B0E27">
            <w:pPr>
              <w:snapToGrid w:val="0"/>
              <w:spacing w:line="360" w:lineRule="auto"/>
              <w:ind w:firstLine="480" w:firstLineChars="200"/>
              <w:rPr>
                <w:color w:val="auto"/>
                <w:sz w:val="24"/>
                <w:highlight w:val="none"/>
              </w:rPr>
            </w:pPr>
            <w:r>
              <w:rPr>
                <w:rFonts w:hint="eastAsia"/>
                <w:color w:val="auto"/>
                <w:sz w:val="24"/>
                <w:highlight w:val="none"/>
              </w:rPr>
              <w:t>本项目主要大气污染物为</w:t>
            </w:r>
            <w:r>
              <w:rPr>
                <w:rFonts w:hint="default" w:ascii="Times New Roman" w:hAnsi="Times New Roman" w:eastAsia="宋体" w:cs="Times New Roman"/>
                <w:color w:val="auto"/>
                <w:sz w:val="24"/>
                <w:szCs w:val="24"/>
                <w:highlight w:val="none"/>
                <w:lang w:val="en-US" w:eastAsia="zh-CN"/>
              </w:rPr>
              <w:t>氨、硫化氢、臭气浓度</w:t>
            </w:r>
            <w:r>
              <w:rPr>
                <w:rFonts w:hint="eastAsia"/>
                <w:color w:val="auto"/>
                <w:sz w:val="24"/>
                <w:highlight w:val="none"/>
              </w:rPr>
              <w:t>，建设单位委托汉环集团陕西名鸿检测有限公司</w:t>
            </w:r>
            <w:r>
              <w:rPr>
                <w:rFonts w:hint="eastAsia"/>
                <w:color w:val="auto"/>
                <w:sz w:val="24"/>
                <w:highlight w:val="none"/>
                <w:lang w:eastAsia="zh-CN"/>
              </w:rPr>
              <w:t>于</w:t>
            </w:r>
            <w:r>
              <w:rPr>
                <w:rFonts w:hint="default" w:ascii="Times New Roman" w:hAnsi="Times New Roman" w:eastAsia="宋体" w:cs="Times New Roman"/>
                <w:color w:val="auto"/>
                <w:sz w:val="24"/>
                <w:szCs w:val="24"/>
                <w:highlight w:val="none"/>
                <w:lang w:val="en-US" w:eastAsia="zh-CN"/>
              </w:rPr>
              <w:t>2024年</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月2</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日-3月</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日对</w:t>
            </w:r>
            <w:r>
              <w:rPr>
                <w:rFonts w:hint="eastAsia" w:cs="Times New Roman"/>
                <w:color w:val="auto"/>
                <w:sz w:val="24"/>
                <w:szCs w:val="24"/>
                <w:highlight w:val="none"/>
                <w:lang w:val="en-US" w:eastAsia="zh-CN"/>
              </w:rPr>
              <w:t>项目区</w:t>
            </w:r>
            <w:r>
              <w:rPr>
                <w:rFonts w:hint="default" w:ascii="Times New Roman" w:hAnsi="Times New Roman" w:eastAsia="宋体" w:cs="Times New Roman"/>
                <w:color w:val="auto"/>
                <w:sz w:val="24"/>
                <w:szCs w:val="24"/>
                <w:highlight w:val="none"/>
                <w:lang w:val="en-US" w:eastAsia="zh-CN"/>
              </w:rPr>
              <w:t>氨、硫化氢、臭气浓度进行了</w:t>
            </w:r>
            <w:r>
              <w:rPr>
                <w:rFonts w:hint="eastAsia"/>
                <w:color w:val="auto"/>
                <w:sz w:val="24"/>
                <w:highlight w:val="none"/>
              </w:rPr>
              <w:t>本底值监测，监测点位详见附图</w:t>
            </w:r>
            <w:r>
              <w:rPr>
                <w:rFonts w:hint="eastAsia"/>
                <w:color w:val="auto"/>
                <w:sz w:val="24"/>
                <w:highlight w:val="none"/>
                <w:lang w:val="en-US" w:eastAsia="zh-CN"/>
              </w:rPr>
              <w:t>4</w:t>
            </w:r>
            <w:r>
              <w:rPr>
                <w:rFonts w:hint="eastAsia"/>
                <w:color w:val="auto"/>
                <w:sz w:val="24"/>
                <w:highlight w:val="none"/>
              </w:rPr>
              <w:t>。监测结果见下表：</w:t>
            </w:r>
          </w:p>
          <w:p w14:paraId="550AB9EB">
            <w:pPr>
              <w:tabs>
                <w:tab w:val="left" w:leader="middleDot" w:pos="8399"/>
              </w:tabs>
              <w:jc w:val="center"/>
              <w:rPr>
                <w:b/>
                <w:color w:val="auto"/>
                <w:szCs w:val="21"/>
                <w:highlight w:val="none"/>
              </w:rPr>
            </w:pPr>
            <w:r>
              <w:rPr>
                <w:rFonts w:hint="eastAsia"/>
                <w:b/>
                <w:color w:val="auto"/>
                <w:szCs w:val="21"/>
                <w:highlight w:val="none"/>
              </w:rPr>
              <w:t>表3-</w:t>
            </w:r>
            <w:r>
              <w:rPr>
                <w:rFonts w:hint="eastAsia"/>
                <w:b/>
                <w:color w:val="auto"/>
                <w:szCs w:val="21"/>
                <w:highlight w:val="none"/>
                <w:lang w:val="en-US" w:eastAsia="zh-CN"/>
              </w:rPr>
              <w:t xml:space="preserve">2 </w:t>
            </w:r>
            <w:r>
              <w:rPr>
                <w:rFonts w:hint="eastAsia"/>
                <w:b/>
                <w:color w:val="auto"/>
                <w:szCs w:val="21"/>
                <w:highlight w:val="none"/>
              </w:rPr>
              <w:t xml:space="preserve"> </w:t>
            </w:r>
            <w:r>
              <w:rPr>
                <w:rFonts w:hint="eastAsia"/>
                <w:b/>
                <w:color w:val="auto"/>
                <w:szCs w:val="21"/>
                <w:highlight w:val="none"/>
                <w:lang w:eastAsia="zh-CN"/>
              </w:rPr>
              <w:t>特征</w:t>
            </w:r>
            <w:r>
              <w:rPr>
                <w:rFonts w:hint="eastAsia"/>
                <w:b/>
                <w:color w:val="auto"/>
                <w:szCs w:val="21"/>
                <w:highlight w:val="none"/>
              </w:rPr>
              <w:t>污染物监测点位基本信息表</w:t>
            </w:r>
          </w:p>
          <w:tbl>
            <w:tblPr>
              <w:tblStyle w:val="31"/>
              <w:tblW w:w="807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18"/>
              <w:gridCol w:w="2367"/>
              <w:gridCol w:w="1583"/>
              <w:gridCol w:w="1150"/>
              <w:gridCol w:w="1255"/>
            </w:tblGrid>
            <w:tr w14:paraId="2E8315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18" w:type="dxa"/>
                  <w:tcBorders>
                    <w:tl2br w:val="nil"/>
                    <w:tr2bl w:val="nil"/>
                  </w:tcBorders>
                  <w:vAlign w:val="center"/>
                </w:tcPr>
                <w:p w14:paraId="60AFF8AE">
                  <w:pPr>
                    <w:spacing w:beforeLines="30" w:afterLines="30"/>
                    <w:jc w:val="center"/>
                    <w:rPr>
                      <w:color w:val="auto"/>
                      <w:highlight w:val="none"/>
                    </w:rPr>
                  </w:pPr>
                  <w:r>
                    <w:rPr>
                      <w:rFonts w:hint="eastAsia"/>
                      <w:color w:val="auto"/>
                      <w:highlight w:val="none"/>
                    </w:rPr>
                    <w:t>监测点位</w:t>
                  </w:r>
                </w:p>
              </w:tc>
              <w:tc>
                <w:tcPr>
                  <w:tcW w:w="2367" w:type="dxa"/>
                  <w:tcBorders>
                    <w:tl2br w:val="nil"/>
                    <w:tr2bl w:val="nil"/>
                  </w:tcBorders>
                  <w:vAlign w:val="center"/>
                </w:tcPr>
                <w:p w14:paraId="02FCAB16">
                  <w:pPr>
                    <w:spacing w:beforeLines="30" w:afterLines="30"/>
                    <w:jc w:val="center"/>
                    <w:rPr>
                      <w:color w:val="auto"/>
                      <w:highlight w:val="none"/>
                    </w:rPr>
                  </w:pPr>
                  <w:r>
                    <w:rPr>
                      <w:rFonts w:hint="eastAsia"/>
                      <w:color w:val="auto"/>
                      <w:highlight w:val="none"/>
                    </w:rPr>
                    <w:t>监测因子</w:t>
                  </w:r>
                </w:p>
              </w:tc>
              <w:tc>
                <w:tcPr>
                  <w:tcW w:w="1583" w:type="dxa"/>
                  <w:tcBorders>
                    <w:tl2br w:val="nil"/>
                    <w:tr2bl w:val="nil"/>
                  </w:tcBorders>
                  <w:vAlign w:val="center"/>
                </w:tcPr>
                <w:p w14:paraId="39469104">
                  <w:pPr>
                    <w:spacing w:beforeLines="30" w:afterLines="30"/>
                    <w:jc w:val="center"/>
                    <w:rPr>
                      <w:color w:val="auto"/>
                      <w:highlight w:val="none"/>
                    </w:rPr>
                  </w:pPr>
                  <w:r>
                    <w:rPr>
                      <w:rFonts w:hint="eastAsia"/>
                      <w:color w:val="auto"/>
                      <w:highlight w:val="none"/>
                    </w:rPr>
                    <w:t>监测时段</w:t>
                  </w:r>
                </w:p>
              </w:tc>
              <w:tc>
                <w:tcPr>
                  <w:tcW w:w="1150" w:type="dxa"/>
                  <w:tcBorders>
                    <w:tl2br w:val="nil"/>
                    <w:tr2bl w:val="nil"/>
                  </w:tcBorders>
                  <w:vAlign w:val="center"/>
                </w:tcPr>
                <w:p w14:paraId="6AF32E4D">
                  <w:pPr>
                    <w:spacing w:beforeLines="30" w:afterLines="30"/>
                    <w:jc w:val="center"/>
                    <w:rPr>
                      <w:color w:val="auto"/>
                      <w:highlight w:val="none"/>
                    </w:rPr>
                  </w:pPr>
                  <w:r>
                    <w:rPr>
                      <w:rFonts w:hint="eastAsia"/>
                      <w:color w:val="auto"/>
                      <w:highlight w:val="none"/>
                    </w:rPr>
                    <w:t>相对位置</w:t>
                  </w:r>
                </w:p>
              </w:tc>
              <w:tc>
                <w:tcPr>
                  <w:tcW w:w="1255" w:type="dxa"/>
                  <w:tcBorders>
                    <w:tl2br w:val="nil"/>
                    <w:tr2bl w:val="nil"/>
                  </w:tcBorders>
                  <w:vAlign w:val="center"/>
                </w:tcPr>
                <w:p w14:paraId="173D0794">
                  <w:pPr>
                    <w:spacing w:beforeLines="30" w:afterLines="30"/>
                    <w:jc w:val="center"/>
                    <w:rPr>
                      <w:color w:val="auto"/>
                      <w:highlight w:val="none"/>
                    </w:rPr>
                  </w:pPr>
                  <w:r>
                    <w:rPr>
                      <w:rFonts w:hint="eastAsia"/>
                      <w:color w:val="auto"/>
                      <w:highlight w:val="none"/>
                    </w:rPr>
                    <w:t>相对距离</w:t>
                  </w:r>
                </w:p>
              </w:tc>
            </w:tr>
            <w:tr w14:paraId="3131D9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718" w:type="dxa"/>
                  <w:tcBorders>
                    <w:tl2br w:val="nil"/>
                    <w:tr2bl w:val="nil"/>
                  </w:tcBorders>
                  <w:vAlign w:val="center"/>
                </w:tcPr>
                <w:p w14:paraId="53AE2042">
                  <w:pPr>
                    <w:spacing w:beforeLines="30" w:afterLines="30"/>
                    <w:jc w:val="center"/>
                    <w:rPr>
                      <w:color w:val="auto"/>
                      <w:highlight w:val="none"/>
                    </w:rPr>
                  </w:pPr>
                  <w:r>
                    <w:rPr>
                      <w:rFonts w:hint="default" w:ascii="Times New Roman" w:hAnsi="Times New Roman" w:eastAsia="宋体" w:cs="Times New Roman"/>
                      <w:color w:val="auto"/>
                      <w:kern w:val="2"/>
                      <w:sz w:val="21"/>
                      <w:szCs w:val="21"/>
                      <w:highlight w:val="none"/>
                      <w:lang w:val="en-US" w:eastAsia="zh-CN" w:bidi="ar-SA"/>
                    </w:rPr>
                    <w:t>1#</w:t>
                  </w:r>
                  <w:r>
                    <w:rPr>
                      <w:rFonts w:hint="eastAsia" w:cs="Times New Roman"/>
                      <w:color w:val="auto"/>
                      <w:kern w:val="2"/>
                      <w:sz w:val="21"/>
                      <w:szCs w:val="21"/>
                      <w:highlight w:val="none"/>
                      <w:lang w:val="en-US" w:eastAsia="zh-CN" w:bidi="ar-SA"/>
                    </w:rPr>
                    <w:t>项目地下风向</w:t>
                  </w:r>
                </w:p>
              </w:tc>
              <w:tc>
                <w:tcPr>
                  <w:tcW w:w="2367" w:type="dxa"/>
                  <w:tcBorders>
                    <w:tl2br w:val="nil"/>
                    <w:tr2bl w:val="nil"/>
                  </w:tcBorders>
                  <w:vAlign w:val="center"/>
                </w:tcPr>
                <w:p w14:paraId="45FEAC3C">
                  <w:pPr>
                    <w:spacing w:beforeLines="30" w:afterLines="30"/>
                    <w:jc w:val="center"/>
                    <w:rPr>
                      <w:color w:val="auto"/>
                      <w:highlight w:val="none"/>
                    </w:rPr>
                  </w:pPr>
                  <w:r>
                    <w:rPr>
                      <w:rFonts w:hint="default"/>
                      <w:color w:val="auto"/>
                      <w:highlight w:val="none"/>
                      <w:lang w:val="en-US" w:eastAsia="zh-CN"/>
                    </w:rPr>
                    <w:t>氨、硫化氢、臭气浓度</w:t>
                  </w:r>
                </w:p>
              </w:tc>
              <w:tc>
                <w:tcPr>
                  <w:tcW w:w="1583" w:type="dxa"/>
                  <w:tcBorders>
                    <w:tl2br w:val="nil"/>
                    <w:tr2bl w:val="nil"/>
                  </w:tcBorders>
                  <w:vAlign w:val="center"/>
                </w:tcPr>
                <w:p w14:paraId="35E0F0E6">
                  <w:pPr>
                    <w:spacing w:beforeLines="30" w:afterLines="30"/>
                    <w:jc w:val="center"/>
                    <w:rPr>
                      <w:rFonts w:hint="default" w:eastAsia="宋体"/>
                      <w:color w:val="auto"/>
                      <w:highlight w:val="none"/>
                      <w:lang w:val="en-US" w:eastAsia="zh-CN"/>
                    </w:rPr>
                  </w:pPr>
                  <w:r>
                    <w:rPr>
                      <w:rFonts w:hint="eastAsia"/>
                      <w:color w:val="auto"/>
                      <w:highlight w:val="none"/>
                      <w:lang w:val="en-US" w:eastAsia="zh-CN"/>
                    </w:rPr>
                    <w:t>2024.2.28-3.1</w:t>
                  </w:r>
                </w:p>
              </w:tc>
              <w:tc>
                <w:tcPr>
                  <w:tcW w:w="1150" w:type="dxa"/>
                  <w:tcBorders>
                    <w:tl2br w:val="nil"/>
                    <w:tr2bl w:val="nil"/>
                  </w:tcBorders>
                  <w:vAlign w:val="center"/>
                </w:tcPr>
                <w:p w14:paraId="63C65413">
                  <w:pPr>
                    <w:spacing w:beforeLines="30" w:afterLines="30"/>
                    <w:jc w:val="center"/>
                    <w:rPr>
                      <w:color w:val="auto"/>
                      <w:highlight w:val="none"/>
                    </w:rPr>
                  </w:pPr>
                  <w:r>
                    <w:rPr>
                      <w:rFonts w:hint="eastAsia"/>
                      <w:color w:val="auto"/>
                      <w:highlight w:val="none"/>
                      <w:lang w:eastAsia="zh-CN"/>
                    </w:rPr>
                    <w:t>东南</w:t>
                  </w:r>
                  <w:r>
                    <w:rPr>
                      <w:rFonts w:hint="eastAsia"/>
                      <w:color w:val="auto"/>
                      <w:highlight w:val="none"/>
                    </w:rPr>
                    <w:t>侧</w:t>
                  </w:r>
                </w:p>
              </w:tc>
              <w:tc>
                <w:tcPr>
                  <w:tcW w:w="1255" w:type="dxa"/>
                  <w:tcBorders>
                    <w:tl2br w:val="nil"/>
                    <w:tr2bl w:val="nil"/>
                  </w:tcBorders>
                  <w:vAlign w:val="center"/>
                </w:tcPr>
                <w:p w14:paraId="64AF6266">
                  <w:pPr>
                    <w:spacing w:beforeLines="30" w:afterLines="30"/>
                    <w:jc w:val="center"/>
                    <w:rPr>
                      <w:color w:val="auto"/>
                      <w:highlight w:val="none"/>
                    </w:rPr>
                  </w:pPr>
                  <w:r>
                    <w:rPr>
                      <w:rFonts w:hint="eastAsia"/>
                      <w:color w:val="auto"/>
                      <w:highlight w:val="none"/>
                    </w:rPr>
                    <w:t>40</w:t>
                  </w:r>
                  <w:r>
                    <w:rPr>
                      <w:rFonts w:hint="eastAsia"/>
                      <w:color w:val="auto"/>
                      <w:highlight w:val="none"/>
                      <w:lang w:val="en-US" w:eastAsia="zh-CN"/>
                    </w:rPr>
                    <w:t>0</w:t>
                  </w:r>
                  <w:r>
                    <w:rPr>
                      <w:rFonts w:hint="eastAsia"/>
                      <w:color w:val="auto"/>
                      <w:highlight w:val="none"/>
                    </w:rPr>
                    <w:t>m</w:t>
                  </w:r>
                </w:p>
              </w:tc>
            </w:tr>
          </w:tbl>
          <w:p w14:paraId="33D874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表</w:t>
            </w:r>
            <w:r>
              <w:rPr>
                <w:rFonts w:hint="default" w:ascii="Times New Roman" w:hAnsi="Times New Roman" w:cs="Times New Roman"/>
                <w:b/>
                <w:bCs/>
                <w:color w:val="auto"/>
                <w:szCs w:val="24"/>
                <w:highlight w:val="none"/>
                <w:lang w:val="en-US" w:eastAsia="zh-CN"/>
              </w:rPr>
              <w:t>3</w:t>
            </w:r>
            <w:r>
              <w:rPr>
                <w:rFonts w:hint="default" w:ascii="Times New Roman" w:hAnsi="Times New Roman" w:cs="Times New Roman"/>
                <w:b/>
                <w:bCs/>
                <w:color w:val="auto"/>
                <w:szCs w:val="24"/>
                <w:highlight w:val="none"/>
              </w:rPr>
              <w:t>-</w:t>
            </w:r>
            <w:r>
              <w:rPr>
                <w:rFonts w:hint="eastAsia" w:cs="Times New Roman"/>
                <w:b/>
                <w:bCs/>
                <w:color w:val="auto"/>
                <w:szCs w:val="24"/>
                <w:highlight w:val="none"/>
                <w:lang w:val="en-US" w:eastAsia="zh-CN"/>
              </w:rPr>
              <w:t>3</w:t>
            </w:r>
            <w:r>
              <w:rPr>
                <w:rFonts w:hint="default" w:ascii="Times New Roman" w:hAnsi="Times New Roman" w:cs="Times New Roman"/>
                <w:b/>
                <w:bCs/>
                <w:color w:val="auto"/>
                <w:szCs w:val="24"/>
                <w:highlight w:val="none"/>
              </w:rPr>
              <w:t xml:space="preserve">  </w:t>
            </w:r>
            <w:r>
              <w:rPr>
                <w:rFonts w:hint="default" w:ascii="Times New Roman" w:hAnsi="Times New Roman" w:cs="Times New Roman"/>
                <w:b/>
                <w:bCs/>
                <w:color w:val="auto"/>
                <w:szCs w:val="24"/>
                <w:highlight w:val="none"/>
                <w:lang w:eastAsia="zh-CN"/>
              </w:rPr>
              <w:t>环境空气监测</w:t>
            </w:r>
            <w:r>
              <w:rPr>
                <w:rFonts w:hint="default" w:ascii="Times New Roman" w:hAnsi="Times New Roman" w:cs="Times New Roman"/>
                <w:b/>
                <w:bCs/>
                <w:color w:val="auto"/>
                <w:szCs w:val="24"/>
                <w:highlight w:val="none"/>
              </w:rPr>
              <w:t>结果一览表    mg/m</w:t>
            </w:r>
            <w:r>
              <w:rPr>
                <w:rFonts w:hint="default" w:ascii="Times New Roman" w:hAnsi="Times New Roman" w:cs="Times New Roman"/>
                <w:b/>
                <w:bCs/>
                <w:color w:val="auto"/>
                <w:szCs w:val="24"/>
                <w:highlight w:val="none"/>
                <w:vertAlign w:val="superscript"/>
              </w:rPr>
              <w:t>3</w:t>
            </w:r>
          </w:p>
          <w:tbl>
            <w:tblPr>
              <w:tblStyle w:val="31"/>
              <w:tblW w:w="8075"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35"/>
              <w:gridCol w:w="1084"/>
              <w:gridCol w:w="776"/>
              <w:gridCol w:w="1197"/>
              <w:gridCol w:w="1453"/>
              <w:gridCol w:w="1119"/>
              <w:gridCol w:w="831"/>
              <w:gridCol w:w="680"/>
            </w:tblGrid>
            <w:tr w14:paraId="6CE221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935" w:type="dxa"/>
                  <w:tcBorders>
                    <w:tl2br w:val="nil"/>
                    <w:tr2bl w:val="nil"/>
                  </w:tcBorders>
                  <w:noWrap w:val="0"/>
                  <w:vAlign w:val="center"/>
                </w:tcPr>
                <w:p w14:paraId="5DA4EB86">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监测点</w:t>
                  </w:r>
                </w:p>
              </w:tc>
              <w:tc>
                <w:tcPr>
                  <w:tcW w:w="1084" w:type="dxa"/>
                  <w:tcBorders>
                    <w:tl2br w:val="nil"/>
                    <w:tr2bl w:val="nil"/>
                  </w:tcBorders>
                  <w:noWrap w:val="0"/>
                  <w:vAlign w:val="center"/>
                </w:tcPr>
                <w:p w14:paraId="10C00394">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污染物</w:t>
                  </w:r>
                </w:p>
              </w:tc>
              <w:tc>
                <w:tcPr>
                  <w:tcW w:w="776" w:type="dxa"/>
                  <w:tcBorders>
                    <w:tl2br w:val="nil"/>
                    <w:tr2bl w:val="nil"/>
                  </w:tcBorders>
                  <w:noWrap w:val="0"/>
                  <w:vAlign w:val="center"/>
                </w:tcPr>
                <w:p w14:paraId="6FE03223">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平均</w:t>
                  </w:r>
                </w:p>
                <w:p w14:paraId="31F55CA5">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时间</w:t>
                  </w:r>
                </w:p>
              </w:tc>
              <w:tc>
                <w:tcPr>
                  <w:tcW w:w="1197" w:type="dxa"/>
                  <w:tcBorders>
                    <w:tl2br w:val="nil"/>
                    <w:tr2bl w:val="nil"/>
                  </w:tcBorders>
                  <w:noWrap w:val="0"/>
                  <w:vAlign w:val="center"/>
                </w:tcPr>
                <w:p w14:paraId="10B0987E">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评价标准（mg/m</w:t>
                  </w:r>
                  <w:r>
                    <w:rPr>
                      <w:rFonts w:hint="default" w:ascii="Times New Roman" w:hAnsi="Times New Roman" w:cs="Times New Roman"/>
                      <w:b w:val="0"/>
                      <w:bCs w:val="0"/>
                      <w:snapToGrid w:val="0"/>
                      <w:color w:val="auto"/>
                      <w:kern w:val="0"/>
                      <w:sz w:val="21"/>
                      <w:szCs w:val="21"/>
                      <w:highlight w:val="none"/>
                      <w:vertAlign w:val="superscript"/>
                    </w:rPr>
                    <w:t>3</w:t>
                  </w:r>
                  <w:r>
                    <w:rPr>
                      <w:rFonts w:hint="default" w:ascii="Times New Roman" w:hAnsi="Times New Roman" w:cs="Times New Roman"/>
                      <w:b w:val="0"/>
                      <w:bCs w:val="0"/>
                      <w:snapToGrid w:val="0"/>
                      <w:color w:val="auto"/>
                      <w:kern w:val="0"/>
                      <w:sz w:val="21"/>
                      <w:szCs w:val="21"/>
                      <w:highlight w:val="none"/>
                    </w:rPr>
                    <w:t>）</w:t>
                  </w:r>
                </w:p>
              </w:tc>
              <w:tc>
                <w:tcPr>
                  <w:tcW w:w="1453" w:type="dxa"/>
                  <w:tcBorders>
                    <w:tl2br w:val="nil"/>
                    <w:tr2bl w:val="nil"/>
                  </w:tcBorders>
                  <w:noWrap w:val="0"/>
                  <w:vAlign w:val="center"/>
                </w:tcPr>
                <w:p w14:paraId="0BF8B81B">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监测浓度范围（mg/m</w:t>
                  </w:r>
                  <w:r>
                    <w:rPr>
                      <w:rFonts w:hint="default" w:ascii="Times New Roman" w:hAnsi="Times New Roman" w:cs="Times New Roman"/>
                      <w:b w:val="0"/>
                      <w:bCs w:val="0"/>
                      <w:snapToGrid w:val="0"/>
                      <w:color w:val="auto"/>
                      <w:kern w:val="0"/>
                      <w:sz w:val="21"/>
                      <w:szCs w:val="21"/>
                      <w:highlight w:val="none"/>
                      <w:vertAlign w:val="superscript"/>
                    </w:rPr>
                    <w:t>3</w:t>
                  </w:r>
                  <w:r>
                    <w:rPr>
                      <w:rFonts w:hint="default" w:ascii="Times New Roman" w:hAnsi="Times New Roman" w:cs="Times New Roman"/>
                      <w:b w:val="0"/>
                      <w:bCs w:val="0"/>
                      <w:snapToGrid w:val="0"/>
                      <w:color w:val="auto"/>
                      <w:kern w:val="0"/>
                      <w:sz w:val="21"/>
                      <w:szCs w:val="21"/>
                      <w:highlight w:val="none"/>
                    </w:rPr>
                    <w:t>）</w:t>
                  </w:r>
                </w:p>
              </w:tc>
              <w:tc>
                <w:tcPr>
                  <w:tcW w:w="1119" w:type="dxa"/>
                  <w:tcBorders>
                    <w:tl2br w:val="nil"/>
                    <w:tr2bl w:val="nil"/>
                  </w:tcBorders>
                  <w:noWrap w:val="0"/>
                  <w:vAlign w:val="center"/>
                </w:tcPr>
                <w:p w14:paraId="7F8FDF3D">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最大浓度占标率/%</w:t>
                  </w:r>
                </w:p>
              </w:tc>
              <w:tc>
                <w:tcPr>
                  <w:tcW w:w="831" w:type="dxa"/>
                  <w:tcBorders>
                    <w:tl2br w:val="nil"/>
                    <w:tr2bl w:val="nil"/>
                  </w:tcBorders>
                  <w:noWrap w:val="0"/>
                  <w:vAlign w:val="center"/>
                </w:tcPr>
                <w:p w14:paraId="4D24EDAA">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超标率/%</w:t>
                  </w:r>
                </w:p>
              </w:tc>
              <w:tc>
                <w:tcPr>
                  <w:tcW w:w="680" w:type="dxa"/>
                  <w:tcBorders>
                    <w:tl2br w:val="nil"/>
                    <w:tr2bl w:val="nil"/>
                  </w:tcBorders>
                  <w:noWrap w:val="0"/>
                  <w:vAlign w:val="center"/>
                </w:tcPr>
                <w:p w14:paraId="26EB4527">
                  <w:pPr>
                    <w:pStyle w:val="5"/>
                    <w:spacing w:line="300" w:lineRule="exact"/>
                    <w:ind w:firstLine="0" w:firstLineChars="0"/>
                    <w:jc w:val="center"/>
                    <w:rPr>
                      <w:rFonts w:hint="default" w:ascii="Times New Roman" w:hAnsi="Times New Roman" w:cs="Times New Roman"/>
                      <w:b w:val="0"/>
                      <w:bCs w:val="0"/>
                      <w:snapToGrid w:val="0"/>
                      <w:color w:val="auto"/>
                      <w:kern w:val="0"/>
                      <w:sz w:val="21"/>
                      <w:szCs w:val="21"/>
                      <w:highlight w:val="none"/>
                    </w:rPr>
                  </w:pPr>
                  <w:r>
                    <w:rPr>
                      <w:rFonts w:hint="default" w:ascii="Times New Roman" w:hAnsi="Times New Roman" w:cs="Times New Roman"/>
                      <w:b w:val="0"/>
                      <w:bCs w:val="0"/>
                      <w:snapToGrid w:val="0"/>
                      <w:color w:val="auto"/>
                      <w:kern w:val="0"/>
                      <w:sz w:val="21"/>
                      <w:szCs w:val="21"/>
                      <w:highlight w:val="none"/>
                    </w:rPr>
                    <w:t>达标情况</w:t>
                  </w:r>
                </w:p>
              </w:tc>
            </w:tr>
            <w:tr w14:paraId="565F97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3" w:hRule="atLeast"/>
                <w:jc w:val="center"/>
              </w:trPr>
              <w:tc>
                <w:tcPr>
                  <w:tcW w:w="935" w:type="dxa"/>
                  <w:vMerge w:val="restart"/>
                  <w:tcBorders>
                    <w:tl2br w:val="nil"/>
                    <w:tr2bl w:val="nil"/>
                  </w:tcBorders>
                  <w:noWrap w:val="0"/>
                  <w:vAlign w:val="center"/>
                </w:tcPr>
                <w:p w14:paraId="0195CE6F">
                  <w:pPr>
                    <w:adjustRightInd w:val="0"/>
                    <w:snapToGrid w:val="0"/>
                    <w:spacing w:line="180" w:lineRule="atLeast"/>
                    <w:jc w:val="center"/>
                    <w:rPr>
                      <w:rFonts w:hint="default" w:ascii="Times New Roman" w:hAnsi="Times New Roman" w:eastAsia="宋体" w:cs="Times New Roman"/>
                      <w:snapToGrid w:val="0"/>
                      <w:color w:val="auto"/>
                      <w:kern w:val="0"/>
                      <w:sz w:val="21"/>
                      <w:szCs w:val="21"/>
                      <w:highlight w:val="none"/>
                      <w:lang w:val="en-US"/>
                    </w:rPr>
                  </w:pPr>
                  <w:r>
                    <w:rPr>
                      <w:rFonts w:hint="default" w:ascii="Times New Roman" w:hAnsi="Times New Roman" w:eastAsia="宋体" w:cs="Times New Roman"/>
                      <w:color w:val="auto"/>
                      <w:kern w:val="2"/>
                      <w:sz w:val="21"/>
                      <w:szCs w:val="21"/>
                      <w:highlight w:val="none"/>
                      <w:lang w:val="en-US" w:eastAsia="zh-CN" w:bidi="ar-SA"/>
                    </w:rPr>
                    <w:t>1#</w:t>
                  </w:r>
                  <w:r>
                    <w:rPr>
                      <w:rFonts w:hint="eastAsia" w:cs="Times New Roman"/>
                      <w:color w:val="auto"/>
                      <w:kern w:val="2"/>
                      <w:sz w:val="21"/>
                      <w:szCs w:val="21"/>
                      <w:highlight w:val="none"/>
                      <w:lang w:val="en-US" w:eastAsia="zh-CN" w:bidi="ar-SA"/>
                    </w:rPr>
                    <w:t>项目地下风向</w:t>
                  </w:r>
                </w:p>
              </w:tc>
              <w:tc>
                <w:tcPr>
                  <w:tcW w:w="1084" w:type="dxa"/>
                  <w:tcBorders>
                    <w:tl2br w:val="nil"/>
                    <w:tr2bl w:val="nil"/>
                  </w:tcBorders>
                  <w:noWrap w:val="0"/>
                  <w:vAlign w:val="center"/>
                </w:tcPr>
                <w:p w14:paraId="01EE9E2D">
                  <w:pPr>
                    <w:pStyle w:val="73"/>
                    <w:spacing w:line="300" w:lineRule="exact"/>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lang w:eastAsia="zh-CN"/>
                    </w:rPr>
                    <w:t>硫化氢</w:t>
                  </w:r>
                </w:p>
              </w:tc>
              <w:tc>
                <w:tcPr>
                  <w:tcW w:w="776" w:type="dxa"/>
                  <w:vMerge w:val="restart"/>
                  <w:tcBorders>
                    <w:tl2br w:val="nil"/>
                    <w:tr2bl w:val="nil"/>
                  </w:tcBorders>
                  <w:noWrap w:val="0"/>
                  <w:vAlign w:val="center"/>
                </w:tcPr>
                <w:p w14:paraId="1C31A427">
                  <w:pPr>
                    <w:pStyle w:val="73"/>
                    <w:spacing w:line="300" w:lineRule="exact"/>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1h</w:t>
                  </w:r>
                </w:p>
                <w:p w14:paraId="7CA2BB47">
                  <w:pPr>
                    <w:pStyle w:val="73"/>
                    <w:spacing w:line="300" w:lineRule="exact"/>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平均</w:t>
                  </w:r>
                </w:p>
              </w:tc>
              <w:tc>
                <w:tcPr>
                  <w:tcW w:w="1197" w:type="dxa"/>
                  <w:tcBorders>
                    <w:tl2br w:val="nil"/>
                    <w:tr2bl w:val="nil"/>
                  </w:tcBorders>
                  <w:noWrap w:val="0"/>
                  <w:vAlign w:val="center"/>
                </w:tcPr>
                <w:p w14:paraId="61BBFC5D">
                  <w:pPr>
                    <w:pStyle w:val="5"/>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0.01</w:t>
                  </w:r>
                </w:p>
              </w:tc>
              <w:tc>
                <w:tcPr>
                  <w:tcW w:w="1453" w:type="dxa"/>
                  <w:tcBorders>
                    <w:tl2br w:val="nil"/>
                    <w:tr2bl w:val="nil"/>
                  </w:tcBorders>
                  <w:noWrap w:val="0"/>
                  <w:vAlign w:val="center"/>
                </w:tcPr>
                <w:p w14:paraId="176B0E47">
                  <w:pPr>
                    <w:pStyle w:val="5"/>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0.00</w:t>
                  </w:r>
                  <w:r>
                    <w:rPr>
                      <w:rFonts w:hint="eastAsia" w:cs="Times New Roman"/>
                      <w:color w:val="auto"/>
                      <w:kern w:val="2"/>
                      <w:sz w:val="21"/>
                      <w:szCs w:val="21"/>
                      <w:highlight w:val="none"/>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~0.00</w:t>
                  </w:r>
                  <w:r>
                    <w:rPr>
                      <w:rFonts w:hint="eastAsia" w:cs="Times New Roman"/>
                      <w:color w:val="auto"/>
                      <w:kern w:val="2"/>
                      <w:sz w:val="21"/>
                      <w:szCs w:val="21"/>
                      <w:highlight w:val="none"/>
                      <w:lang w:val="en-US" w:eastAsia="zh-CN" w:bidi="ar-SA"/>
                    </w:rPr>
                    <w:t>9</w:t>
                  </w:r>
                </w:p>
              </w:tc>
              <w:tc>
                <w:tcPr>
                  <w:tcW w:w="1119" w:type="dxa"/>
                  <w:tcBorders>
                    <w:tl2br w:val="nil"/>
                    <w:tr2bl w:val="nil"/>
                  </w:tcBorders>
                  <w:noWrap w:val="0"/>
                  <w:vAlign w:val="center"/>
                </w:tcPr>
                <w:p w14:paraId="4AC126BD">
                  <w:pPr>
                    <w:pStyle w:val="5"/>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9</w:t>
                  </w:r>
                  <w:r>
                    <w:rPr>
                      <w:rFonts w:hint="default" w:ascii="Times New Roman" w:hAnsi="Times New Roman" w:eastAsia="宋体" w:cs="Times New Roman"/>
                      <w:snapToGrid w:val="0"/>
                      <w:color w:val="auto"/>
                      <w:kern w:val="0"/>
                      <w:sz w:val="21"/>
                      <w:szCs w:val="21"/>
                      <w:highlight w:val="none"/>
                      <w:lang w:val="en-US" w:eastAsia="zh-CN"/>
                    </w:rPr>
                    <w:t>0</w:t>
                  </w:r>
                </w:p>
              </w:tc>
              <w:tc>
                <w:tcPr>
                  <w:tcW w:w="831" w:type="dxa"/>
                  <w:tcBorders>
                    <w:tl2br w:val="nil"/>
                    <w:tr2bl w:val="nil"/>
                  </w:tcBorders>
                  <w:noWrap w:val="0"/>
                  <w:vAlign w:val="center"/>
                </w:tcPr>
                <w:p w14:paraId="4F120779">
                  <w:pPr>
                    <w:pStyle w:val="5"/>
                    <w:spacing w:line="300" w:lineRule="exact"/>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0</w:t>
                  </w:r>
                </w:p>
              </w:tc>
              <w:tc>
                <w:tcPr>
                  <w:tcW w:w="680" w:type="dxa"/>
                  <w:tcBorders>
                    <w:tl2br w:val="nil"/>
                    <w:tr2bl w:val="nil"/>
                  </w:tcBorders>
                  <w:noWrap w:val="0"/>
                  <w:vAlign w:val="center"/>
                </w:tcPr>
                <w:p w14:paraId="4C23AEB7">
                  <w:pPr>
                    <w:pStyle w:val="5"/>
                    <w:spacing w:line="300" w:lineRule="exact"/>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达标</w:t>
                  </w:r>
                </w:p>
              </w:tc>
            </w:tr>
            <w:tr w14:paraId="5C5B89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3" w:hRule="atLeast"/>
                <w:jc w:val="center"/>
              </w:trPr>
              <w:tc>
                <w:tcPr>
                  <w:tcW w:w="935" w:type="dxa"/>
                  <w:vMerge w:val="continue"/>
                  <w:tcBorders>
                    <w:tl2br w:val="nil"/>
                    <w:tr2bl w:val="nil"/>
                  </w:tcBorders>
                  <w:noWrap w:val="0"/>
                  <w:vAlign w:val="center"/>
                </w:tcPr>
                <w:p w14:paraId="3F67EA1C">
                  <w:pPr>
                    <w:pStyle w:val="73"/>
                    <w:spacing w:line="300" w:lineRule="exact"/>
                    <w:rPr>
                      <w:rFonts w:hint="default" w:ascii="Times New Roman" w:hAnsi="Times New Roman" w:eastAsia="宋体" w:cs="Times New Roman"/>
                      <w:snapToGrid w:val="0"/>
                      <w:color w:val="auto"/>
                      <w:kern w:val="0"/>
                      <w:sz w:val="21"/>
                      <w:szCs w:val="21"/>
                      <w:highlight w:val="none"/>
                    </w:rPr>
                  </w:pPr>
                </w:p>
              </w:tc>
              <w:tc>
                <w:tcPr>
                  <w:tcW w:w="1084" w:type="dxa"/>
                  <w:tcBorders>
                    <w:tl2br w:val="nil"/>
                    <w:tr2bl w:val="nil"/>
                  </w:tcBorders>
                  <w:noWrap w:val="0"/>
                  <w:vAlign w:val="center"/>
                </w:tcPr>
                <w:p w14:paraId="484DBBB0">
                  <w:pPr>
                    <w:pStyle w:val="73"/>
                    <w:spacing w:line="300" w:lineRule="exact"/>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lang w:eastAsia="zh-CN"/>
                    </w:rPr>
                    <w:t>氨</w:t>
                  </w:r>
                </w:p>
              </w:tc>
              <w:tc>
                <w:tcPr>
                  <w:tcW w:w="776" w:type="dxa"/>
                  <w:vMerge w:val="continue"/>
                  <w:tcBorders>
                    <w:tl2br w:val="nil"/>
                    <w:tr2bl w:val="nil"/>
                  </w:tcBorders>
                  <w:noWrap w:val="0"/>
                  <w:vAlign w:val="center"/>
                </w:tcPr>
                <w:p w14:paraId="1B79CE43">
                  <w:pPr>
                    <w:pStyle w:val="73"/>
                    <w:spacing w:line="300" w:lineRule="exact"/>
                    <w:rPr>
                      <w:rFonts w:hint="default" w:ascii="Times New Roman" w:hAnsi="Times New Roman" w:eastAsia="宋体" w:cs="Times New Roman"/>
                      <w:snapToGrid w:val="0"/>
                      <w:color w:val="auto"/>
                      <w:kern w:val="0"/>
                      <w:sz w:val="21"/>
                      <w:szCs w:val="21"/>
                      <w:highlight w:val="none"/>
                    </w:rPr>
                  </w:pPr>
                </w:p>
              </w:tc>
              <w:tc>
                <w:tcPr>
                  <w:tcW w:w="1197" w:type="dxa"/>
                  <w:tcBorders>
                    <w:tl2br w:val="nil"/>
                    <w:tr2bl w:val="nil"/>
                  </w:tcBorders>
                  <w:noWrap w:val="0"/>
                  <w:vAlign w:val="center"/>
                </w:tcPr>
                <w:p w14:paraId="0CBA08CC">
                  <w:pPr>
                    <w:pStyle w:val="5"/>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0.2</w:t>
                  </w:r>
                </w:p>
              </w:tc>
              <w:tc>
                <w:tcPr>
                  <w:tcW w:w="1453" w:type="dxa"/>
                  <w:tcBorders>
                    <w:tl2br w:val="nil"/>
                    <w:tr2bl w:val="nil"/>
                  </w:tcBorders>
                  <w:noWrap w:val="0"/>
                  <w:vAlign w:val="center"/>
                </w:tcPr>
                <w:p w14:paraId="668F9123">
                  <w:pPr>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color w:val="auto"/>
                      <w:kern w:val="2"/>
                      <w:sz w:val="21"/>
                      <w:szCs w:val="21"/>
                      <w:highlight w:val="none"/>
                      <w:lang w:val="en-US" w:eastAsia="zh-CN" w:bidi="ar-SA"/>
                    </w:rPr>
                    <w:t>0.0</w:t>
                  </w:r>
                  <w:r>
                    <w:rPr>
                      <w:rFonts w:hint="eastAsia" w:cs="Times New Roman"/>
                      <w:color w:val="auto"/>
                      <w:kern w:val="2"/>
                      <w:sz w:val="21"/>
                      <w:szCs w:val="21"/>
                      <w:highlight w:val="none"/>
                      <w:lang w:val="en-US" w:eastAsia="zh-CN" w:bidi="ar-SA"/>
                    </w:rPr>
                    <w:t>9</w:t>
                  </w:r>
                  <w:r>
                    <w:rPr>
                      <w:rFonts w:hint="default" w:ascii="Times New Roman" w:hAnsi="Times New Roman" w:cs="Times New Roman"/>
                      <w:color w:val="auto"/>
                      <w:kern w:val="2"/>
                      <w:sz w:val="21"/>
                      <w:szCs w:val="21"/>
                      <w:highlight w:val="none"/>
                      <w:lang w:val="en-US" w:eastAsia="zh-CN" w:bidi="ar-SA"/>
                    </w:rPr>
                    <w:t>~0.1</w:t>
                  </w:r>
                  <w:r>
                    <w:rPr>
                      <w:rFonts w:hint="eastAsia" w:cs="Times New Roman"/>
                      <w:color w:val="auto"/>
                      <w:kern w:val="2"/>
                      <w:sz w:val="21"/>
                      <w:szCs w:val="21"/>
                      <w:highlight w:val="none"/>
                      <w:lang w:val="en-US" w:eastAsia="zh-CN" w:bidi="ar-SA"/>
                    </w:rPr>
                    <w:t>8</w:t>
                  </w:r>
                </w:p>
              </w:tc>
              <w:tc>
                <w:tcPr>
                  <w:tcW w:w="1119" w:type="dxa"/>
                  <w:tcBorders>
                    <w:tl2br w:val="nil"/>
                    <w:tr2bl w:val="nil"/>
                  </w:tcBorders>
                  <w:noWrap w:val="0"/>
                  <w:vAlign w:val="center"/>
                </w:tcPr>
                <w:p w14:paraId="6EB2B5E6">
                  <w:pPr>
                    <w:pStyle w:val="5"/>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90</w:t>
                  </w:r>
                </w:p>
              </w:tc>
              <w:tc>
                <w:tcPr>
                  <w:tcW w:w="831" w:type="dxa"/>
                  <w:tcBorders>
                    <w:tl2br w:val="nil"/>
                    <w:tr2bl w:val="nil"/>
                  </w:tcBorders>
                  <w:noWrap w:val="0"/>
                  <w:vAlign w:val="center"/>
                </w:tcPr>
                <w:p w14:paraId="1F125281">
                  <w:pPr>
                    <w:pStyle w:val="5"/>
                    <w:spacing w:line="300" w:lineRule="exact"/>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0</w:t>
                  </w:r>
                </w:p>
              </w:tc>
              <w:tc>
                <w:tcPr>
                  <w:tcW w:w="680" w:type="dxa"/>
                  <w:tcBorders>
                    <w:tl2br w:val="nil"/>
                    <w:tr2bl w:val="nil"/>
                  </w:tcBorders>
                  <w:noWrap w:val="0"/>
                  <w:vAlign w:val="center"/>
                </w:tcPr>
                <w:p w14:paraId="75DB171D">
                  <w:pPr>
                    <w:pStyle w:val="5"/>
                    <w:spacing w:line="300" w:lineRule="exact"/>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达标</w:t>
                  </w:r>
                </w:p>
              </w:tc>
            </w:tr>
            <w:tr w14:paraId="40D8AD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3" w:hRule="atLeast"/>
                <w:jc w:val="center"/>
              </w:trPr>
              <w:tc>
                <w:tcPr>
                  <w:tcW w:w="935" w:type="dxa"/>
                  <w:vMerge w:val="continue"/>
                  <w:tcBorders>
                    <w:tl2br w:val="nil"/>
                    <w:tr2bl w:val="nil"/>
                  </w:tcBorders>
                  <w:noWrap w:val="0"/>
                  <w:vAlign w:val="center"/>
                </w:tcPr>
                <w:p w14:paraId="4C3320F7">
                  <w:pPr>
                    <w:pStyle w:val="73"/>
                    <w:spacing w:line="300" w:lineRule="exact"/>
                    <w:rPr>
                      <w:rFonts w:hint="default" w:ascii="Times New Roman" w:hAnsi="Times New Roman" w:eastAsia="宋体" w:cs="Times New Roman"/>
                      <w:snapToGrid w:val="0"/>
                      <w:color w:val="auto"/>
                      <w:kern w:val="0"/>
                      <w:sz w:val="21"/>
                      <w:szCs w:val="21"/>
                      <w:highlight w:val="none"/>
                    </w:rPr>
                  </w:pPr>
                </w:p>
              </w:tc>
              <w:tc>
                <w:tcPr>
                  <w:tcW w:w="1084" w:type="dxa"/>
                  <w:tcBorders>
                    <w:tl2br w:val="nil"/>
                    <w:tr2bl w:val="nil"/>
                  </w:tcBorders>
                  <w:noWrap w:val="0"/>
                  <w:vAlign w:val="center"/>
                </w:tcPr>
                <w:p w14:paraId="5A77D934">
                  <w:pPr>
                    <w:pStyle w:val="73"/>
                    <w:spacing w:line="300" w:lineRule="exact"/>
                    <w:rPr>
                      <w:rFonts w:hint="default" w:ascii="Times New Roman" w:hAnsi="Times New Roman" w:eastAsia="宋体" w:cs="Times New Roman"/>
                      <w:snapToGrid w:val="0"/>
                      <w:color w:val="auto"/>
                      <w:kern w:val="0"/>
                      <w:sz w:val="21"/>
                      <w:szCs w:val="21"/>
                      <w:highlight w:val="none"/>
                      <w:lang w:eastAsia="zh-CN"/>
                    </w:rPr>
                  </w:pPr>
                  <w:r>
                    <w:rPr>
                      <w:rFonts w:hint="default" w:ascii="Times New Roman" w:hAnsi="Times New Roman" w:eastAsia="宋体" w:cs="Times New Roman"/>
                      <w:snapToGrid w:val="0"/>
                      <w:color w:val="auto"/>
                      <w:kern w:val="0"/>
                      <w:sz w:val="21"/>
                      <w:szCs w:val="21"/>
                      <w:highlight w:val="none"/>
                      <w:lang w:eastAsia="zh-CN"/>
                    </w:rPr>
                    <w:t>臭气浓度</w:t>
                  </w:r>
                </w:p>
              </w:tc>
              <w:tc>
                <w:tcPr>
                  <w:tcW w:w="776" w:type="dxa"/>
                  <w:vMerge w:val="continue"/>
                  <w:tcBorders>
                    <w:tl2br w:val="nil"/>
                    <w:tr2bl w:val="nil"/>
                  </w:tcBorders>
                  <w:noWrap w:val="0"/>
                  <w:vAlign w:val="center"/>
                </w:tcPr>
                <w:p w14:paraId="37281367">
                  <w:pPr>
                    <w:pStyle w:val="73"/>
                    <w:spacing w:line="300" w:lineRule="exact"/>
                    <w:rPr>
                      <w:rFonts w:hint="default" w:ascii="Times New Roman" w:hAnsi="Times New Roman" w:eastAsia="宋体" w:cs="Times New Roman"/>
                      <w:snapToGrid w:val="0"/>
                      <w:color w:val="auto"/>
                      <w:kern w:val="0"/>
                      <w:sz w:val="21"/>
                      <w:szCs w:val="21"/>
                      <w:highlight w:val="none"/>
                    </w:rPr>
                  </w:pPr>
                </w:p>
              </w:tc>
              <w:tc>
                <w:tcPr>
                  <w:tcW w:w="1197" w:type="dxa"/>
                  <w:tcBorders>
                    <w:tl2br w:val="nil"/>
                    <w:tr2bl w:val="nil"/>
                  </w:tcBorders>
                  <w:noWrap w:val="0"/>
                  <w:vAlign w:val="center"/>
                </w:tcPr>
                <w:p w14:paraId="115478FE">
                  <w:pPr>
                    <w:pStyle w:val="5"/>
                    <w:spacing w:line="300" w:lineRule="exact"/>
                    <w:ind w:firstLine="0" w:firstLine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w:t>
                  </w:r>
                </w:p>
              </w:tc>
              <w:tc>
                <w:tcPr>
                  <w:tcW w:w="1453" w:type="dxa"/>
                  <w:tcBorders>
                    <w:tl2br w:val="nil"/>
                    <w:tr2bl w:val="nil"/>
                  </w:tcBorders>
                  <w:noWrap w:val="0"/>
                  <w:vAlign w:val="center"/>
                </w:tcPr>
                <w:p w14:paraId="748DC49A">
                  <w:pPr>
                    <w:spacing w:line="300" w:lineRule="exact"/>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＜10</w:t>
                  </w:r>
                </w:p>
              </w:tc>
              <w:tc>
                <w:tcPr>
                  <w:tcW w:w="1119" w:type="dxa"/>
                  <w:tcBorders>
                    <w:tl2br w:val="nil"/>
                    <w:tr2bl w:val="nil"/>
                  </w:tcBorders>
                  <w:noWrap w:val="0"/>
                  <w:vAlign w:val="center"/>
                </w:tcPr>
                <w:p w14:paraId="4B87763B">
                  <w:pPr>
                    <w:pStyle w:val="5"/>
                    <w:spacing w:line="300" w:lineRule="exact"/>
                    <w:ind w:firstLine="0" w:firstLine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w:t>
                  </w:r>
                </w:p>
              </w:tc>
              <w:tc>
                <w:tcPr>
                  <w:tcW w:w="831" w:type="dxa"/>
                  <w:tcBorders>
                    <w:tl2br w:val="nil"/>
                    <w:tr2bl w:val="nil"/>
                  </w:tcBorders>
                  <w:noWrap w:val="0"/>
                  <w:vAlign w:val="center"/>
                </w:tcPr>
                <w:p w14:paraId="083481C5">
                  <w:pPr>
                    <w:pStyle w:val="5"/>
                    <w:spacing w:line="300" w:lineRule="exact"/>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w:t>
                  </w:r>
                </w:p>
              </w:tc>
              <w:tc>
                <w:tcPr>
                  <w:tcW w:w="680" w:type="dxa"/>
                  <w:tcBorders>
                    <w:tl2br w:val="nil"/>
                    <w:tr2bl w:val="nil"/>
                  </w:tcBorders>
                  <w:noWrap w:val="0"/>
                  <w:vAlign w:val="center"/>
                </w:tcPr>
                <w:p w14:paraId="3BA2D272">
                  <w:pPr>
                    <w:pStyle w:val="5"/>
                    <w:spacing w:line="300" w:lineRule="exact"/>
                    <w:ind w:firstLine="0" w:firstLineChars="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rPr>
                    <w:t>/</w:t>
                  </w:r>
                </w:p>
              </w:tc>
            </w:tr>
          </w:tbl>
          <w:p w14:paraId="54A6DD9E">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lang w:val="en-US" w:eastAsia="zh-CN"/>
              </w:rPr>
              <w:t>根据</w:t>
            </w:r>
            <w:r>
              <w:rPr>
                <w:rFonts w:hint="eastAsia" w:cs="Times New Roman"/>
                <w:color w:val="auto"/>
                <w:sz w:val="24"/>
                <w:highlight w:val="none"/>
                <w:lang w:val="en-US" w:eastAsia="zh-CN"/>
              </w:rPr>
              <w:t>上表可知</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除臭气浓度无标准外，硫化氢和氨浓度均低于</w:t>
            </w:r>
            <w:r>
              <w:rPr>
                <w:rFonts w:hint="default" w:ascii="Times New Roman" w:hAnsi="Times New Roman" w:cs="Times New Roman"/>
                <w:color w:val="auto"/>
                <w:sz w:val="24"/>
                <w:highlight w:val="none"/>
                <w:lang w:val="en-US" w:eastAsia="zh-CN"/>
              </w:rPr>
              <w:t>《环境影响评价技术导则 大气环境》（HJ2.2</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2018）附录D中标准值，项目区域环境空气质量符合要求。</w:t>
            </w:r>
          </w:p>
          <w:p w14:paraId="23BD63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cs="Times New Roman"/>
                <w:b/>
                <w:bCs/>
                <w:color w:val="auto"/>
                <w:sz w:val="24"/>
                <w:szCs w:val="24"/>
                <w:highlight w:val="none"/>
                <w:lang w:val="en-US" w:eastAsia="zh-CN"/>
              </w:rPr>
              <w:t>地表水环境</w:t>
            </w:r>
          </w:p>
          <w:p w14:paraId="695DBF7A">
            <w:pPr>
              <w:autoSpaceDE w:val="0"/>
              <w:autoSpaceDN w:val="0"/>
              <w:adjustRightInd w:val="0"/>
              <w:snapToGrid w:val="0"/>
              <w:spacing w:line="360" w:lineRule="auto"/>
              <w:ind w:firstLine="480" w:firstLineChars="200"/>
              <w:jc w:val="left"/>
              <w:rPr>
                <w:color w:val="auto"/>
                <w:kern w:val="0"/>
                <w:szCs w:val="21"/>
                <w:highlight w:val="none"/>
              </w:rPr>
            </w:pPr>
            <w:r>
              <w:rPr>
                <w:rFonts w:hint="default" w:ascii="Times New Roman" w:hAnsi="Times New Roman" w:cs="Times New Roman"/>
                <w:color w:val="auto"/>
                <w:sz w:val="24"/>
                <w:highlight w:val="none"/>
                <w:lang w:val="en-US" w:eastAsia="zh-CN"/>
              </w:rPr>
              <w:t>项目污水受纳水体为东侧</w:t>
            </w:r>
            <w:r>
              <w:rPr>
                <w:rFonts w:hint="eastAsia" w:cs="Times New Roman"/>
                <w:color w:val="auto"/>
                <w:sz w:val="24"/>
                <w:highlight w:val="none"/>
                <w:lang w:val="en-US" w:eastAsia="zh-CN"/>
              </w:rPr>
              <w:t>溢水</w:t>
            </w:r>
            <w:r>
              <w:rPr>
                <w:rFonts w:hint="default" w:ascii="Times New Roman" w:hAnsi="Times New Roman" w:cs="Times New Roman"/>
                <w:color w:val="auto"/>
                <w:sz w:val="24"/>
                <w:highlight w:val="none"/>
                <w:lang w:val="en-US" w:eastAsia="zh-CN"/>
              </w:rPr>
              <w:t>河，</w:t>
            </w:r>
            <w:r>
              <w:rPr>
                <w:rFonts w:hint="eastAsia" w:cs="Times New Roman"/>
                <w:color w:val="auto"/>
                <w:sz w:val="24"/>
                <w:highlight w:val="none"/>
                <w:lang w:val="en-US" w:eastAsia="zh-CN"/>
              </w:rPr>
              <w:t>功能区划为</w:t>
            </w:r>
            <w:r>
              <w:rPr>
                <w:rFonts w:hint="eastAsia" w:ascii="宋体" w:hAnsi="宋体" w:cs="宋体"/>
                <w:color w:val="auto"/>
                <w:sz w:val="24"/>
                <w:highlight w:val="none"/>
              </w:rPr>
              <w:t>Ⅱ</w:t>
            </w:r>
            <w:r>
              <w:rPr>
                <w:color w:val="auto"/>
                <w:sz w:val="24"/>
                <w:highlight w:val="none"/>
              </w:rPr>
              <w:t>类</w:t>
            </w:r>
            <w:r>
              <w:rPr>
                <w:rFonts w:hint="eastAsia" w:cs="Times New Roman"/>
                <w:color w:val="auto"/>
                <w:sz w:val="24"/>
                <w:highlight w:val="none"/>
                <w:lang w:val="en-US" w:eastAsia="zh-CN"/>
              </w:rPr>
              <w:t>水体。</w:t>
            </w:r>
            <w:bookmarkStart w:id="44" w:name="_Hlk66202737"/>
            <w:r>
              <w:rPr>
                <w:color w:val="auto"/>
                <w:sz w:val="24"/>
                <w:highlight w:val="none"/>
              </w:rPr>
              <w:t>根据</w:t>
            </w:r>
            <w:r>
              <w:rPr>
                <w:rFonts w:hint="eastAsia"/>
                <w:color w:val="auto"/>
                <w:sz w:val="24"/>
                <w:highlight w:val="none"/>
              </w:rPr>
              <w:t>汉中市生态环境局</w:t>
            </w:r>
            <w:r>
              <w:rPr>
                <w:color w:val="auto"/>
                <w:sz w:val="24"/>
                <w:highlight w:val="none"/>
              </w:rPr>
              <w:t>20</w:t>
            </w:r>
            <w:r>
              <w:rPr>
                <w:rFonts w:hint="eastAsia"/>
                <w:color w:val="auto"/>
                <w:sz w:val="24"/>
                <w:highlight w:val="none"/>
              </w:rPr>
              <w:t>2</w:t>
            </w:r>
            <w:r>
              <w:rPr>
                <w:rFonts w:hint="eastAsia"/>
                <w:color w:val="auto"/>
                <w:sz w:val="24"/>
                <w:highlight w:val="none"/>
                <w:lang w:val="en-US" w:eastAsia="zh-CN"/>
              </w:rPr>
              <w:t>6</w:t>
            </w:r>
            <w:r>
              <w:rPr>
                <w:color w:val="auto"/>
                <w:sz w:val="24"/>
                <w:highlight w:val="none"/>
              </w:rPr>
              <w:t>年</w:t>
            </w:r>
            <w:r>
              <w:rPr>
                <w:rFonts w:hint="eastAsia"/>
                <w:color w:val="auto"/>
                <w:sz w:val="24"/>
                <w:highlight w:val="none"/>
              </w:rPr>
              <w:t>第</w:t>
            </w:r>
            <w:r>
              <w:rPr>
                <w:rFonts w:hint="eastAsia"/>
                <w:color w:val="auto"/>
                <w:sz w:val="24"/>
                <w:highlight w:val="none"/>
                <w:lang w:val="en-US" w:eastAsia="zh-CN"/>
              </w:rPr>
              <w:t>1~7</w:t>
            </w:r>
            <w:r>
              <w:rPr>
                <w:rFonts w:hint="eastAsia"/>
                <w:color w:val="auto"/>
                <w:sz w:val="24"/>
                <w:highlight w:val="none"/>
              </w:rPr>
              <w:t>期</w:t>
            </w:r>
            <w:r>
              <w:rPr>
                <w:color w:val="auto"/>
                <w:sz w:val="24"/>
                <w:highlight w:val="none"/>
              </w:rPr>
              <w:t>环境质量通报可知，</w:t>
            </w:r>
            <w:r>
              <w:rPr>
                <w:rFonts w:hint="eastAsia"/>
                <w:color w:val="auto"/>
                <w:sz w:val="24"/>
                <w:highlight w:val="none"/>
                <w:lang w:eastAsia="zh-CN"/>
              </w:rPr>
              <w:t>溢水河溢水桥</w:t>
            </w:r>
            <w:r>
              <w:rPr>
                <w:color w:val="auto"/>
                <w:sz w:val="24"/>
                <w:highlight w:val="none"/>
              </w:rPr>
              <w:t>监测断面处</w:t>
            </w:r>
            <w:r>
              <w:rPr>
                <w:rFonts w:hint="eastAsia"/>
                <w:color w:val="auto"/>
                <w:sz w:val="24"/>
                <w:highlight w:val="none"/>
              </w:rPr>
              <w:t>水质达到</w:t>
            </w:r>
            <w:r>
              <w:rPr>
                <w:color w:val="auto"/>
                <w:sz w:val="24"/>
                <w:highlight w:val="none"/>
              </w:rPr>
              <w:t>《地表水环境质量标准》</w:t>
            </w:r>
            <w:r>
              <w:rPr>
                <w:rFonts w:hint="eastAsia"/>
                <w:color w:val="auto"/>
                <w:sz w:val="24"/>
                <w:highlight w:val="none"/>
              </w:rPr>
              <w:t>（</w:t>
            </w:r>
            <w:r>
              <w:rPr>
                <w:color w:val="auto"/>
                <w:sz w:val="24"/>
                <w:highlight w:val="none"/>
              </w:rPr>
              <w:t>GB3838-2002</w:t>
            </w:r>
            <w:r>
              <w:rPr>
                <w:rFonts w:hint="eastAsia"/>
                <w:color w:val="auto"/>
                <w:sz w:val="24"/>
                <w:highlight w:val="none"/>
              </w:rPr>
              <w:t>）</w:t>
            </w:r>
            <w:r>
              <w:rPr>
                <w:color w:val="auto"/>
                <w:sz w:val="24"/>
                <w:highlight w:val="none"/>
              </w:rPr>
              <w:t>中Ⅱ类水质</w:t>
            </w:r>
            <w:r>
              <w:rPr>
                <w:rFonts w:hint="eastAsia"/>
                <w:color w:val="auto"/>
                <w:sz w:val="24"/>
                <w:highlight w:val="none"/>
              </w:rPr>
              <w:t>要求</w:t>
            </w:r>
            <w:r>
              <w:rPr>
                <w:rFonts w:hint="eastAsia"/>
                <w:color w:val="auto"/>
                <w:kern w:val="0"/>
                <w:sz w:val="24"/>
                <w:highlight w:val="none"/>
              </w:rPr>
              <w:t>。</w:t>
            </w:r>
            <w:bookmarkEnd w:id="44"/>
            <w:r>
              <w:rPr>
                <w:rFonts w:hint="eastAsia"/>
                <w:color w:val="auto"/>
                <w:sz w:val="24"/>
                <w:highlight w:val="none"/>
              </w:rPr>
              <w:t>本项目</w:t>
            </w:r>
            <w:r>
              <w:rPr>
                <w:rFonts w:hint="eastAsia"/>
                <w:color w:val="auto"/>
                <w:sz w:val="24"/>
                <w:highlight w:val="none"/>
                <w:lang w:eastAsia="zh-CN"/>
              </w:rPr>
              <w:t>位于溢水桥监测断面上游约</w:t>
            </w:r>
            <w:r>
              <w:rPr>
                <w:rFonts w:hint="eastAsia"/>
                <w:color w:val="auto"/>
                <w:sz w:val="24"/>
                <w:highlight w:val="none"/>
                <w:lang w:val="en-US" w:eastAsia="zh-CN"/>
              </w:rPr>
              <w:t>2.8km，</w:t>
            </w:r>
            <w:r>
              <w:rPr>
                <w:rFonts w:hint="eastAsia"/>
                <w:color w:val="auto"/>
                <w:kern w:val="0"/>
                <w:sz w:val="24"/>
                <w:highlight w:val="none"/>
              </w:rPr>
              <w:t>类比可知，项目所在区域地表水水质满足《地表水环境质量标准》（</w:t>
            </w:r>
            <w:r>
              <w:rPr>
                <w:color w:val="auto"/>
                <w:kern w:val="0"/>
                <w:sz w:val="24"/>
                <w:highlight w:val="none"/>
              </w:rPr>
              <w:t>GB3838-2002</w:t>
            </w:r>
            <w:r>
              <w:rPr>
                <w:rFonts w:hint="eastAsia"/>
                <w:color w:val="auto"/>
                <w:kern w:val="0"/>
                <w:sz w:val="24"/>
                <w:highlight w:val="none"/>
              </w:rPr>
              <w:t>）中</w:t>
            </w:r>
            <w:r>
              <w:rPr>
                <w:color w:val="auto"/>
                <w:kern w:val="0"/>
                <w:sz w:val="24"/>
                <w:highlight w:val="none"/>
              </w:rPr>
              <w:t>Ⅱ</w:t>
            </w:r>
            <w:r>
              <w:rPr>
                <w:rFonts w:hint="eastAsia"/>
                <w:color w:val="auto"/>
                <w:kern w:val="0"/>
                <w:sz w:val="24"/>
                <w:highlight w:val="none"/>
              </w:rPr>
              <w:t>类区标准。</w:t>
            </w:r>
          </w:p>
          <w:p w14:paraId="41310DB9">
            <w:pPr>
              <w:spacing w:line="360" w:lineRule="auto"/>
              <w:ind w:firstLine="480" w:firstLineChars="200"/>
              <w:rPr>
                <w:color w:val="auto"/>
                <w:sz w:val="24"/>
                <w:szCs w:val="24"/>
                <w:highlight w:val="none"/>
              </w:rPr>
            </w:pPr>
            <w:r>
              <w:rPr>
                <w:rFonts w:hint="eastAsia" w:ascii="Times New Roman" w:hAnsi="Times New Roman" w:cs="Times New Roman"/>
                <w:color w:val="auto"/>
                <w:sz w:val="24"/>
                <w:szCs w:val="24"/>
                <w:highlight w:val="none"/>
              </w:rPr>
              <w:t>根据收集到的202</w:t>
            </w:r>
            <w:r>
              <w:rPr>
                <w:rFonts w:hint="eastAsia" w:cs="Times New Roman"/>
                <w:color w:val="auto"/>
                <w:sz w:val="24"/>
                <w:szCs w:val="24"/>
                <w:highlight w:val="none"/>
                <w:lang w:val="en-US" w:eastAsia="zh-CN"/>
              </w:rPr>
              <w:t>3</w:t>
            </w:r>
            <w:r>
              <w:rPr>
                <w:rFonts w:hint="eastAsia" w:ascii="Times New Roman" w:hAnsi="Times New Roman" w:cs="Times New Roman"/>
                <w:color w:val="auto"/>
                <w:sz w:val="24"/>
                <w:szCs w:val="24"/>
                <w:highlight w:val="none"/>
              </w:rPr>
              <w:t>~202</w:t>
            </w:r>
            <w:r>
              <w:rPr>
                <w:rFonts w:hint="eastAsia" w:cs="Times New Roman"/>
                <w:color w:val="auto"/>
                <w:sz w:val="24"/>
                <w:szCs w:val="24"/>
                <w:highlight w:val="none"/>
                <w:lang w:val="en-US" w:eastAsia="zh-CN"/>
              </w:rPr>
              <w:t>5</w:t>
            </w:r>
            <w:r>
              <w:rPr>
                <w:rFonts w:hint="eastAsia" w:ascii="Times New Roman" w:hAnsi="Times New Roman" w:cs="Times New Roman"/>
                <w:color w:val="auto"/>
                <w:sz w:val="24"/>
                <w:szCs w:val="24"/>
                <w:highlight w:val="none"/>
              </w:rPr>
              <w:t>年</w:t>
            </w:r>
            <w:r>
              <w:rPr>
                <w:rFonts w:hint="eastAsia"/>
                <w:color w:val="auto"/>
                <w:sz w:val="24"/>
                <w:highlight w:val="none"/>
                <w:lang w:eastAsia="zh-CN"/>
              </w:rPr>
              <w:t>溢水桥</w:t>
            </w:r>
            <w:r>
              <w:rPr>
                <w:rFonts w:hint="eastAsia"/>
                <w:color w:val="auto"/>
                <w:sz w:val="24"/>
                <w:highlight w:val="none"/>
                <w:lang w:val="en-US" w:eastAsia="zh-CN"/>
              </w:rPr>
              <w:t>市</w:t>
            </w:r>
            <w:r>
              <w:rPr>
                <w:rFonts w:hint="eastAsia" w:ascii="Times New Roman" w:hAnsi="Times New Roman" w:cs="Times New Roman"/>
                <w:color w:val="auto"/>
                <w:sz w:val="24"/>
                <w:szCs w:val="24"/>
                <w:highlight w:val="none"/>
              </w:rPr>
              <w:t>控断面例行监测数据，COD、BOD</w:t>
            </w:r>
            <w:r>
              <w:rPr>
                <w:rFonts w:hint="eastAsia" w:ascii="Times New Roman" w:hAnsi="Times New Roman" w:cs="Times New Roman"/>
                <w:color w:val="auto"/>
                <w:sz w:val="24"/>
                <w:szCs w:val="24"/>
                <w:highlight w:val="none"/>
                <w:vertAlign w:val="subscript"/>
              </w:rPr>
              <w:t>5</w:t>
            </w:r>
            <w:r>
              <w:rPr>
                <w:rFonts w:hint="eastAsia" w:ascii="Times New Roman" w:hAnsi="Times New Roman" w:cs="Times New Roman"/>
                <w:color w:val="auto"/>
                <w:sz w:val="24"/>
                <w:szCs w:val="24"/>
                <w:highlight w:val="none"/>
              </w:rPr>
              <w:t>、氨氮、总磷</w:t>
            </w:r>
            <w:r>
              <w:rPr>
                <w:rFonts w:hint="eastAsia" w:cs="Times New Roman"/>
                <w:color w:val="auto"/>
                <w:sz w:val="24"/>
                <w:szCs w:val="24"/>
                <w:highlight w:val="none"/>
                <w:lang w:eastAsia="zh-CN"/>
              </w:rPr>
              <w:t>、高锰酸盐指数</w:t>
            </w:r>
            <w:r>
              <w:rPr>
                <w:rFonts w:hint="eastAsia" w:ascii="Times New Roman" w:hAnsi="Times New Roman" w:cs="Times New Roman"/>
                <w:color w:val="auto"/>
                <w:sz w:val="24"/>
                <w:szCs w:val="24"/>
                <w:highlight w:val="none"/>
              </w:rPr>
              <w:t>年均浓度均能满足《地表水环境质量标准》（GB3838-2002）</w:t>
            </w:r>
            <w:r>
              <w:rPr>
                <w:rFonts w:ascii="Times New Roman" w:hAnsi="Times New Roman" w:cs="Times New Roman"/>
                <w:color w:val="auto"/>
                <w:sz w:val="24"/>
                <w:szCs w:val="24"/>
                <w:highlight w:val="none"/>
              </w:rPr>
              <w:fldChar w:fldCharType="begin"/>
            </w:r>
            <w:r>
              <w:rPr>
                <w:rFonts w:ascii="Times New Roman" w:hAnsi="Times New Roman" w:cs="Times New Roman"/>
                <w:color w:val="auto"/>
                <w:sz w:val="24"/>
                <w:szCs w:val="24"/>
                <w:highlight w:val="none"/>
              </w:rPr>
              <w:instrText xml:space="preserve"> = 2 \* ROMAN \* MERGEFORMAT </w:instrText>
            </w:r>
            <w:r>
              <w:rPr>
                <w:rFonts w:ascii="Times New Roman" w:hAnsi="Times New Roman" w:cs="Times New Roman"/>
                <w:color w:val="auto"/>
                <w:sz w:val="24"/>
                <w:szCs w:val="24"/>
                <w:highlight w:val="none"/>
              </w:rPr>
              <w:fldChar w:fldCharType="separate"/>
            </w:r>
            <w:r>
              <w:rPr>
                <w:rFonts w:ascii="Times New Roman" w:hAnsi="Times New Roman" w:cs="Times New Roman"/>
                <w:color w:val="auto"/>
                <w:sz w:val="24"/>
                <w:szCs w:val="24"/>
                <w:highlight w:val="none"/>
              </w:rPr>
              <w:t>II</w:t>
            </w:r>
            <w:r>
              <w:rPr>
                <w:rFonts w:ascii="Times New Roman" w:hAnsi="Times New Roman" w:cs="Times New Roman"/>
                <w:color w:val="auto"/>
                <w:sz w:val="24"/>
                <w:szCs w:val="24"/>
                <w:highlight w:val="none"/>
              </w:rPr>
              <w:fldChar w:fldCharType="end"/>
            </w:r>
            <w:r>
              <w:rPr>
                <w:rFonts w:hint="eastAsia" w:ascii="Times New Roman" w:hAnsi="Times New Roman" w:cs="Times New Roman"/>
                <w:color w:val="auto"/>
                <w:sz w:val="24"/>
                <w:szCs w:val="24"/>
                <w:highlight w:val="none"/>
              </w:rPr>
              <w:t>类标准。</w:t>
            </w:r>
          </w:p>
          <w:p w14:paraId="734E75BD">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此外，建设单位</w:t>
            </w:r>
            <w:r>
              <w:rPr>
                <w:rFonts w:hint="default" w:ascii="Times New Roman" w:hAnsi="Times New Roman" w:cs="Times New Roman"/>
                <w:color w:val="auto"/>
                <w:sz w:val="24"/>
                <w:highlight w:val="none"/>
                <w:lang w:val="en-US" w:eastAsia="zh-CN"/>
              </w:rPr>
              <w:t>委托</w:t>
            </w:r>
            <w:r>
              <w:rPr>
                <w:rFonts w:hint="default" w:ascii="Times New Roman" w:hAnsi="Times New Roman" w:eastAsia="宋体" w:cs="Times New Roman"/>
                <w:color w:val="auto"/>
                <w:sz w:val="24"/>
                <w:szCs w:val="24"/>
                <w:highlight w:val="none"/>
                <w:lang w:val="en-US" w:eastAsia="zh-CN"/>
              </w:rPr>
              <w:t>汉环集团陕西名鸿检测有限公司</w:t>
            </w:r>
            <w:r>
              <w:rPr>
                <w:rFonts w:hint="default" w:ascii="Times New Roman" w:hAnsi="Times New Roman" w:cs="Times New Roman"/>
                <w:color w:val="auto"/>
                <w:sz w:val="24"/>
                <w:highlight w:val="none"/>
                <w:lang w:val="en-US" w:eastAsia="zh-CN"/>
              </w:rPr>
              <w:t>于2024年</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月2</w:t>
            </w:r>
            <w:r>
              <w:rPr>
                <w:rFonts w:hint="eastAsia"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日</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3月</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lang w:val="en-US" w:eastAsia="zh-CN"/>
              </w:rPr>
              <w:t>日对</w:t>
            </w:r>
            <w:r>
              <w:rPr>
                <w:rFonts w:hint="eastAsia" w:cs="Times New Roman"/>
                <w:color w:val="auto"/>
                <w:sz w:val="24"/>
                <w:highlight w:val="none"/>
                <w:lang w:val="en-US" w:eastAsia="zh-CN"/>
              </w:rPr>
              <w:t>溢水河</w:t>
            </w:r>
            <w:r>
              <w:rPr>
                <w:rFonts w:hint="default" w:ascii="Times New Roman" w:hAnsi="Times New Roman" w:cs="Times New Roman"/>
                <w:color w:val="auto"/>
                <w:sz w:val="24"/>
                <w:highlight w:val="none"/>
                <w:lang w:val="en-US" w:eastAsia="zh-CN"/>
              </w:rPr>
              <w:t>水质进行了监测。本次地表水现状监测共布设2个监测断面：1#断面位于排污口上游500m处、2#断面位于</w:t>
            </w:r>
            <w:r>
              <w:rPr>
                <w:rFonts w:hint="default" w:ascii="Times New Roman" w:hAnsi="Times New Roman" w:eastAsia="宋体" w:cs="Times New Roman"/>
                <w:color w:val="auto"/>
                <w:sz w:val="24"/>
                <w:highlight w:val="none"/>
                <w:lang w:val="en-US" w:eastAsia="zh-CN"/>
              </w:rPr>
              <w:t>排污口下游</w:t>
            </w:r>
            <w:r>
              <w:rPr>
                <w:rFonts w:hint="eastAsia" w:cs="Times New Roman"/>
                <w:color w:val="auto"/>
                <w:sz w:val="24"/>
                <w:highlight w:val="none"/>
                <w:lang w:val="en-US" w:eastAsia="zh-CN"/>
              </w:rPr>
              <w:t>1000m</w:t>
            </w:r>
            <w:r>
              <w:rPr>
                <w:rFonts w:hint="default" w:ascii="Times New Roman" w:hAnsi="Times New Roman" w:eastAsia="宋体" w:cs="Times New Roman"/>
                <w:color w:val="auto"/>
                <w:sz w:val="24"/>
                <w:highlight w:val="none"/>
                <w:lang w:val="en-US" w:eastAsia="zh-CN"/>
              </w:rPr>
              <w:t>处</w:t>
            </w:r>
            <w:r>
              <w:rPr>
                <w:rFonts w:hint="default" w:ascii="Times New Roman" w:hAnsi="Times New Roman" w:cs="Times New Roman"/>
                <w:color w:val="auto"/>
                <w:sz w:val="24"/>
                <w:highlight w:val="none"/>
                <w:lang w:val="en-US" w:eastAsia="zh-CN"/>
              </w:rPr>
              <w:t>。监测断面见附图</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lang w:val="en-US" w:eastAsia="zh-CN"/>
              </w:rPr>
              <w:t>，监测结果如下：</w:t>
            </w:r>
          </w:p>
          <w:p w14:paraId="6165E2B1">
            <w:pPr>
              <w:spacing w:line="240" w:lineRule="atLeast"/>
              <w:jc w:val="center"/>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表</w:t>
            </w:r>
            <w:r>
              <w:rPr>
                <w:rFonts w:hint="default" w:ascii="Times New Roman" w:hAnsi="Times New Roman" w:cs="Times New Roman"/>
                <w:b/>
                <w:bCs/>
                <w:color w:val="auto"/>
                <w:szCs w:val="24"/>
                <w:highlight w:val="none"/>
                <w:lang w:val="en-US" w:eastAsia="zh-CN"/>
              </w:rPr>
              <w:t>3</w:t>
            </w:r>
            <w:r>
              <w:rPr>
                <w:rFonts w:hint="default" w:ascii="Times New Roman" w:hAnsi="Times New Roman" w:cs="Times New Roman"/>
                <w:b/>
                <w:bCs/>
                <w:color w:val="auto"/>
                <w:szCs w:val="24"/>
                <w:highlight w:val="none"/>
              </w:rPr>
              <w:t>-</w:t>
            </w:r>
            <w:r>
              <w:rPr>
                <w:rFonts w:hint="eastAsia" w:cs="Times New Roman"/>
                <w:b/>
                <w:bCs/>
                <w:color w:val="auto"/>
                <w:szCs w:val="24"/>
                <w:highlight w:val="none"/>
                <w:lang w:val="en-US" w:eastAsia="zh-CN"/>
              </w:rPr>
              <w:t>4</w:t>
            </w:r>
            <w:r>
              <w:rPr>
                <w:rFonts w:hint="default" w:ascii="Times New Roman" w:hAnsi="Times New Roman" w:cs="Times New Roman"/>
                <w:b/>
                <w:bCs/>
                <w:color w:val="auto"/>
                <w:szCs w:val="24"/>
                <w:highlight w:val="none"/>
              </w:rPr>
              <w:t xml:space="preserve">  地表水水质监测统计结果表   单位：mg/L</w:t>
            </w:r>
          </w:p>
          <w:tbl>
            <w:tblPr>
              <w:tblStyle w:val="31"/>
              <w:tblW w:w="800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2481"/>
              <w:gridCol w:w="2686"/>
              <w:gridCol w:w="1080"/>
            </w:tblGrid>
            <w:tr w14:paraId="5FC6B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099" w:type="pct"/>
                  <w:tcBorders>
                    <w:tl2br w:val="nil"/>
                    <w:tr2bl w:val="nil"/>
                  </w:tcBorders>
                  <w:noWrap w:val="0"/>
                  <w:vAlign w:val="center"/>
                </w:tcPr>
                <w:p w14:paraId="28DDACA2">
                  <w:pPr>
                    <w:spacing w:line="240" w:lineRule="auto"/>
                    <w:ind w:left="0" w:leftChars="0" w:firstLine="0" w:firstLine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监测项目</w:t>
                  </w:r>
                </w:p>
              </w:tc>
              <w:tc>
                <w:tcPr>
                  <w:tcW w:w="1549" w:type="pct"/>
                  <w:tcBorders>
                    <w:tl2br w:val="nil"/>
                    <w:tr2bl w:val="nil"/>
                  </w:tcBorders>
                  <w:noWrap w:val="0"/>
                  <w:vAlign w:val="center"/>
                </w:tcPr>
                <w:p w14:paraId="784402A6">
                  <w:pPr>
                    <w:adjustRightInd w:val="0"/>
                    <w:snapToGrid w:val="0"/>
                    <w:spacing w:line="180" w:lineRule="atLeas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排污口上游500 m处</w:t>
                  </w:r>
                </w:p>
              </w:tc>
              <w:tc>
                <w:tcPr>
                  <w:tcW w:w="1677" w:type="pct"/>
                  <w:tcBorders>
                    <w:tl2br w:val="nil"/>
                    <w:tr2bl w:val="nil"/>
                  </w:tcBorders>
                  <w:noWrap w:val="0"/>
                  <w:vAlign w:val="center"/>
                </w:tcPr>
                <w:p w14:paraId="6D72FBAA">
                  <w:pPr>
                    <w:adjustRightInd w:val="0"/>
                    <w:snapToGrid w:val="0"/>
                    <w:spacing w:line="180" w:lineRule="atLeas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排污口下游</w:t>
                  </w:r>
                  <w:r>
                    <w:rPr>
                      <w:rFonts w:hint="eastAsia" w:cs="Times New Roman"/>
                      <w:b w:val="0"/>
                      <w:bCs w:val="0"/>
                      <w:color w:val="auto"/>
                      <w:szCs w:val="21"/>
                      <w:highlight w:val="none"/>
                      <w:lang w:val="en-US" w:eastAsia="zh-CN"/>
                    </w:rPr>
                    <w:t>1000m</w:t>
                  </w:r>
                  <w:r>
                    <w:rPr>
                      <w:rFonts w:hint="default" w:ascii="Times New Roman" w:hAnsi="Times New Roman" w:eastAsia="宋体" w:cs="Times New Roman"/>
                      <w:b w:val="0"/>
                      <w:bCs w:val="0"/>
                      <w:color w:val="auto"/>
                      <w:szCs w:val="21"/>
                      <w:highlight w:val="none"/>
                      <w:lang w:val="en-US" w:eastAsia="zh-CN"/>
                    </w:rPr>
                    <w:t>处</w:t>
                  </w:r>
                </w:p>
              </w:tc>
              <w:tc>
                <w:tcPr>
                  <w:tcW w:w="674" w:type="pct"/>
                  <w:tcBorders>
                    <w:tl2br w:val="nil"/>
                    <w:tr2bl w:val="nil"/>
                  </w:tcBorders>
                  <w:noWrap w:val="0"/>
                  <w:vAlign w:val="center"/>
                </w:tcPr>
                <w:p w14:paraId="239B27B9">
                  <w:pPr>
                    <w:spacing w:line="240" w:lineRule="auto"/>
                    <w:ind w:left="0" w:leftChars="0" w:firstLine="0" w:firstLine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Ⅱ类标准</w:t>
                  </w:r>
                </w:p>
              </w:tc>
            </w:tr>
            <w:tr w14:paraId="1D989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99" w:type="pct"/>
                  <w:tcBorders>
                    <w:tl2br w:val="nil"/>
                    <w:tr2bl w:val="nil"/>
                  </w:tcBorders>
                  <w:noWrap w:val="0"/>
                  <w:vAlign w:val="center"/>
                </w:tcPr>
                <w:p w14:paraId="0B27814C">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pH值</w:t>
                  </w:r>
                </w:p>
              </w:tc>
              <w:tc>
                <w:tcPr>
                  <w:tcW w:w="1549" w:type="pct"/>
                  <w:tcBorders>
                    <w:tl2br w:val="nil"/>
                    <w:tr2bl w:val="nil"/>
                  </w:tcBorders>
                  <w:noWrap w:val="0"/>
                  <w:vAlign w:val="center"/>
                </w:tcPr>
                <w:p w14:paraId="77C238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8.5~8.7</w:t>
                  </w:r>
                </w:p>
              </w:tc>
              <w:tc>
                <w:tcPr>
                  <w:tcW w:w="1677" w:type="pct"/>
                  <w:tcBorders>
                    <w:tl2br w:val="nil"/>
                    <w:tr2bl w:val="nil"/>
                  </w:tcBorders>
                  <w:noWrap w:val="0"/>
                  <w:vAlign w:val="center"/>
                </w:tcPr>
                <w:p w14:paraId="6FEE6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8.6~8.7</w:t>
                  </w:r>
                </w:p>
              </w:tc>
              <w:tc>
                <w:tcPr>
                  <w:tcW w:w="674" w:type="pct"/>
                  <w:tcBorders>
                    <w:tl2br w:val="nil"/>
                    <w:tr2bl w:val="nil"/>
                  </w:tcBorders>
                  <w:noWrap w:val="0"/>
                  <w:vAlign w:val="center"/>
                </w:tcPr>
                <w:p w14:paraId="28C51BE4">
                  <w:pPr>
                    <w:spacing w:line="240" w:lineRule="auto"/>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6～9</w:t>
                  </w:r>
                </w:p>
              </w:tc>
            </w:tr>
            <w:tr w14:paraId="2781A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99" w:type="pct"/>
                  <w:tcBorders>
                    <w:tl2br w:val="nil"/>
                    <w:tr2bl w:val="nil"/>
                  </w:tcBorders>
                  <w:noWrap w:val="0"/>
                  <w:vAlign w:val="center"/>
                </w:tcPr>
                <w:p w14:paraId="1A02045F">
                  <w:pPr>
                    <w:adjustRightInd w:val="0"/>
                    <w:snapToGrid w:val="0"/>
                    <w:spacing w:line="18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溶解氧</w:t>
                  </w:r>
                </w:p>
              </w:tc>
              <w:tc>
                <w:tcPr>
                  <w:tcW w:w="1549" w:type="pct"/>
                  <w:tcBorders>
                    <w:tl2br w:val="nil"/>
                    <w:tr2bl w:val="nil"/>
                  </w:tcBorders>
                  <w:noWrap w:val="0"/>
                  <w:vAlign w:val="center"/>
                </w:tcPr>
                <w:p w14:paraId="7066EA3D">
                  <w:pPr>
                    <w:widowControl/>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8.9~9.7</w:t>
                  </w:r>
                </w:p>
              </w:tc>
              <w:tc>
                <w:tcPr>
                  <w:tcW w:w="1677" w:type="pct"/>
                  <w:tcBorders>
                    <w:tl2br w:val="nil"/>
                    <w:tr2bl w:val="nil"/>
                  </w:tcBorders>
                  <w:noWrap w:val="0"/>
                  <w:vAlign w:val="center"/>
                </w:tcPr>
                <w:p w14:paraId="576E77F9">
                  <w:pPr>
                    <w:widowControl/>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9.0~10.2</w:t>
                  </w:r>
                </w:p>
              </w:tc>
              <w:tc>
                <w:tcPr>
                  <w:tcW w:w="674" w:type="pct"/>
                  <w:tcBorders>
                    <w:tl2br w:val="nil"/>
                    <w:tr2bl w:val="nil"/>
                  </w:tcBorders>
                  <w:noWrap w:val="0"/>
                  <w:vAlign w:val="center"/>
                </w:tcPr>
                <w:p w14:paraId="1BC9F0C5">
                  <w:pPr>
                    <w:spacing w:line="240" w:lineRule="auto"/>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p>
              </w:tc>
            </w:tr>
            <w:tr w14:paraId="1ED4E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9" w:type="pct"/>
                  <w:tcBorders>
                    <w:tl2br w:val="nil"/>
                    <w:tr2bl w:val="nil"/>
                  </w:tcBorders>
                  <w:noWrap w:val="0"/>
                  <w:vAlign w:val="center"/>
                </w:tcPr>
                <w:p w14:paraId="5CCE04E9">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化学需氧量</w:t>
                  </w:r>
                </w:p>
              </w:tc>
              <w:tc>
                <w:tcPr>
                  <w:tcW w:w="1549" w:type="pct"/>
                  <w:tcBorders>
                    <w:tl2br w:val="nil"/>
                    <w:tr2bl w:val="nil"/>
                  </w:tcBorders>
                  <w:noWrap w:val="0"/>
                  <w:vAlign w:val="center"/>
                </w:tcPr>
                <w:p w14:paraId="37B12458">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10~12</w:t>
                  </w:r>
                </w:p>
              </w:tc>
              <w:tc>
                <w:tcPr>
                  <w:tcW w:w="1677" w:type="pct"/>
                  <w:tcBorders>
                    <w:tl2br w:val="nil"/>
                    <w:tr2bl w:val="nil"/>
                  </w:tcBorders>
                  <w:noWrap w:val="0"/>
                  <w:vAlign w:val="center"/>
                </w:tcPr>
                <w:p w14:paraId="1DFF600E">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12~13</w:t>
                  </w:r>
                </w:p>
              </w:tc>
              <w:tc>
                <w:tcPr>
                  <w:tcW w:w="674" w:type="pct"/>
                  <w:tcBorders>
                    <w:tl2br w:val="nil"/>
                    <w:tr2bl w:val="nil"/>
                  </w:tcBorders>
                  <w:noWrap w:val="0"/>
                  <w:vAlign w:val="center"/>
                </w:tcPr>
                <w:p w14:paraId="4A1E28FC">
                  <w:pPr>
                    <w:spacing w:line="240" w:lineRule="auto"/>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r>
            <w:tr w14:paraId="24FC5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9" w:type="pct"/>
                  <w:tcBorders>
                    <w:tl2br w:val="nil"/>
                    <w:tr2bl w:val="nil"/>
                  </w:tcBorders>
                  <w:noWrap w:val="0"/>
                  <w:vAlign w:val="center"/>
                </w:tcPr>
                <w:p w14:paraId="6D8357E1">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五日生化需氧量</w:t>
                  </w:r>
                </w:p>
              </w:tc>
              <w:tc>
                <w:tcPr>
                  <w:tcW w:w="1549" w:type="pct"/>
                  <w:tcBorders>
                    <w:tl2br w:val="nil"/>
                    <w:tr2bl w:val="nil"/>
                  </w:tcBorders>
                  <w:noWrap w:val="0"/>
                  <w:vAlign w:val="center"/>
                </w:tcPr>
                <w:p w14:paraId="4775E903">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1.8~2.3</w:t>
                  </w:r>
                </w:p>
              </w:tc>
              <w:tc>
                <w:tcPr>
                  <w:tcW w:w="1677" w:type="pct"/>
                  <w:tcBorders>
                    <w:tl2br w:val="nil"/>
                    <w:tr2bl w:val="nil"/>
                  </w:tcBorders>
                  <w:noWrap w:val="0"/>
                  <w:vAlign w:val="center"/>
                </w:tcPr>
                <w:p w14:paraId="24E462AF">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2.2~2.4</w:t>
                  </w:r>
                </w:p>
              </w:tc>
              <w:tc>
                <w:tcPr>
                  <w:tcW w:w="674" w:type="pct"/>
                  <w:tcBorders>
                    <w:tl2br w:val="nil"/>
                    <w:tr2bl w:val="nil"/>
                  </w:tcBorders>
                  <w:noWrap w:val="0"/>
                  <w:vAlign w:val="center"/>
                </w:tcPr>
                <w:p w14:paraId="135850AC">
                  <w:p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p>
              </w:tc>
            </w:tr>
            <w:tr w14:paraId="18A42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1099" w:type="pct"/>
                  <w:tcBorders>
                    <w:tl2br w:val="nil"/>
                    <w:tr2bl w:val="nil"/>
                  </w:tcBorders>
                  <w:noWrap w:val="0"/>
                  <w:vAlign w:val="center"/>
                </w:tcPr>
                <w:p w14:paraId="44627D63">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氨氮</w:t>
                  </w:r>
                </w:p>
              </w:tc>
              <w:tc>
                <w:tcPr>
                  <w:tcW w:w="1549" w:type="pct"/>
                  <w:tcBorders>
                    <w:tl2br w:val="nil"/>
                    <w:tr2bl w:val="nil"/>
                  </w:tcBorders>
                  <w:noWrap w:val="0"/>
                  <w:vAlign w:val="center"/>
                </w:tcPr>
                <w:p w14:paraId="14B47616">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0.193~0.231</w:t>
                  </w:r>
                </w:p>
              </w:tc>
              <w:tc>
                <w:tcPr>
                  <w:tcW w:w="1677" w:type="pct"/>
                  <w:tcBorders>
                    <w:tl2br w:val="nil"/>
                    <w:tr2bl w:val="nil"/>
                  </w:tcBorders>
                  <w:noWrap w:val="0"/>
                  <w:vAlign w:val="center"/>
                </w:tcPr>
                <w:p w14:paraId="6E573BE9">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0.233~0.264</w:t>
                  </w:r>
                </w:p>
              </w:tc>
              <w:tc>
                <w:tcPr>
                  <w:tcW w:w="674" w:type="pct"/>
                  <w:tcBorders>
                    <w:tl2br w:val="nil"/>
                    <w:tr2bl w:val="nil"/>
                  </w:tcBorders>
                  <w:noWrap w:val="0"/>
                  <w:vAlign w:val="center"/>
                </w:tcPr>
                <w:p w14:paraId="2C56FE52">
                  <w:p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≤0.5</w:t>
                  </w:r>
                </w:p>
              </w:tc>
            </w:tr>
            <w:tr w14:paraId="0421DD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1099" w:type="pct"/>
                  <w:tcBorders>
                    <w:tl2br w:val="nil"/>
                    <w:tr2bl w:val="nil"/>
                  </w:tcBorders>
                  <w:noWrap w:val="0"/>
                  <w:vAlign w:val="center"/>
                </w:tcPr>
                <w:p w14:paraId="79639971">
                  <w:pPr>
                    <w:adjustRightInd w:val="0"/>
                    <w:snapToGrid w:val="0"/>
                    <w:spacing w:line="180" w:lineRule="atLeast"/>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悬浮物</w:t>
                  </w:r>
                </w:p>
              </w:tc>
              <w:tc>
                <w:tcPr>
                  <w:tcW w:w="1549" w:type="pct"/>
                  <w:tcBorders>
                    <w:tl2br w:val="nil"/>
                    <w:tr2bl w:val="nil"/>
                  </w:tcBorders>
                  <w:noWrap w:val="0"/>
                  <w:vAlign w:val="center"/>
                </w:tcPr>
                <w:p w14:paraId="483E42EC">
                  <w:pPr>
                    <w:widowControl/>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10.4~11.4</w:t>
                  </w:r>
                </w:p>
              </w:tc>
              <w:tc>
                <w:tcPr>
                  <w:tcW w:w="1677" w:type="pct"/>
                  <w:tcBorders>
                    <w:tl2br w:val="nil"/>
                    <w:tr2bl w:val="nil"/>
                  </w:tcBorders>
                  <w:noWrap w:val="0"/>
                  <w:vAlign w:val="center"/>
                </w:tcPr>
                <w:p w14:paraId="366CE1A6">
                  <w:pPr>
                    <w:widowControl/>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12.5~14.1</w:t>
                  </w:r>
                </w:p>
              </w:tc>
              <w:tc>
                <w:tcPr>
                  <w:tcW w:w="674" w:type="pct"/>
                  <w:tcBorders>
                    <w:tl2br w:val="nil"/>
                    <w:tr2bl w:val="nil"/>
                  </w:tcBorders>
                  <w:noWrap w:val="0"/>
                  <w:vAlign w:val="center"/>
                </w:tcPr>
                <w:p w14:paraId="365DEC85">
                  <w:pPr>
                    <w:spacing w:line="240" w:lineRule="auto"/>
                    <w:ind w:left="0" w:lef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3BD38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99" w:type="pct"/>
                  <w:tcBorders>
                    <w:tl2br w:val="nil"/>
                    <w:tr2bl w:val="nil"/>
                  </w:tcBorders>
                  <w:noWrap w:val="0"/>
                  <w:vAlign w:val="center"/>
                </w:tcPr>
                <w:p w14:paraId="298CF915">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总磷</w:t>
                  </w:r>
                </w:p>
              </w:tc>
              <w:tc>
                <w:tcPr>
                  <w:tcW w:w="1549" w:type="pct"/>
                  <w:tcBorders>
                    <w:tl2br w:val="nil"/>
                    <w:tr2bl w:val="nil"/>
                  </w:tcBorders>
                  <w:noWrap w:val="0"/>
                  <w:vAlign w:val="center"/>
                </w:tcPr>
                <w:p w14:paraId="1B69675E">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0.02~0.04</w:t>
                  </w:r>
                </w:p>
              </w:tc>
              <w:tc>
                <w:tcPr>
                  <w:tcW w:w="1677" w:type="pct"/>
                  <w:tcBorders>
                    <w:tl2br w:val="nil"/>
                    <w:tr2bl w:val="nil"/>
                  </w:tcBorders>
                  <w:noWrap w:val="0"/>
                  <w:vAlign w:val="center"/>
                </w:tcPr>
                <w:p w14:paraId="1142BA92">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0.03~0.05</w:t>
                  </w:r>
                </w:p>
              </w:tc>
              <w:tc>
                <w:tcPr>
                  <w:tcW w:w="674" w:type="pct"/>
                  <w:tcBorders>
                    <w:tl2br w:val="nil"/>
                    <w:tr2bl w:val="nil"/>
                  </w:tcBorders>
                  <w:noWrap w:val="0"/>
                  <w:vAlign w:val="center"/>
                </w:tcPr>
                <w:p w14:paraId="0A7A7D56">
                  <w:pPr>
                    <w:spacing w:line="240" w:lineRule="auto"/>
                    <w:ind w:left="0" w:leftChars="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1</w:t>
                  </w:r>
                </w:p>
              </w:tc>
            </w:tr>
            <w:tr w14:paraId="3747E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099" w:type="pct"/>
                  <w:tcBorders>
                    <w:tl2br w:val="nil"/>
                    <w:tr2bl w:val="nil"/>
                  </w:tcBorders>
                  <w:noWrap w:val="0"/>
                  <w:vAlign w:val="center"/>
                </w:tcPr>
                <w:p w14:paraId="6673BC9B">
                  <w:pPr>
                    <w:adjustRightInd w:val="0"/>
                    <w:snapToGrid w:val="0"/>
                    <w:spacing w:line="180" w:lineRule="atLeas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总氮</w:t>
                  </w:r>
                </w:p>
              </w:tc>
              <w:tc>
                <w:tcPr>
                  <w:tcW w:w="1549" w:type="pct"/>
                  <w:tcBorders>
                    <w:tl2br w:val="nil"/>
                    <w:tr2bl w:val="nil"/>
                  </w:tcBorders>
                  <w:noWrap w:val="0"/>
                  <w:vAlign w:val="center"/>
                </w:tcPr>
                <w:p w14:paraId="4A011D48">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1.09~1.39</w:t>
                  </w:r>
                </w:p>
              </w:tc>
              <w:tc>
                <w:tcPr>
                  <w:tcW w:w="1677" w:type="pct"/>
                  <w:tcBorders>
                    <w:tl2br w:val="nil"/>
                    <w:tr2bl w:val="nil"/>
                  </w:tcBorders>
                  <w:noWrap w:val="0"/>
                  <w:vAlign w:val="center"/>
                </w:tcPr>
                <w:p w14:paraId="618DBD4A">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0.92~1.46</w:t>
                  </w:r>
                </w:p>
              </w:tc>
              <w:tc>
                <w:tcPr>
                  <w:tcW w:w="674" w:type="pct"/>
                  <w:tcBorders>
                    <w:tl2br w:val="nil"/>
                    <w:tr2bl w:val="nil"/>
                  </w:tcBorders>
                  <w:noWrap w:val="0"/>
                  <w:vAlign w:val="center"/>
                </w:tcPr>
                <w:p w14:paraId="1D1FF0B4">
                  <w:pPr>
                    <w:spacing w:line="240" w:lineRule="auto"/>
                    <w:ind w:left="0" w:lef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29FB5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99" w:type="pct"/>
                  <w:tcBorders>
                    <w:tl2br w:val="nil"/>
                    <w:tr2bl w:val="nil"/>
                  </w:tcBorders>
                  <w:noWrap w:val="0"/>
                  <w:vAlign w:val="center"/>
                </w:tcPr>
                <w:p w14:paraId="50AAB61C">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石油类</w:t>
                  </w:r>
                </w:p>
              </w:tc>
              <w:tc>
                <w:tcPr>
                  <w:tcW w:w="1549" w:type="pct"/>
                  <w:tcBorders>
                    <w:tl2br w:val="nil"/>
                    <w:tr2bl w:val="nil"/>
                  </w:tcBorders>
                  <w:noWrap w:val="0"/>
                  <w:vAlign w:val="center"/>
                </w:tcPr>
                <w:p w14:paraId="7B0D17C3">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1677" w:type="pct"/>
                  <w:tcBorders>
                    <w:tl2br w:val="nil"/>
                    <w:tr2bl w:val="nil"/>
                  </w:tcBorders>
                  <w:noWrap w:val="0"/>
                  <w:vAlign w:val="center"/>
                </w:tcPr>
                <w:p w14:paraId="0AF1426D">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674" w:type="pct"/>
                  <w:tcBorders>
                    <w:tl2br w:val="nil"/>
                    <w:tr2bl w:val="nil"/>
                  </w:tcBorders>
                  <w:noWrap w:val="0"/>
                  <w:vAlign w:val="center"/>
                </w:tcPr>
                <w:p w14:paraId="17777107">
                  <w:p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05</w:t>
                  </w:r>
                </w:p>
              </w:tc>
            </w:tr>
            <w:tr w14:paraId="1F1B4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099" w:type="pct"/>
                  <w:tcBorders>
                    <w:tl2br w:val="nil"/>
                    <w:tr2bl w:val="nil"/>
                  </w:tcBorders>
                  <w:noWrap w:val="0"/>
                  <w:vAlign w:val="center"/>
                </w:tcPr>
                <w:p w14:paraId="71547EE5">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硫化物</w:t>
                  </w:r>
                </w:p>
              </w:tc>
              <w:tc>
                <w:tcPr>
                  <w:tcW w:w="1549" w:type="pct"/>
                  <w:tcBorders>
                    <w:tl2br w:val="nil"/>
                    <w:tr2bl w:val="nil"/>
                  </w:tcBorders>
                  <w:noWrap w:val="0"/>
                  <w:vAlign w:val="center"/>
                </w:tcPr>
                <w:p w14:paraId="01B114D7">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1677" w:type="pct"/>
                  <w:tcBorders>
                    <w:tl2br w:val="nil"/>
                    <w:tr2bl w:val="nil"/>
                  </w:tcBorders>
                  <w:noWrap w:val="0"/>
                  <w:vAlign w:val="center"/>
                </w:tcPr>
                <w:p w14:paraId="31DBF614">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674" w:type="pct"/>
                  <w:tcBorders>
                    <w:tl2br w:val="nil"/>
                    <w:tr2bl w:val="nil"/>
                  </w:tcBorders>
                  <w:noWrap w:val="0"/>
                  <w:vAlign w:val="center"/>
                </w:tcPr>
                <w:p w14:paraId="43A24A9C">
                  <w:pPr>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0.1</w:t>
                  </w:r>
                </w:p>
              </w:tc>
            </w:tr>
            <w:tr w14:paraId="00799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exact"/>
                <w:jc w:val="center"/>
              </w:trPr>
              <w:tc>
                <w:tcPr>
                  <w:tcW w:w="5000" w:type="pct"/>
                  <w:gridSpan w:val="4"/>
                  <w:tcBorders>
                    <w:tl2br w:val="nil"/>
                    <w:tr2bl w:val="nil"/>
                  </w:tcBorders>
                  <w:noWrap w:val="0"/>
                  <w:vAlign w:val="center"/>
                </w:tcPr>
                <w:p w14:paraId="02910D8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注：</w:t>
                  </w:r>
                  <w:r>
                    <w:rPr>
                      <w:rFonts w:hint="default" w:ascii="Times New Roman" w:hAnsi="Times New Roman" w:cs="Times New Roman"/>
                      <w:b w:val="0"/>
                      <w:bCs/>
                      <w:color w:val="auto"/>
                      <w:sz w:val="21"/>
                      <w:szCs w:val="21"/>
                      <w:highlight w:val="none"/>
                    </w:rPr>
                    <w:t>pH值为无量纲</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L</w:t>
                  </w:r>
                  <w:r>
                    <w:rPr>
                      <w:rFonts w:hint="eastAsia" w:cs="Times New Roman"/>
                      <w:b w:val="0"/>
                      <w:bCs/>
                      <w:color w:val="auto"/>
                      <w:sz w:val="21"/>
                      <w:szCs w:val="21"/>
                      <w:highlight w:val="none"/>
                      <w:lang w:eastAsia="zh-CN"/>
                    </w:rPr>
                    <w:t>”表示未检出。</w:t>
                  </w:r>
                </w:p>
              </w:tc>
            </w:tr>
          </w:tbl>
          <w:p w14:paraId="7EBBDA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根据上表可知，项目评价区地表水监测断面</w:t>
            </w:r>
            <w:r>
              <w:rPr>
                <w:rFonts w:hint="eastAsia" w:cs="Times New Roman"/>
                <w:color w:val="auto"/>
                <w:sz w:val="24"/>
                <w:highlight w:val="none"/>
                <w:lang w:val="en-US" w:eastAsia="zh-CN"/>
              </w:rPr>
              <w:t>各监测</w:t>
            </w:r>
            <w:r>
              <w:rPr>
                <w:rFonts w:hint="default" w:ascii="Times New Roman" w:hAnsi="Times New Roman" w:cs="Times New Roman"/>
                <w:color w:val="auto"/>
                <w:sz w:val="24"/>
                <w:highlight w:val="none"/>
                <w:lang w:val="en-US" w:eastAsia="zh-CN"/>
              </w:rPr>
              <w:t>因子结果均符合《地表水环境质量标准》（GB3838-2002）Ⅱ类标准</w:t>
            </w:r>
            <w:r>
              <w:rPr>
                <w:rFonts w:hint="default" w:ascii="Times New Roman" w:hAnsi="Times New Roman" w:cs="Times New Roman"/>
                <w:color w:val="auto"/>
                <w:sz w:val="24"/>
                <w:highlight w:val="none"/>
              </w:rPr>
              <w:t>。</w:t>
            </w:r>
          </w:p>
          <w:p w14:paraId="7F614E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lang w:val="en-US" w:eastAsia="zh-CN"/>
              </w:rPr>
              <w:t>声环境</w:t>
            </w:r>
          </w:p>
          <w:p w14:paraId="6597FE8F">
            <w:pPr>
              <w:autoSpaceDE w:val="0"/>
              <w:autoSpaceDN w:val="0"/>
              <w:adjustRightInd w:val="0"/>
              <w:snapToGrid w:val="0"/>
              <w:spacing w:line="360" w:lineRule="auto"/>
              <w:ind w:firstLine="480"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本项目50m范围内无声环境保护目标，故本次不进行声环境质量现状监测。</w:t>
            </w:r>
          </w:p>
          <w:p w14:paraId="596CCCF5">
            <w:pPr>
              <w:numPr>
                <w:ilvl w:val="0"/>
                <w:numId w:val="0"/>
              </w:numPr>
              <w:autoSpaceDE w:val="0"/>
              <w:autoSpaceDN w:val="0"/>
              <w:adjustRightInd w:val="0"/>
              <w:snapToGrid w:val="0"/>
              <w:spacing w:line="360" w:lineRule="auto"/>
              <w:ind w:leftChars="0" w:firstLine="482" w:firstLineChars="200"/>
              <w:jc w:val="left"/>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四、生态环境质量现状</w:t>
            </w:r>
          </w:p>
          <w:p w14:paraId="2644EA8F">
            <w:pPr>
              <w:numPr>
                <w:ilvl w:val="0"/>
                <w:numId w:val="0"/>
              </w:numPr>
              <w:autoSpaceDE w:val="0"/>
              <w:autoSpaceDN w:val="0"/>
              <w:adjustRightInd w:val="0"/>
              <w:snapToGrid w:val="0"/>
              <w:spacing w:line="360" w:lineRule="auto"/>
              <w:ind w:leftChars="0" w:firstLine="480" w:firstLineChars="200"/>
              <w:jc w:val="left"/>
              <w:rPr>
                <w:rFonts w:hint="eastAsia" w:eastAsia="宋体" w:cs="Times New Roman"/>
                <w:b/>
                <w:bCs/>
                <w:color w:val="auto"/>
                <w:sz w:val="24"/>
                <w:szCs w:val="24"/>
                <w:highlight w:val="none"/>
                <w:lang w:val="en-US" w:eastAsia="zh-CN"/>
              </w:rPr>
            </w:pPr>
            <w:r>
              <w:rPr>
                <w:rFonts w:ascii="Times New Roman" w:hAnsi="Times New Roman"/>
                <w:color w:val="auto"/>
                <w:kern w:val="0"/>
                <w:sz w:val="24"/>
                <w:highlight w:val="none"/>
              </w:rPr>
              <w:t>经现场踏勘，本项目</w:t>
            </w:r>
            <w:r>
              <w:rPr>
                <w:rFonts w:hint="eastAsia" w:ascii="Times New Roman" w:hAnsi="Times New Roman"/>
                <w:color w:val="auto"/>
                <w:kern w:val="0"/>
                <w:sz w:val="24"/>
                <w:highlight w:val="none"/>
                <w:lang w:eastAsia="zh-CN"/>
              </w:rPr>
              <w:t>位于</w:t>
            </w:r>
            <w:r>
              <w:rPr>
                <w:rFonts w:hint="default" w:ascii="Times New Roman" w:hAnsi="Times New Roman" w:cs="Times New Roman"/>
                <w:color w:val="auto"/>
                <w:sz w:val="24"/>
                <w:highlight w:val="none"/>
                <w:lang w:val="en-US" w:eastAsia="zh-CN"/>
              </w:rPr>
              <w:t>汉中市</w:t>
            </w:r>
            <w:r>
              <w:rPr>
                <w:rFonts w:hint="eastAsia" w:cs="Times New Roman"/>
                <w:color w:val="auto"/>
                <w:sz w:val="24"/>
                <w:highlight w:val="none"/>
                <w:lang w:val="en-US" w:eastAsia="zh-CN"/>
              </w:rPr>
              <w:t>洋</w:t>
            </w:r>
            <w:r>
              <w:rPr>
                <w:rFonts w:hint="default" w:ascii="Times New Roman" w:hAnsi="Times New Roman" w:cs="Times New Roman"/>
                <w:color w:val="auto"/>
                <w:sz w:val="24"/>
                <w:highlight w:val="none"/>
                <w:lang w:val="en-US" w:eastAsia="zh-CN"/>
              </w:rPr>
              <w:t>县</w:t>
            </w:r>
            <w:r>
              <w:rPr>
                <w:rFonts w:hint="eastAsia" w:cs="Times New Roman"/>
                <w:color w:val="auto"/>
                <w:sz w:val="24"/>
                <w:highlight w:val="none"/>
                <w:lang w:val="en-US" w:eastAsia="zh-CN"/>
              </w:rPr>
              <w:t>谢村镇四</w:t>
            </w:r>
            <w:r>
              <w:rPr>
                <w:rFonts w:hint="default" w:ascii="Times New Roman" w:hAnsi="Times New Roman" w:cs="Times New Roman"/>
                <w:color w:val="auto"/>
                <w:sz w:val="24"/>
                <w:highlight w:val="none"/>
                <w:lang w:val="en-US" w:eastAsia="zh-CN"/>
              </w:rPr>
              <w:t>〇</w:t>
            </w:r>
            <w:r>
              <w:rPr>
                <w:rFonts w:hint="eastAsia" w:cs="Times New Roman"/>
                <w:color w:val="auto"/>
                <w:sz w:val="24"/>
                <w:highlight w:val="none"/>
                <w:lang w:val="en-US" w:eastAsia="zh-CN"/>
              </w:rPr>
              <w:t>五社区，属产业园区外，且本次无新增占地，</w:t>
            </w:r>
            <w:r>
              <w:rPr>
                <w:rFonts w:ascii="Times New Roman" w:hAnsi="Times New Roman"/>
                <w:color w:val="auto"/>
                <w:kern w:val="0"/>
                <w:sz w:val="24"/>
                <w:highlight w:val="none"/>
              </w:rPr>
              <w:t>用地范围内无生态环境保护目标</w:t>
            </w:r>
            <w:r>
              <w:rPr>
                <w:rFonts w:hint="eastAsia" w:ascii="Times New Roman" w:hAnsi="Times New Roman"/>
                <w:color w:val="auto"/>
                <w:kern w:val="0"/>
                <w:sz w:val="24"/>
                <w:highlight w:val="none"/>
                <w:lang w:eastAsia="zh-CN"/>
              </w:rPr>
              <w:t>。</w:t>
            </w:r>
          </w:p>
        </w:tc>
      </w:tr>
      <w:tr w14:paraId="02B842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00" w:type="dxa"/>
            <w:noWrap w:val="0"/>
            <w:vAlign w:val="center"/>
          </w:tcPr>
          <w:p w14:paraId="6BA244CA">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w:t>
            </w:r>
          </w:p>
          <w:p w14:paraId="5B2F9596">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保护</w:t>
            </w:r>
          </w:p>
          <w:p w14:paraId="10C1F1D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szCs w:val="24"/>
                <w:highlight w:val="none"/>
              </w:rPr>
              <w:t>目标</w:t>
            </w:r>
          </w:p>
        </w:tc>
        <w:tc>
          <w:tcPr>
            <w:tcW w:w="8190" w:type="dxa"/>
            <w:noWrap w:val="0"/>
            <w:vAlign w:val="center"/>
          </w:tcPr>
          <w:p w14:paraId="29648D4C">
            <w:pPr>
              <w:adjustRightInd w:val="0"/>
              <w:snapToGrid w:val="0"/>
              <w:spacing w:line="360" w:lineRule="auto"/>
              <w:ind w:firstLine="482" w:firstLineChars="200"/>
              <w:jc w:val="left"/>
              <w:rPr>
                <w:rFonts w:ascii="Times New Roman" w:hAnsi="Times New Roman"/>
                <w:color w:val="auto"/>
                <w:highlight w:val="none"/>
              </w:rPr>
            </w:pPr>
            <w:r>
              <w:rPr>
                <w:rFonts w:hint="eastAsia" w:ascii="Times New Roman" w:hAnsi="Times New Roman"/>
                <w:b/>
                <w:bCs/>
                <w:color w:val="auto"/>
                <w:sz w:val="24"/>
                <w:highlight w:val="none"/>
                <w:lang w:eastAsia="zh-CN"/>
              </w:rPr>
              <w:t>一、</w:t>
            </w:r>
            <w:r>
              <w:rPr>
                <w:rFonts w:ascii="Times New Roman" w:hAnsi="Times New Roman"/>
                <w:b/>
                <w:bCs/>
                <w:color w:val="auto"/>
                <w:sz w:val="24"/>
                <w:highlight w:val="none"/>
              </w:rPr>
              <w:t>大气环境保护目标：</w:t>
            </w:r>
          </w:p>
          <w:p w14:paraId="682B81A9">
            <w:pPr>
              <w:pStyle w:val="40"/>
              <w:spacing w:line="360" w:lineRule="auto"/>
              <w:ind w:firstLine="480" w:firstLineChars="200"/>
              <w:rPr>
                <w:rFonts w:hint="default" w:ascii="Times New Roman" w:eastAsia="宋体"/>
                <w:color w:val="auto"/>
                <w:highlight w:val="none"/>
              </w:rPr>
            </w:pPr>
            <w:r>
              <w:rPr>
                <w:rFonts w:hint="eastAsia" w:ascii="Times New Roman" w:eastAsia="宋体"/>
                <w:color w:val="auto"/>
                <w:highlight w:val="none"/>
                <w:lang w:eastAsia="zh-CN"/>
              </w:rPr>
              <w:t>经调查，本项目</w:t>
            </w:r>
            <w:r>
              <w:rPr>
                <w:rFonts w:hint="default" w:ascii="Times New Roman" w:eastAsia="宋体"/>
                <w:color w:val="auto"/>
                <w:highlight w:val="none"/>
              </w:rPr>
              <w:t>周边500m范围内无自然保护区、风景名胜区等敏感区</w:t>
            </w:r>
            <w:r>
              <w:rPr>
                <w:rFonts w:ascii="Times New Roman" w:eastAsia="宋体"/>
                <w:color w:val="auto"/>
                <w:highlight w:val="none"/>
              </w:rPr>
              <w:t>，</w:t>
            </w:r>
            <w:r>
              <w:rPr>
                <w:rFonts w:hint="default" w:ascii="Times New Roman" w:eastAsia="宋体"/>
                <w:color w:val="auto"/>
                <w:highlight w:val="none"/>
              </w:rPr>
              <w:t>项目外环境关系相对简单，具体分布情况如下：</w:t>
            </w:r>
          </w:p>
          <w:p w14:paraId="2FD27F65">
            <w:pPr>
              <w:adjustRightInd w:val="0"/>
              <w:snapToGrid w:val="0"/>
              <w:spacing w:line="360" w:lineRule="auto"/>
              <w:ind w:firstLine="480" w:firstLineChars="200"/>
              <w:rPr>
                <w:rFonts w:hint="eastAsia" w:ascii="Times New Roman" w:hAnsi="Times New Roman"/>
                <w:color w:val="auto"/>
                <w:sz w:val="24"/>
                <w:highlight w:val="none"/>
              </w:rPr>
            </w:pPr>
            <w:r>
              <w:rPr>
                <w:rFonts w:ascii="Times New Roman" w:hAnsi="Times New Roman"/>
                <w:color w:val="auto"/>
                <w:sz w:val="24"/>
                <w:highlight w:val="none"/>
              </w:rPr>
              <w:t>东侧：</w:t>
            </w:r>
            <w:r>
              <w:rPr>
                <w:rFonts w:hint="eastAsia" w:ascii="Times New Roman" w:hAnsi="Times New Roman"/>
                <w:color w:val="auto"/>
                <w:sz w:val="24"/>
                <w:highlight w:val="none"/>
              </w:rPr>
              <w:t>东侧</w:t>
            </w:r>
            <w:r>
              <w:rPr>
                <w:rFonts w:hint="eastAsia"/>
                <w:color w:val="auto"/>
                <w:sz w:val="24"/>
                <w:highlight w:val="none"/>
                <w:lang w:val="en-US" w:eastAsia="zh-CN"/>
              </w:rPr>
              <w:t>5</w:t>
            </w:r>
            <w:r>
              <w:rPr>
                <w:rFonts w:ascii="Times New Roman" w:hAnsi="Times New Roman"/>
                <w:color w:val="auto"/>
                <w:sz w:val="24"/>
                <w:highlight w:val="none"/>
              </w:rPr>
              <w:t>0m</w:t>
            </w:r>
            <w:r>
              <w:rPr>
                <w:rFonts w:hint="eastAsia" w:ascii="Times New Roman" w:hAnsi="Times New Roman"/>
                <w:color w:val="auto"/>
                <w:sz w:val="24"/>
                <w:highlight w:val="none"/>
              </w:rPr>
              <w:t>处为</w:t>
            </w:r>
            <w:r>
              <w:rPr>
                <w:rFonts w:hint="eastAsia"/>
                <w:color w:val="auto"/>
                <w:sz w:val="24"/>
                <w:highlight w:val="none"/>
                <w:lang w:eastAsia="zh-CN"/>
              </w:rPr>
              <w:t>溢水河，溢水河往东分布有</w:t>
            </w:r>
            <w:r>
              <w:rPr>
                <w:rFonts w:hint="eastAsia"/>
                <w:color w:val="auto"/>
                <w:sz w:val="24"/>
                <w:highlight w:val="none"/>
                <w:lang w:eastAsia="zh-CN"/>
              </w:rPr>
              <w:t>住户和农田</w:t>
            </w:r>
            <w:r>
              <w:rPr>
                <w:rFonts w:hint="eastAsia" w:ascii="Times New Roman" w:hAnsi="Times New Roman"/>
                <w:color w:val="auto"/>
                <w:sz w:val="24"/>
                <w:highlight w:val="none"/>
              </w:rPr>
              <w:t>；</w:t>
            </w:r>
          </w:p>
          <w:p w14:paraId="1B36F81A">
            <w:pPr>
              <w:adjustRightInd w:val="0"/>
              <w:snapToGrid w:val="0"/>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南侧：</w:t>
            </w:r>
            <w:r>
              <w:rPr>
                <w:rFonts w:hint="eastAsia"/>
                <w:color w:val="auto"/>
                <w:sz w:val="24"/>
                <w:highlight w:val="none"/>
                <w:lang w:eastAsia="zh-CN"/>
              </w:rPr>
              <w:t>南侧邻近溪沟，溪沟以南为</w:t>
            </w:r>
            <w:r>
              <w:rPr>
                <w:rFonts w:hint="eastAsia"/>
                <w:color w:val="auto"/>
                <w:sz w:val="24"/>
                <w:highlight w:val="none"/>
                <w:lang w:val="en-US" w:eastAsia="zh-CN"/>
              </w:rPr>
              <w:t>405专线以及大面积农田</w:t>
            </w:r>
            <w:r>
              <w:rPr>
                <w:rFonts w:ascii="Times New Roman" w:hAnsi="Times New Roman"/>
                <w:color w:val="auto"/>
                <w:sz w:val="24"/>
                <w:highlight w:val="none"/>
              </w:rPr>
              <w:t>；</w:t>
            </w:r>
          </w:p>
          <w:p w14:paraId="2999E025">
            <w:pPr>
              <w:adjustRightInd w:val="0"/>
              <w:snapToGrid w:val="0"/>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北侧：</w:t>
            </w:r>
            <w:r>
              <w:rPr>
                <w:rFonts w:hint="eastAsia" w:ascii="Times New Roman" w:hAnsi="Times New Roman"/>
                <w:color w:val="auto"/>
                <w:sz w:val="24"/>
                <w:highlight w:val="none"/>
              </w:rPr>
              <w:t>北侧</w:t>
            </w:r>
            <w:r>
              <w:rPr>
                <w:rFonts w:hint="eastAsia"/>
                <w:color w:val="auto"/>
                <w:sz w:val="24"/>
                <w:highlight w:val="none"/>
                <w:lang w:eastAsia="zh-CN"/>
              </w:rPr>
              <w:t>零散分布有废弃的工业场地</w:t>
            </w:r>
            <w:r>
              <w:rPr>
                <w:rFonts w:ascii="Times New Roman" w:hAnsi="Times New Roman"/>
                <w:color w:val="auto"/>
                <w:sz w:val="24"/>
                <w:highlight w:val="none"/>
              </w:rPr>
              <w:t>；</w:t>
            </w:r>
          </w:p>
          <w:p w14:paraId="6B5D766C">
            <w:pPr>
              <w:pStyle w:val="5"/>
              <w:spacing w:line="360" w:lineRule="auto"/>
              <w:ind w:firstLine="480" w:firstLineChars="200"/>
              <w:rPr>
                <w:rFonts w:ascii="Times New Roman" w:hAnsi="Times New Roman"/>
                <w:color w:val="auto"/>
                <w:highlight w:val="none"/>
                <w:lang w:val="en-US" w:eastAsia="zh-CN"/>
              </w:rPr>
            </w:pPr>
            <w:r>
              <w:rPr>
                <w:rFonts w:ascii="Times New Roman" w:hAnsi="Times New Roman"/>
                <w:color w:val="auto"/>
                <w:highlight w:val="none"/>
                <w:lang w:val="en-US" w:eastAsia="zh-CN"/>
              </w:rPr>
              <w:t>西侧：</w:t>
            </w:r>
            <w:r>
              <w:rPr>
                <w:rFonts w:hint="eastAsia" w:ascii="Times New Roman" w:hAnsi="Times New Roman"/>
                <w:color w:val="auto"/>
                <w:highlight w:val="none"/>
                <w:lang w:val="en-US" w:eastAsia="zh-CN"/>
              </w:rPr>
              <w:t>西侧</w:t>
            </w:r>
            <w:r>
              <w:rPr>
                <w:rFonts w:hint="eastAsia"/>
                <w:color w:val="auto"/>
                <w:highlight w:val="none"/>
                <w:lang w:val="en-US" w:eastAsia="zh-CN"/>
              </w:rPr>
              <w:t>115</w:t>
            </w:r>
            <w:r>
              <w:rPr>
                <w:rFonts w:ascii="Times New Roman" w:hAnsi="Times New Roman"/>
                <w:color w:val="auto"/>
                <w:highlight w:val="none"/>
                <w:lang w:val="en-US" w:eastAsia="zh-CN"/>
              </w:rPr>
              <w:t>m</w:t>
            </w:r>
            <w:r>
              <w:rPr>
                <w:rFonts w:hint="eastAsia" w:ascii="Times New Roman" w:hAnsi="Times New Roman"/>
                <w:color w:val="auto"/>
                <w:highlight w:val="none"/>
                <w:lang w:val="en-US" w:eastAsia="zh-CN"/>
              </w:rPr>
              <w:t>处</w:t>
            </w:r>
            <w:r>
              <w:rPr>
                <w:rFonts w:hint="eastAsia"/>
                <w:color w:val="auto"/>
                <w:highlight w:val="none"/>
                <w:lang w:val="en-US" w:eastAsia="zh-CN"/>
              </w:rPr>
              <w:t>为废弃的厂区及住宿楼；西北侧250m处为下溢水村住户</w:t>
            </w:r>
            <w:r>
              <w:rPr>
                <w:rFonts w:ascii="Times New Roman" w:hAnsi="Times New Roman"/>
                <w:color w:val="auto"/>
                <w:highlight w:val="none"/>
                <w:lang w:val="en-US" w:eastAsia="zh-CN"/>
              </w:rPr>
              <w:t>。</w:t>
            </w:r>
          </w:p>
          <w:p w14:paraId="7E2E1A6D">
            <w:pPr>
              <w:pStyle w:val="5"/>
              <w:spacing w:line="360" w:lineRule="auto"/>
              <w:ind w:firstLine="480" w:firstLineChars="200"/>
              <w:rPr>
                <w:rFonts w:ascii="Times New Roman" w:hAnsi="Times New Roman"/>
                <w:color w:val="auto"/>
                <w:highlight w:val="none"/>
                <w:lang w:val="en-US" w:eastAsia="zh-CN"/>
              </w:rPr>
            </w:pPr>
            <w:r>
              <w:rPr>
                <w:rFonts w:ascii="Times New Roman" w:hAnsi="Times New Roman"/>
                <w:color w:val="auto"/>
                <w:highlight w:val="none"/>
                <w:lang w:val="en-US" w:eastAsia="zh-CN"/>
              </w:rPr>
              <w:t>综上，</w:t>
            </w:r>
            <w:r>
              <w:rPr>
                <w:rFonts w:hint="eastAsia"/>
                <w:color w:val="auto"/>
                <w:highlight w:val="none"/>
                <w:lang w:val="en-US" w:eastAsia="zh-CN"/>
              </w:rPr>
              <w:t>厂区500m范围内</w:t>
            </w:r>
            <w:r>
              <w:rPr>
                <w:rFonts w:ascii="Times New Roman" w:hAnsi="Times New Roman"/>
                <w:color w:val="auto"/>
                <w:highlight w:val="none"/>
                <w:lang w:val="en-US" w:eastAsia="zh-CN"/>
              </w:rPr>
              <w:t>大气环境保护目标（见附图5）见下表：</w:t>
            </w:r>
          </w:p>
          <w:p w14:paraId="222F2269">
            <w:pPr>
              <w:adjustRightInd w:val="0"/>
              <w:snapToGrid w:val="0"/>
              <w:jc w:val="center"/>
              <w:rPr>
                <w:rFonts w:ascii="Times New Roman" w:hAnsi="Times New Roman"/>
                <w:b/>
                <w:bCs/>
                <w:color w:val="auto"/>
                <w:kern w:val="0"/>
                <w:szCs w:val="21"/>
                <w:highlight w:val="none"/>
              </w:rPr>
            </w:pPr>
            <w:bookmarkStart w:id="45" w:name="_Ref287340937"/>
            <w:r>
              <w:rPr>
                <w:rFonts w:ascii="Times New Roman" w:hAnsi="Times New Roman"/>
                <w:b/>
                <w:bCs/>
                <w:color w:val="auto"/>
                <w:kern w:val="0"/>
                <w:szCs w:val="21"/>
                <w:highlight w:val="none"/>
              </w:rPr>
              <w:t>表</w:t>
            </w:r>
            <w:bookmarkEnd w:id="45"/>
            <w:r>
              <w:rPr>
                <w:rFonts w:ascii="Times New Roman" w:hAnsi="Times New Roman"/>
                <w:b/>
                <w:bCs/>
                <w:color w:val="auto"/>
                <w:kern w:val="0"/>
                <w:szCs w:val="21"/>
                <w:highlight w:val="none"/>
              </w:rPr>
              <w:t>3-5  项目大气环境保护目标一览表</w:t>
            </w:r>
          </w:p>
          <w:tbl>
            <w:tblPr>
              <w:tblStyle w:val="31"/>
              <w:tblW w:w="498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940"/>
              <w:gridCol w:w="1225"/>
              <w:gridCol w:w="1379"/>
              <w:gridCol w:w="950"/>
              <w:gridCol w:w="1088"/>
              <w:gridCol w:w="956"/>
              <w:gridCol w:w="1419"/>
            </w:tblGrid>
            <w:tr w14:paraId="11FB28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94" w:hRule="atLeast"/>
                <w:jc w:val="center"/>
              </w:trPr>
              <w:tc>
                <w:tcPr>
                  <w:tcW w:w="1360" w:type="pct"/>
                  <w:gridSpan w:val="2"/>
                  <w:tcBorders>
                    <w:top w:val="single" w:color="auto" w:sz="12" w:space="0"/>
                    <w:bottom w:val="single" w:color="auto" w:sz="4" w:space="0"/>
                  </w:tcBorders>
                  <w:noWrap w:val="0"/>
                  <w:vAlign w:val="center"/>
                </w:tcPr>
                <w:p w14:paraId="7C40EE5E">
                  <w:pPr>
                    <w:widowControl/>
                    <w:spacing w:line="24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坐标</w:t>
                  </w:r>
                </w:p>
              </w:tc>
              <w:tc>
                <w:tcPr>
                  <w:tcW w:w="866" w:type="pct"/>
                  <w:vMerge w:val="restart"/>
                  <w:tcBorders>
                    <w:top w:val="single" w:color="auto" w:sz="12" w:space="0"/>
                  </w:tcBorders>
                  <w:noWrap w:val="0"/>
                  <w:vAlign w:val="center"/>
                </w:tcPr>
                <w:p w14:paraId="40509278">
                  <w:pPr>
                    <w:widowControl/>
                    <w:spacing w:line="24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保护对象</w:t>
                  </w:r>
                </w:p>
              </w:tc>
              <w:tc>
                <w:tcPr>
                  <w:tcW w:w="596" w:type="pct"/>
                  <w:vMerge w:val="restart"/>
                  <w:tcBorders>
                    <w:top w:val="single" w:color="auto" w:sz="12" w:space="0"/>
                  </w:tcBorders>
                  <w:noWrap w:val="0"/>
                  <w:vAlign w:val="center"/>
                </w:tcPr>
                <w:p w14:paraId="470665F3">
                  <w:pPr>
                    <w:spacing w:line="240" w:lineRule="exact"/>
                    <w:jc w:val="center"/>
                    <w:rPr>
                      <w:rFonts w:ascii="Times New Roman" w:hAnsi="Times New Roman"/>
                      <w:b/>
                      <w:bCs/>
                      <w:color w:val="auto"/>
                      <w:szCs w:val="21"/>
                      <w:highlight w:val="none"/>
                    </w:rPr>
                  </w:pPr>
                  <w:r>
                    <w:rPr>
                      <w:rFonts w:ascii="Times New Roman" w:hAnsi="Times New Roman"/>
                      <w:b/>
                      <w:bCs/>
                      <w:color w:val="auto"/>
                      <w:szCs w:val="21"/>
                      <w:highlight w:val="none"/>
                    </w:rPr>
                    <w:t>保护</w:t>
                  </w:r>
                </w:p>
                <w:p w14:paraId="3401803B">
                  <w:pPr>
                    <w:spacing w:line="240" w:lineRule="exact"/>
                    <w:jc w:val="center"/>
                    <w:rPr>
                      <w:rFonts w:ascii="Times New Roman" w:hAnsi="Times New Roman"/>
                      <w:b/>
                      <w:bCs/>
                      <w:color w:val="auto"/>
                      <w:szCs w:val="21"/>
                      <w:highlight w:val="none"/>
                    </w:rPr>
                  </w:pPr>
                  <w:r>
                    <w:rPr>
                      <w:rFonts w:ascii="Times New Roman" w:hAnsi="Times New Roman"/>
                      <w:b/>
                      <w:bCs/>
                      <w:color w:val="auto"/>
                      <w:szCs w:val="21"/>
                      <w:highlight w:val="none"/>
                    </w:rPr>
                    <w:t>内容</w:t>
                  </w:r>
                </w:p>
              </w:tc>
              <w:tc>
                <w:tcPr>
                  <w:tcW w:w="683" w:type="pct"/>
                  <w:vMerge w:val="restart"/>
                  <w:tcBorders>
                    <w:top w:val="single" w:color="auto" w:sz="12" w:space="0"/>
                  </w:tcBorders>
                  <w:noWrap w:val="0"/>
                  <w:vAlign w:val="center"/>
                </w:tcPr>
                <w:p w14:paraId="4DDDEA38">
                  <w:pPr>
                    <w:spacing w:line="240" w:lineRule="exact"/>
                    <w:jc w:val="center"/>
                    <w:rPr>
                      <w:rFonts w:ascii="Times New Roman" w:hAnsi="Times New Roman"/>
                      <w:b/>
                      <w:bCs/>
                      <w:color w:val="auto"/>
                      <w:szCs w:val="21"/>
                      <w:highlight w:val="none"/>
                    </w:rPr>
                  </w:pPr>
                  <w:r>
                    <w:rPr>
                      <w:rFonts w:ascii="Times New Roman" w:hAnsi="Times New Roman"/>
                      <w:b/>
                      <w:bCs/>
                      <w:color w:val="auto"/>
                      <w:szCs w:val="21"/>
                      <w:highlight w:val="none"/>
                    </w:rPr>
                    <w:t>环境</w:t>
                  </w:r>
                </w:p>
                <w:p w14:paraId="38A078D0">
                  <w:pPr>
                    <w:spacing w:line="240" w:lineRule="exact"/>
                    <w:jc w:val="center"/>
                    <w:rPr>
                      <w:rFonts w:ascii="Times New Roman" w:hAnsi="Times New Roman"/>
                      <w:b/>
                      <w:bCs/>
                      <w:color w:val="auto"/>
                      <w:szCs w:val="21"/>
                      <w:highlight w:val="none"/>
                    </w:rPr>
                  </w:pPr>
                  <w:r>
                    <w:rPr>
                      <w:rFonts w:ascii="Times New Roman" w:hAnsi="Times New Roman"/>
                      <w:b/>
                      <w:bCs/>
                      <w:color w:val="auto"/>
                      <w:szCs w:val="21"/>
                      <w:highlight w:val="none"/>
                    </w:rPr>
                    <w:t>功能区</w:t>
                  </w:r>
                </w:p>
              </w:tc>
              <w:tc>
                <w:tcPr>
                  <w:tcW w:w="600" w:type="pct"/>
                  <w:vMerge w:val="restart"/>
                  <w:tcBorders>
                    <w:top w:val="single" w:color="auto" w:sz="12" w:space="0"/>
                  </w:tcBorders>
                  <w:noWrap w:val="0"/>
                  <w:vAlign w:val="center"/>
                </w:tcPr>
                <w:p w14:paraId="5BEBF4A3">
                  <w:pPr>
                    <w:spacing w:line="240" w:lineRule="exact"/>
                    <w:jc w:val="center"/>
                    <w:rPr>
                      <w:rFonts w:ascii="Times New Roman" w:hAnsi="Times New Roman"/>
                      <w:b/>
                      <w:bCs/>
                      <w:color w:val="auto"/>
                      <w:szCs w:val="21"/>
                      <w:highlight w:val="none"/>
                    </w:rPr>
                  </w:pPr>
                  <w:r>
                    <w:rPr>
                      <w:rFonts w:ascii="Times New Roman" w:hAnsi="Times New Roman"/>
                      <w:b/>
                      <w:bCs/>
                      <w:color w:val="auto"/>
                      <w:szCs w:val="21"/>
                      <w:highlight w:val="none"/>
                    </w:rPr>
                    <w:t>相对厂址方位</w:t>
                  </w:r>
                </w:p>
              </w:tc>
              <w:tc>
                <w:tcPr>
                  <w:tcW w:w="891" w:type="pct"/>
                  <w:vMerge w:val="restart"/>
                  <w:tcBorders>
                    <w:top w:val="single" w:color="auto" w:sz="12" w:space="0"/>
                  </w:tcBorders>
                  <w:noWrap w:val="0"/>
                  <w:vAlign w:val="center"/>
                </w:tcPr>
                <w:p w14:paraId="11DB217D">
                  <w:pPr>
                    <w:spacing w:line="240" w:lineRule="exact"/>
                    <w:jc w:val="center"/>
                    <w:rPr>
                      <w:rFonts w:ascii="Times New Roman" w:hAnsi="Times New Roman"/>
                      <w:b/>
                      <w:bCs/>
                      <w:color w:val="auto"/>
                      <w:szCs w:val="21"/>
                      <w:highlight w:val="none"/>
                    </w:rPr>
                  </w:pPr>
                  <w:r>
                    <w:rPr>
                      <w:rFonts w:ascii="Times New Roman" w:hAnsi="Times New Roman"/>
                      <w:b/>
                      <w:bCs/>
                      <w:color w:val="auto"/>
                      <w:szCs w:val="21"/>
                      <w:highlight w:val="none"/>
                    </w:rPr>
                    <w:t>相对厂界最近距离（m）</w:t>
                  </w:r>
                </w:p>
              </w:tc>
            </w:tr>
            <w:tr w14:paraId="587AEE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27" w:hRule="atLeast"/>
                <w:jc w:val="center"/>
              </w:trPr>
              <w:tc>
                <w:tcPr>
                  <w:tcW w:w="590" w:type="pct"/>
                  <w:tcBorders>
                    <w:top w:val="single" w:color="auto" w:sz="4" w:space="0"/>
                    <w:right w:val="single" w:color="auto" w:sz="4" w:space="0"/>
                  </w:tcBorders>
                  <w:noWrap w:val="0"/>
                  <w:vAlign w:val="center"/>
                </w:tcPr>
                <w:p w14:paraId="5B8AF844">
                  <w:pPr>
                    <w:widowControl/>
                    <w:spacing w:line="24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X</w:t>
                  </w:r>
                </w:p>
              </w:tc>
              <w:tc>
                <w:tcPr>
                  <w:tcW w:w="769" w:type="pct"/>
                  <w:tcBorders>
                    <w:top w:val="single" w:color="auto" w:sz="4" w:space="0"/>
                    <w:left w:val="single" w:color="auto" w:sz="4" w:space="0"/>
                  </w:tcBorders>
                  <w:noWrap w:val="0"/>
                  <w:vAlign w:val="center"/>
                </w:tcPr>
                <w:p w14:paraId="607B1C5B">
                  <w:pPr>
                    <w:widowControl/>
                    <w:spacing w:line="24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Y</w:t>
                  </w:r>
                </w:p>
              </w:tc>
              <w:tc>
                <w:tcPr>
                  <w:tcW w:w="866" w:type="pct"/>
                  <w:vMerge w:val="continue"/>
                  <w:noWrap w:val="0"/>
                  <w:vAlign w:val="center"/>
                </w:tcPr>
                <w:p w14:paraId="4C4B2AA7">
                  <w:pPr>
                    <w:widowControl/>
                    <w:spacing w:line="240" w:lineRule="exact"/>
                    <w:jc w:val="center"/>
                    <w:rPr>
                      <w:rFonts w:ascii="Times New Roman" w:hAnsi="Times New Roman"/>
                      <w:b/>
                      <w:bCs/>
                      <w:color w:val="auto"/>
                      <w:kern w:val="0"/>
                      <w:szCs w:val="21"/>
                      <w:highlight w:val="none"/>
                    </w:rPr>
                  </w:pPr>
                </w:p>
              </w:tc>
              <w:tc>
                <w:tcPr>
                  <w:tcW w:w="596" w:type="pct"/>
                  <w:vMerge w:val="continue"/>
                  <w:noWrap w:val="0"/>
                  <w:vAlign w:val="center"/>
                </w:tcPr>
                <w:p w14:paraId="0708B727">
                  <w:pPr>
                    <w:spacing w:line="240" w:lineRule="exact"/>
                    <w:jc w:val="center"/>
                    <w:rPr>
                      <w:rFonts w:ascii="Times New Roman" w:hAnsi="Times New Roman"/>
                      <w:b/>
                      <w:bCs/>
                      <w:color w:val="auto"/>
                      <w:szCs w:val="21"/>
                      <w:highlight w:val="none"/>
                    </w:rPr>
                  </w:pPr>
                </w:p>
              </w:tc>
              <w:tc>
                <w:tcPr>
                  <w:tcW w:w="683" w:type="pct"/>
                  <w:vMerge w:val="continue"/>
                  <w:noWrap w:val="0"/>
                  <w:vAlign w:val="center"/>
                </w:tcPr>
                <w:p w14:paraId="236CB836">
                  <w:pPr>
                    <w:spacing w:line="240" w:lineRule="exact"/>
                    <w:jc w:val="center"/>
                    <w:rPr>
                      <w:rFonts w:ascii="Times New Roman" w:hAnsi="Times New Roman"/>
                      <w:b/>
                      <w:bCs/>
                      <w:color w:val="auto"/>
                      <w:szCs w:val="21"/>
                      <w:highlight w:val="none"/>
                    </w:rPr>
                  </w:pPr>
                </w:p>
              </w:tc>
              <w:tc>
                <w:tcPr>
                  <w:tcW w:w="600" w:type="pct"/>
                  <w:vMerge w:val="continue"/>
                  <w:noWrap w:val="0"/>
                  <w:vAlign w:val="center"/>
                </w:tcPr>
                <w:p w14:paraId="0F7C2799">
                  <w:pPr>
                    <w:spacing w:line="240" w:lineRule="exact"/>
                    <w:jc w:val="center"/>
                    <w:rPr>
                      <w:rFonts w:ascii="Times New Roman" w:hAnsi="Times New Roman"/>
                      <w:b/>
                      <w:bCs/>
                      <w:color w:val="auto"/>
                      <w:szCs w:val="21"/>
                      <w:highlight w:val="none"/>
                    </w:rPr>
                  </w:pPr>
                </w:p>
              </w:tc>
              <w:tc>
                <w:tcPr>
                  <w:tcW w:w="891" w:type="pct"/>
                  <w:vMerge w:val="continue"/>
                  <w:noWrap w:val="0"/>
                  <w:vAlign w:val="center"/>
                </w:tcPr>
                <w:p w14:paraId="39BD04ED">
                  <w:pPr>
                    <w:spacing w:line="240" w:lineRule="exact"/>
                    <w:jc w:val="center"/>
                    <w:rPr>
                      <w:rFonts w:ascii="Times New Roman" w:hAnsi="Times New Roman"/>
                      <w:b/>
                      <w:bCs/>
                      <w:color w:val="auto"/>
                      <w:szCs w:val="21"/>
                      <w:highlight w:val="none"/>
                    </w:rPr>
                  </w:pPr>
                </w:p>
              </w:tc>
            </w:tr>
            <w:tr w14:paraId="540B50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20" w:hRule="atLeast"/>
                <w:jc w:val="center"/>
              </w:trPr>
              <w:tc>
                <w:tcPr>
                  <w:tcW w:w="590" w:type="pct"/>
                  <w:tcBorders>
                    <w:top w:val="single" w:color="auto" w:sz="4" w:space="0"/>
                    <w:bottom w:val="single" w:color="auto" w:sz="4" w:space="0"/>
                    <w:right w:val="single" w:color="auto" w:sz="4" w:space="0"/>
                  </w:tcBorders>
                  <w:noWrap w:val="0"/>
                  <w:vAlign w:val="center"/>
                </w:tcPr>
                <w:p w14:paraId="63B0B096">
                  <w:pPr>
                    <w:widowControl/>
                    <w:jc w:val="center"/>
                    <w:textAlignment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727980</w:t>
                  </w:r>
                </w:p>
              </w:tc>
              <w:tc>
                <w:tcPr>
                  <w:tcW w:w="769" w:type="pct"/>
                  <w:tcBorders>
                    <w:top w:val="single" w:color="auto" w:sz="4" w:space="0"/>
                    <w:left w:val="single" w:color="auto" w:sz="4" w:space="0"/>
                    <w:bottom w:val="single" w:color="auto" w:sz="4" w:space="0"/>
                  </w:tcBorders>
                  <w:noWrap w:val="0"/>
                  <w:vAlign w:val="center"/>
                </w:tcPr>
                <w:p w14:paraId="0E9DA112">
                  <w:pPr>
                    <w:widowControl/>
                    <w:jc w:val="center"/>
                    <w:textAlignment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3678787</w:t>
                  </w:r>
                </w:p>
              </w:tc>
              <w:tc>
                <w:tcPr>
                  <w:tcW w:w="866" w:type="pct"/>
                  <w:tcBorders>
                    <w:top w:val="single" w:color="auto" w:sz="4" w:space="0"/>
                    <w:bottom w:val="single" w:color="auto" w:sz="4" w:space="0"/>
                  </w:tcBorders>
                  <w:noWrap w:val="0"/>
                  <w:vAlign w:val="center"/>
                </w:tcPr>
                <w:p w14:paraId="7F77EFD0">
                  <w:pPr>
                    <w:widowControl/>
                    <w:jc w:val="center"/>
                    <w:textAlignment w:val="center"/>
                    <w:rPr>
                      <w:rFonts w:ascii="Times New Roman" w:hAnsi="Times New Roman"/>
                      <w:color w:val="auto"/>
                      <w:szCs w:val="21"/>
                      <w:highlight w:val="none"/>
                    </w:rPr>
                  </w:pPr>
                  <w:r>
                    <w:rPr>
                      <w:rFonts w:hint="eastAsia"/>
                      <w:color w:val="auto"/>
                      <w:highlight w:val="none"/>
                      <w:lang w:val="en-US" w:eastAsia="zh-CN"/>
                    </w:rPr>
                    <w:t>下溢水村住户</w:t>
                  </w:r>
                </w:p>
              </w:tc>
              <w:tc>
                <w:tcPr>
                  <w:tcW w:w="596" w:type="pct"/>
                  <w:tcBorders>
                    <w:top w:val="single" w:color="auto" w:sz="4" w:space="0"/>
                  </w:tcBorders>
                  <w:noWrap w:val="0"/>
                  <w:vAlign w:val="center"/>
                </w:tcPr>
                <w:p w14:paraId="62B98B45">
                  <w:pPr>
                    <w:spacing w:before="72" w:beforeLines="30" w:after="72" w:afterLines="30" w:line="240" w:lineRule="exact"/>
                    <w:jc w:val="center"/>
                    <w:rPr>
                      <w:rFonts w:ascii="Times New Roman" w:hAnsi="Times New Roman"/>
                      <w:color w:val="auto"/>
                      <w:szCs w:val="21"/>
                      <w:highlight w:val="none"/>
                    </w:rPr>
                  </w:pPr>
                  <w:r>
                    <w:rPr>
                      <w:rFonts w:ascii="Times New Roman" w:hAnsi="Times New Roman"/>
                      <w:color w:val="auto"/>
                      <w:szCs w:val="21"/>
                      <w:highlight w:val="none"/>
                    </w:rPr>
                    <w:t xml:space="preserve">居民 </w:t>
                  </w:r>
                </w:p>
              </w:tc>
              <w:tc>
                <w:tcPr>
                  <w:tcW w:w="683" w:type="pct"/>
                  <w:tcBorders>
                    <w:top w:val="single" w:color="auto" w:sz="4" w:space="0"/>
                  </w:tcBorders>
                  <w:noWrap w:val="0"/>
                  <w:vAlign w:val="center"/>
                </w:tcPr>
                <w:p w14:paraId="671F25D2">
                  <w:pPr>
                    <w:spacing w:before="72" w:beforeLines="30" w:after="72" w:afterLines="30" w:line="240" w:lineRule="exact"/>
                    <w:jc w:val="center"/>
                    <w:rPr>
                      <w:rFonts w:ascii="Times New Roman" w:hAnsi="Times New Roman"/>
                      <w:color w:val="auto"/>
                      <w:szCs w:val="21"/>
                      <w:highlight w:val="none"/>
                    </w:rPr>
                  </w:pPr>
                  <w:r>
                    <w:rPr>
                      <w:rFonts w:ascii="Times New Roman" w:hAnsi="Times New Roman"/>
                      <w:color w:val="auto"/>
                      <w:szCs w:val="21"/>
                      <w:highlight w:val="none"/>
                    </w:rPr>
                    <w:t>环境空气二类区</w:t>
                  </w:r>
                </w:p>
              </w:tc>
              <w:tc>
                <w:tcPr>
                  <w:tcW w:w="600" w:type="pct"/>
                  <w:tcBorders>
                    <w:top w:val="single" w:color="auto" w:sz="4" w:space="0"/>
                    <w:bottom w:val="single" w:color="auto" w:sz="4" w:space="0"/>
                  </w:tcBorders>
                  <w:noWrap w:val="0"/>
                  <w:vAlign w:val="center"/>
                </w:tcPr>
                <w:p w14:paraId="47CE417D">
                  <w:pPr>
                    <w:spacing w:before="72" w:beforeLines="30" w:after="72" w:afterLines="30" w:line="240" w:lineRule="exact"/>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NW</w:t>
                  </w:r>
                </w:p>
              </w:tc>
              <w:tc>
                <w:tcPr>
                  <w:tcW w:w="891" w:type="pct"/>
                  <w:tcBorders>
                    <w:top w:val="single" w:color="auto" w:sz="4" w:space="0"/>
                    <w:bottom w:val="single" w:color="auto" w:sz="4" w:space="0"/>
                  </w:tcBorders>
                  <w:noWrap w:val="0"/>
                  <w:vAlign w:val="center"/>
                </w:tcPr>
                <w:p w14:paraId="2F33DDEA">
                  <w:pPr>
                    <w:spacing w:before="72" w:beforeLines="30" w:after="72" w:afterLines="30" w:line="240" w:lineRule="exact"/>
                    <w:jc w:val="center"/>
                    <w:rPr>
                      <w:rFonts w:ascii="Times New Roman" w:hAnsi="Times New Roman"/>
                      <w:color w:val="auto"/>
                      <w:szCs w:val="21"/>
                      <w:highlight w:val="none"/>
                    </w:rPr>
                  </w:pPr>
                  <w:r>
                    <w:rPr>
                      <w:rFonts w:hint="eastAsia"/>
                      <w:color w:val="auto"/>
                      <w:szCs w:val="21"/>
                      <w:highlight w:val="none"/>
                      <w:lang w:val="en-US" w:eastAsia="zh-CN"/>
                    </w:rPr>
                    <w:t>25</w:t>
                  </w:r>
                  <w:r>
                    <w:rPr>
                      <w:rFonts w:ascii="Times New Roman" w:hAnsi="Times New Roman"/>
                      <w:color w:val="auto"/>
                      <w:szCs w:val="21"/>
                      <w:highlight w:val="none"/>
                    </w:rPr>
                    <w:t>0</w:t>
                  </w:r>
                </w:p>
              </w:tc>
            </w:tr>
          </w:tbl>
          <w:p w14:paraId="1958F40C">
            <w:pPr>
              <w:widowControl/>
              <w:numPr>
                <w:ilvl w:val="0"/>
                <w:numId w:val="0"/>
              </w:numPr>
              <w:spacing w:line="360" w:lineRule="auto"/>
              <w:ind w:firstLine="482" w:firstLineChars="200"/>
              <w:rPr>
                <w:rFonts w:ascii="Times New Roman" w:hAnsi="Times New Roman"/>
                <w:b/>
                <w:color w:val="auto"/>
                <w:kern w:val="0"/>
                <w:sz w:val="24"/>
                <w:highlight w:val="none"/>
              </w:rPr>
            </w:pPr>
            <w:r>
              <w:rPr>
                <w:rFonts w:hint="eastAsia" w:ascii="Times New Roman" w:hAnsi="Times New Roman"/>
                <w:b/>
                <w:color w:val="auto"/>
                <w:kern w:val="0"/>
                <w:sz w:val="24"/>
                <w:highlight w:val="none"/>
                <w:lang w:eastAsia="zh-CN"/>
              </w:rPr>
              <w:t>二、</w:t>
            </w:r>
            <w:r>
              <w:rPr>
                <w:rFonts w:ascii="Times New Roman" w:hAnsi="Times New Roman"/>
                <w:b/>
                <w:color w:val="auto"/>
                <w:kern w:val="0"/>
                <w:sz w:val="24"/>
                <w:highlight w:val="none"/>
              </w:rPr>
              <w:t>声环境保护目标</w:t>
            </w:r>
          </w:p>
          <w:p w14:paraId="35BA8FBB">
            <w:pPr>
              <w:widowControl/>
              <w:numPr>
                <w:ilvl w:val="0"/>
                <w:numId w:val="0"/>
              </w:numPr>
              <w:spacing w:line="360" w:lineRule="auto"/>
              <w:ind w:left="482" w:leftChars="0"/>
              <w:rPr>
                <w:rFonts w:ascii="Times New Roman" w:hAnsi="Times New Roman"/>
                <w:b/>
                <w:color w:val="auto"/>
                <w:kern w:val="0"/>
                <w:sz w:val="24"/>
                <w:highlight w:val="none"/>
              </w:rPr>
            </w:pPr>
            <w:r>
              <w:rPr>
                <w:rFonts w:ascii="Times New Roman" w:hAnsi="Times New Roman"/>
                <w:bCs/>
                <w:color w:val="auto"/>
                <w:kern w:val="0"/>
                <w:sz w:val="24"/>
                <w:highlight w:val="none"/>
              </w:rPr>
              <w:t>经现场</w:t>
            </w:r>
            <w:r>
              <w:rPr>
                <w:rFonts w:hint="eastAsia" w:ascii="Times New Roman" w:hAnsi="Times New Roman"/>
                <w:bCs/>
                <w:color w:val="auto"/>
                <w:kern w:val="0"/>
                <w:sz w:val="24"/>
                <w:highlight w:val="none"/>
                <w:lang w:eastAsia="zh-CN"/>
              </w:rPr>
              <w:t>调查</w:t>
            </w:r>
            <w:r>
              <w:rPr>
                <w:rFonts w:ascii="Times New Roman" w:hAnsi="Times New Roman"/>
                <w:bCs/>
                <w:color w:val="auto"/>
                <w:kern w:val="0"/>
                <w:sz w:val="24"/>
                <w:highlight w:val="none"/>
              </w:rPr>
              <w:t>，项目厂界50m范围内</w:t>
            </w:r>
            <w:r>
              <w:rPr>
                <w:rFonts w:hint="eastAsia" w:ascii="Times New Roman" w:hAnsi="Times New Roman"/>
                <w:bCs/>
                <w:color w:val="auto"/>
                <w:kern w:val="0"/>
                <w:sz w:val="24"/>
                <w:highlight w:val="none"/>
                <w:lang w:eastAsia="zh-CN"/>
              </w:rPr>
              <w:t>无</w:t>
            </w:r>
            <w:r>
              <w:rPr>
                <w:rFonts w:ascii="Times New Roman" w:hAnsi="Times New Roman"/>
                <w:bCs/>
                <w:color w:val="auto"/>
                <w:kern w:val="0"/>
                <w:sz w:val="24"/>
                <w:highlight w:val="none"/>
              </w:rPr>
              <w:t>声环境保护目标</w:t>
            </w:r>
            <w:r>
              <w:rPr>
                <w:rFonts w:hint="eastAsia" w:ascii="Times New Roman" w:hAnsi="Times New Roman"/>
                <w:bCs/>
                <w:color w:val="auto"/>
                <w:kern w:val="0"/>
                <w:sz w:val="24"/>
                <w:highlight w:val="none"/>
                <w:lang w:eastAsia="zh-CN"/>
              </w:rPr>
              <w:t>。</w:t>
            </w:r>
          </w:p>
          <w:p w14:paraId="28C77906">
            <w:pPr>
              <w:widowControl/>
              <w:numPr>
                <w:ilvl w:val="0"/>
                <w:numId w:val="0"/>
              </w:numPr>
              <w:spacing w:line="360" w:lineRule="auto"/>
              <w:ind w:firstLine="482" w:firstLineChars="200"/>
              <w:rPr>
                <w:rFonts w:ascii="Times New Roman" w:hAnsi="Times New Roman"/>
                <w:b/>
                <w:color w:val="auto"/>
                <w:kern w:val="0"/>
                <w:sz w:val="24"/>
                <w:highlight w:val="none"/>
              </w:rPr>
            </w:pPr>
            <w:r>
              <w:rPr>
                <w:rFonts w:hint="eastAsia" w:ascii="Times New Roman" w:hAnsi="Times New Roman"/>
                <w:b/>
                <w:color w:val="auto"/>
                <w:kern w:val="0"/>
                <w:sz w:val="24"/>
                <w:highlight w:val="none"/>
                <w:lang w:eastAsia="zh-CN"/>
              </w:rPr>
              <w:t>三、</w:t>
            </w:r>
            <w:r>
              <w:rPr>
                <w:rFonts w:ascii="Times New Roman" w:hAnsi="Times New Roman"/>
                <w:b/>
                <w:color w:val="auto"/>
                <w:kern w:val="0"/>
                <w:sz w:val="24"/>
                <w:highlight w:val="none"/>
              </w:rPr>
              <w:t>地下水环境保护目标</w:t>
            </w:r>
          </w:p>
          <w:p w14:paraId="61172EAF">
            <w:pPr>
              <w:pStyle w:val="78"/>
              <w:spacing w:line="360" w:lineRule="auto"/>
              <w:ind w:firstLine="480"/>
              <w:rPr>
                <w:rFonts w:ascii="Times New Roman" w:hAnsi="Times New Roman"/>
                <w:bCs/>
                <w:color w:val="auto"/>
                <w:kern w:val="0"/>
                <w:sz w:val="24"/>
                <w:highlight w:val="none"/>
              </w:rPr>
            </w:pPr>
            <w:r>
              <w:rPr>
                <w:rFonts w:ascii="Times New Roman" w:hAnsi="Times New Roman"/>
                <w:bCs/>
                <w:color w:val="auto"/>
                <w:kern w:val="0"/>
                <w:sz w:val="24"/>
                <w:highlight w:val="none"/>
              </w:rPr>
              <w:t>经现场</w:t>
            </w:r>
            <w:r>
              <w:rPr>
                <w:rFonts w:hint="eastAsia" w:ascii="Times New Roman" w:hAnsi="Times New Roman"/>
                <w:bCs/>
                <w:color w:val="auto"/>
                <w:kern w:val="0"/>
                <w:sz w:val="24"/>
                <w:highlight w:val="none"/>
                <w:lang w:eastAsia="zh-CN"/>
              </w:rPr>
              <w:t>调查</w:t>
            </w:r>
            <w:r>
              <w:rPr>
                <w:rFonts w:ascii="Times New Roman" w:hAnsi="Times New Roman"/>
                <w:bCs/>
                <w:color w:val="auto"/>
                <w:kern w:val="0"/>
                <w:sz w:val="24"/>
                <w:highlight w:val="none"/>
              </w:rPr>
              <w:t>，项目厂界外500m范围内无地下水集中式饮用水水源和热水、矿泉水、温泉等特殊地下水资源。</w:t>
            </w:r>
          </w:p>
          <w:p w14:paraId="54244794">
            <w:pPr>
              <w:widowControl/>
              <w:numPr>
                <w:ilvl w:val="0"/>
                <w:numId w:val="0"/>
              </w:numPr>
              <w:spacing w:line="360" w:lineRule="auto"/>
              <w:ind w:firstLine="482" w:firstLineChars="200"/>
              <w:rPr>
                <w:rFonts w:ascii="Times New Roman" w:hAnsi="Times New Roman"/>
                <w:b/>
                <w:color w:val="auto"/>
                <w:kern w:val="0"/>
                <w:sz w:val="24"/>
                <w:highlight w:val="none"/>
              </w:rPr>
            </w:pPr>
            <w:r>
              <w:rPr>
                <w:rFonts w:hint="eastAsia" w:ascii="Times New Roman" w:hAnsi="Times New Roman"/>
                <w:b/>
                <w:color w:val="auto"/>
                <w:kern w:val="0"/>
                <w:sz w:val="24"/>
                <w:highlight w:val="none"/>
                <w:lang w:val="en-US" w:eastAsia="zh-CN"/>
              </w:rPr>
              <w:t>四、地表水环境保护目标</w:t>
            </w:r>
          </w:p>
          <w:p w14:paraId="0B33059B">
            <w:pPr>
              <w:adjustRightInd w:val="0"/>
              <w:snapToGrid w:val="0"/>
              <w:spacing w:line="360" w:lineRule="auto"/>
              <w:ind w:firstLine="480" w:firstLineChars="200"/>
              <w:rPr>
                <w:rFonts w:hint="eastAsia" w:ascii="Times New Roman" w:hAnsi="Times New Roman" w:eastAsia="宋体"/>
                <w:bCs/>
                <w:color w:val="auto"/>
                <w:kern w:val="0"/>
                <w:sz w:val="24"/>
                <w:highlight w:val="none"/>
                <w:lang w:eastAsia="zh-CN"/>
              </w:rPr>
            </w:pPr>
            <w:r>
              <w:rPr>
                <w:rFonts w:hint="eastAsia" w:ascii="Times New Roman" w:hAnsi="Times New Roman"/>
                <w:bCs/>
                <w:color w:val="auto"/>
                <w:kern w:val="0"/>
                <w:sz w:val="24"/>
                <w:highlight w:val="none"/>
                <w:lang w:eastAsia="zh-CN"/>
              </w:rPr>
              <w:t>结合项目运营期内直接及间接受纳水体情况，项目地表水环境保护对象及目标见下表：</w:t>
            </w:r>
          </w:p>
          <w:p w14:paraId="2FE7BE6E">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w:t>
            </w:r>
            <w:r>
              <w:rPr>
                <w:rFonts w:hint="default" w:ascii="Times New Roman" w:hAnsi="Times New Roman" w:cs="Times New Roman"/>
                <w:b/>
                <w:color w:val="auto"/>
                <w:szCs w:val="21"/>
                <w:highlight w:val="none"/>
                <w:lang w:val="en-US" w:eastAsia="zh-CN"/>
              </w:rPr>
              <w:t>3-</w:t>
            </w:r>
            <w:r>
              <w:rPr>
                <w:rFonts w:hint="eastAsia" w:cs="Times New Roman"/>
                <w:b/>
                <w:color w:val="auto"/>
                <w:szCs w:val="21"/>
                <w:highlight w:val="none"/>
                <w:lang w:val="en-US" w:eastAsia="zh-CN"/>
              </w:rPr>
              <w:t>6</w:t>
            </w:r>
            <w:r>
              <w:rPr>
                <w:rFonts w:hint="default" w:ascii="Times New Roman" w:hAnsi="Times New Roman" w:cs="Times New Roman"/>
                <w:b/>
                <w:color w:val="auto"/>
                <w:szCs w:val="21"/>
                <w:highlight w:val="none"/>
              </w:rPr>
              <w:t xml:space="preserve">  项目</w:t>
            </w:r>
            <w:r>
              <w:rPr>
                <w:rFonts w:hint="eastAsia" w:cs="Times New Roman"/>
                <w:b/>
                <w:color w:val="auto"/>
                <w:szCs w:val="21"/>
                <w:highlight w:val="none"/>
                <w:lang w:eastAsia="zh-CN"/>
              </w:rPr>
              <w:t>地表水</w:t>
            </w:r>
            <w:r>
              <w:rPr>
                <w:rFonts w:hint="default" w:ascii="Times New Roman" w:hAnsi="Times New Roman" w:cs="Times New Roman"/>
                <w:b/>
                <w:color w:val="auto"/>
                <w:szCs w:val="21"/>
                <w:highlight w:val="none"/>
              </w:rPr>
              <w:t>环境保护对象及目标</w:t>
            </w:r>
          </w:p>
          <w:tbl>
            <w:tblPr>
              <w:tblStyle w:val="31"/>
              <w:tblW w:w="799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1050"/>
              <w:gridCol w:w="2012"/>
              <w:gridCol w:w="3180"/>
            </w:tblGrid>
            <w:tr w14:paraId="6F5B5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751" w:type="dxa"/>
                  <w:tcBorders>
                    <w:tl2br w:val="nil"/>
                    <w:tr2bl w:val="nil"/>
                  </w:tcBorders>
                  <w:noWrap w:val="0"/>
                  <w:vAlign w:val="center"/>
                </w:tcPr>
                <w:p w14:paraId="0C1906D1">
                  <w:pPr>
                    <w:pStyle w:val="68"/>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保护对象</w:t>
                  </w:r>
                </w:p>
              </w:tc>
              <w:tc>
                <w:tcPr>
                  <w:tcW w:w="1050" w:type="dxa"/>
                  <w:tcBorders>
                    <w:tl2br w:val="nil"/>
                    <w:tr2bl w:val="nil"/>
                  </w:tcBorders>
                  <w:noWrap w:val="0"/>
                  <w:vAlign w:val="center"/>
                </w:tcPr>
                <w:p w14:paraId="13392CA2">
                  <w:pPr>
                    <w:pStyle w:val="68"/>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方位</w:t>
                  </w:r>
                </w:p>
              </w:tc>
              <w:tc>
                <w:tcPr>
                  <w:tcW w:w="2012" w:type="dxa"/>
                  <w:tcBorders>
                    <w:tl2br w:val="nil"/>
                    <w:tr2bl w:val="nil"/>
                  </w:tcBorders>
                  <w:noWrap w:val="0"/>
                  <w:vAlign w:val="center"/>
                </w:tcPr>
                <w:p w14:paraId="177F1C6E">
                  <w:pPr>
                    <w:pStyle w:val="68"/>
                    <w:snapToGrid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eastAsia="zh-CN"/>
                    </w:rPr>
                    <w:t>距厂区</w:t>
                  </w:r>
                  <w:r>
                    <w:rPr>
                      <w:rFonts w:hint="default" w:ascii="Times New Roman" w:hAnsi="Times New Roman" w:cs="Times New Roman"/>
                      <w:b w:val="0"/>
                      <w:bCs w:val="0"/>
                      <w:color w:val="auto"/>
                      <w:sz w:val="21"/>
                      <w:szCs w:val="21"/>
                      <w:highlight w:val="none"/>
                    </w:rPr>
                    <w:t>最近距离</w:t>
                  </w:r>
                </w:p>
              </w:tc>
              <w:tc>
                <w:tcPr>
                  <w:tcW w:w="3180" w:type="dxa"/>
                  <w:tcBorders>
                    <w:tl2br w:val="nil"/>
                    <w:tr2bl w:val="nil"/>
                  </w:tcBorders>
                  <w:noWrap w:val="0"/>
                  <w:vAlign w:val="center"/>
                </w:tcPr>
                <w:p w14:paraId="549B8B6C">
                  <w:pPr>
                    <w:pStyle w:val="68"/>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保护目标</w:t>
                  </w:r>
                </w:p>
              </w:tc>
            </w:tr>
            <w:tr w14:paraId="59F709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751" w:type="dxa"/>
                  <w:tcBorders>
                    <w:tl2br w:val="nil"/>
                    <w:tr2bl w:val="nil"/>
                  </w:tcBorders>
                  <w:noWrap w:val="0"/>
                  <w:vAlign w:val="center"/>
                </w:tcPr>
                <w:p w14:paraId="561049C8">
                  <w:pPr>
                    <w:pStyle w:val="68"/>
                    <w:jc w:val="center"/>
                    <w:rPr>
                      <w:rFonts w:hint="default" w:ascii="Times New Roman" w:hAnsi="Times New Roman" w:eastAsia="宋体" w:cs="Times New Roman"/>
                      <w:color w:val="auto"/>
                      <w:sz w:val="21"/>
                      <w:szCs w:val="21"/>
                      <w:highlight w:val="none"/>
                      <w:lang w:val="en-US" w:eastAsia="zh-CN"/>
                    </w:rPr>
                  </w:pPr>
                  <w:r>
                    <w:rPr>
                      <w:rFonts w:hint="eastAsia" w:cs="Times New Roman"/>
                      <w:b w:val="0"/>
                      <w:bCs/>
                      <w:color w:val="auto"/>
                      <w:sz w:val="21"/>
                      <w:szCs w:val="21"/>
                      <w:highlight w:val="none"/>
                      <w:lang w:eastAsia="zh-CN"/>
                    </w:rPr>
                    <w:t>溢水</w:t>
                  </w:r>
                  <w:r>
                    <w:rPr>
                      <w:rFonts w:hint="default" w:ascii="Times New Roman" w:hAnsi="Times New Roman" w:cs="Times New Roman"/>
                      <w:b w:val="0"/>
                      <w:bCs/>
                      <w:color w:val="auto"/>
                      <w:sz w:val="21"/>
                      <w:szCs w:val="21"/>
                      <w:highlight w:val="none"/>
                      <w:lang w:eastAsia="zh-CN"/>
                    </w:rPr>
                    <w:t>河</w:t>
                  </w:r>
                </w:p>
              </w:tc>
              <w:tc>
                <w:tcPr>
                  <w:tcW w:w="1050" w:type="dxa"/>
                  <w:tcBorders>
                    <w:tl2br w:val="nil"/>
                    <w:tr2bl w:val="nil"/>
                  </w:tcBorders>
                  <w:noWrap w:val="0"/>
                  <w:vAlign w:val="center"/>
                </w:tcPr>
                <w:p w14:paraId="39EB91FD">
                  <w:pPr>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E</w:t>
                  </w:r>
                </w:p>
              </w:tc>
              <w:tc>
                <w:tcPr>
                  <w:tcW w:w="2012" w:type="dxa"/>
                  <w:tcBorders>
                    <w:tl2br w:val="nil"/>
                    <w:tr2bl w:val="nil"/>
                  </w:tcBorders>
                  <w:noWrap w:val="0"/>
                  <w:vAlign w:val="center"/>
                </w:tcPr>
                <w:p w14:paraId="790B7FEE">
                  <w:pPr>
                    <w:snapToGrid w:val="0"/>
                    <w:jc w:val="center"/>
                    <w:rPr>
                      <w:rFonts w:hint="default" w:ascii="Times New Roman" w:hAnsi="Times New Roman" w:cs="Times New Roman"/>
                      <w:color w:val="auto"/>
                      <w:szCs w:val="21"/>
                      <w:highlight w:val="none"/>
                      <w:lang w:val="en-US"/>
                    </w:rPr>
                  </w:pPr>
                  <w:r>
                    <w:rPr>
                      <w:rFonts w:hint="eastAsia" w:cs="Times New Roman"/>
                      <w:color w:val="auto"/>
                      <w:szCs w:val="21"/>
                      <w:highlight w:val="none"/>
                      <w:lang w:val="en-US" w:eastAsia="zh-CN"/>
                    </w:rPr>
                    <w:t>50m</w:t>
                  </w:r>
                </w:p>
              </w:tc>
              <w:tc>
                <w:tcPr>
                  <w:tcW w:w="3180" w:type="dxa"/>
                  <w:vMerge w:val="restart"/>
                  <w:tcBorders>
                    <w:tl2br w:val="nil"/>
                    <w:tr2bl w:val="nil"/>
                  </w:tcBorders>
                  <w:noWrap w:val="0"/>
                  <w:vAlign w:val="center"/>
                </w:tcPr>
                <w:p w14:paraId="2F3518B2">
                  <w:pPr>
                    <w:snapToGrid w:val="0"/>
                    <w:jc w:val="center"/>
                    <w:rPr>
                      <w:rFonts w:hint="default" w:ascii="Times New Roman" w:hAnsi="Times New Roman" w:eastAsia="新宋体" w:cs="Times New Roman"/>
                      <w:color w:val="auto"/>
                      <w:szCs w:val="21"/>
                      <w:highlight w:val="none"/>
                    </w:rPr>
                  </w:pPr>
                  <w:r>
                    <w:rPr>
                      <w:rFonts w:hint="default" w:ascii="Times New Roman" w:hAnsi="Times New Roman" w:eastAsia="新宋体" w:cs="Times New Roman"/>
                      <w:color w:val="auto"/>
                      <w:szCs w:val="21"/>
                      <w:highlight w:val="none"/>
                    </w:rPr>
                    <w:t>《地表水环境质量标准》</w:t>
                  </w:r>
                </w:p>
                <w:p w14:paraId="69E57AD8">
                  <w:pPr>
                    <w:snapToGrid w:val="0"/>
                    <w:jc w:val="center"/>
                    <w:rPr>
                      <w:rFonts w:hint="default" w:ascii="Times New Roman" w:hAnsi="Times New Roman" w:cs="Times New Roman"/>
                      <w:color w:val="auto"/>
                      <w:szCs w:val="21"/>
                      <w:highlight w:val="none"/>
                    </w:rPr>
                  </w:pPr>
                  <w:r>
                    <w:rPr>
                      <w:rFonts w:hint="default" w:ascii="Times New Roman" w:hAnsi="Times New Roman" w:eastAsia="新宋体" w:cs="Times New Roman"/>
                      <w:color w:val="auto"/>
                      <w:szCs w:val="21"/>
                      <w:highlight w:val="none"/>
                      <w:lang w:eastAsia="zh-CN"/>
                    </w:rPr>
                    <w:t>（</w:t>
                  </w:r>
                  <w:r>
                    <w:rPr>
                      <w:rFonts w:hint="default" w:ascii="Times New Roman" w:hAnsi="Times New Roman" w:eastAsia="新宋体" w:cs="Times New Roman"/>
                      <w:color w:val="auto"/>
                      <w:szCs w:val="21"/>
                      <w:highlight w:val="none"/>
                    </w:rPr>
                    <w:t>GB3838</w:t>
                  </w:r>
                  <w:r>
                    <w:rPr>
                      <w:rFonts w:hint="default" w:ascii="Times New Roman" w:hAnsi="Times New Roman" w:eastAsia="新宋体" w:cs="Times New Roman"/>
                      <w:color w:val="auto"/>
                      <w:szCs w:val="21"/>
                      <w:highlight w:val="none"/>
                      <w:lang w:val="en-US" w:eastAsia="zh-CN"/>
                    </w:rPr>
                    <w:t>-</w:t>
                  </w:r>
                  <w:r>
                    <w:rPr>
                      <w:rFonts w:hint="default" w:ascii="Times New Roman" w:hAnsi="Times New Roman" w:eastAsia="新宋体" w:cs="Times New Roman"/>
                      <w:color w:val="auto"/>
                      <w:szCs w:val="21"/>
                      <w:highlight w:val="none"/>
                    </w:rPr>
                    <w:t>2002</w:t>
                  </w:r>
                  <w:r>
                    <w:rPr>
                      <w:rFonts w:hint="default" w:ascii="Times New Roman" w:hAnsi="Times New Roman" w:eastAsia="新宋体" w:cs="Times New Roman"/>
                      <w:color w:val="auto"/>
                      <w:szCs w:val="21"/>
                      <w:highlight w:val="none"/>
                      <w:lang w:eastAsia="zh-CN"/>
                    </w:rPr>
                    <w:t>）</w:t>
                  </w:r>
                  <w:r>
                    <w:rPr>
                      <w:rFonts w:hint="default" w:ascii="Times New Roman" w:hAnsi="Times New Roman" w:eastAsia="新宋体" w:cs="Times New Roman"/>
                      <w:color w:val="auto"/>
                      <w:szCs w:val="21"/>
                      <w:highlight w:val="none"/>
                    </w:rPr>
                    <w:t>中</w:t>
                  </w:r>
                  <w:r>
                    <w:rPr>
                      <w:rFonts w:hint="default" w:ascii="Times New Roman" w:hAnsi="Times New Roman" w:cs="Times New Roman"/>
                      <w:color w:val="auto"/>
                      <w:szCs w:val="21"/>
                      <w:highlight w:val="none"/>
                    </w:rPr>
                    <w:t>Ⅱ</w:t>
                  </w:r>
                  <w:r>
                    <w:rPr>
                      <w:rFonts w:hint="default" w:ascii="Times New Roman" w:hAnsi="Times New Roman" w:eastAsia="新宋体" w:cs="Times New Roman"/>
                      <w:color w:val="auto"/>
                      <w:szCs w:val="21"/>
                      <w:highlight w:val="none"/>
                    </w:rPr>
                    <w:t>类标准</w:t>
                  </w:r>
                </w:p>
              </w:tc>
            </w:tr>
            <w:tr w14:paraId="24273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751" w:type="dxa"/>
                  <w:tcBorders>
                    <w:tl2br w:val="nil"/>
                    <w:tr2bl w:val="nil"/>
                  </w:tcBorders>
                  <w:noWrap w:val="0"/>
                  <w:vAlign w:val="center"/>
                </w:tcPr>
                <w:p w14:paraId="73C2DD55">
                  <w:pPr>
                    <w:pStyle w:val="68"/>
                    <w:jc w:val="center"/>
                    <w:rPr>
                      <w:rFonts w:hint="default" w:ascii="Times New Roman" w:hAnsi="Times New Roman"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汉江</w:t>
                  </w:r>
                </w:p>
              </w:tc>
              <w:tc>
                <w:tcPr>
                  <w:tcW w:w="1050" w:type="dxa"/>
                  <w:tcBorders>
                    <w:tl2br w:val="nil"/>
                    <w:tr2bl w:val="nil"/>
                  </w:tcBorders>
                  <w:noWrap w:val="0"/>
                  <w:vAlign w:val="center"/>
                </w:tcPr>
                <w:p w14:paraId="46FFF501">
                  <w:pPr>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SE</w:t>
                  </w:r>
                </w:p>
              </w:tc>
              <w:tc>
                <w:tcPr>
                  <w:tcW w:w="2012" w:type="dxa"/>
                  <w:tcBorders>
                    <w:tl2br w:val="nil"/>
                    <w:tr2bl w:val="nil"/>
                  </w:tcBorders>
                  <w:noWrap w:val="0"/>
                  <w:vAlign w:val="center"/>
                </w:tcPr>
                <w:p w14:paraId="24995587">
                  <w:pPr>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4.2km</w:t>
                  </w:r>
                </w:p>
              </w:tc>
              <w:tc>
                <w:tcPr>
                  <w:tcW w:w="3180" w:type="dxa"/>
                  <w:vMerge w:val="continue"/>
                  <w:tcBorders>
                    <w:tl2br w:val="nil"/>
                    <w:tr2bl w:val="nil"/>
                  </w:tcBorders>
                  <w:noWrap w:val="0"/>
                  <w:vAlign w:val="center"/>
                </w:tcPr>
                <w:p w14:paraId="057E6CD6">
                  <w:pPr>
                    <w:snapToGrid w:val="0"/>
                    <w:jc w:val="center"/>
                    <w:rPr>
                      <w:rFonts w:hint="default" w:ascii="Times New Roman" w:hAnsi="Times New Roman" w:eastAsia="新宋体" w:cs="Times New Roman"/>
                      <w:color w:val="auto"/>
                      <w:szCs w:val="21"/>
                      <w:highlight w:val="none"/>
                    </w:rPr>
                  </w:pPr>
                </w:p>
              </w:tc>
            </w:tr>
          </w:tbl>
          <w:p w14:paraId="47A88FBA">
            <w:pPr>
              <w:pStyle w:val="4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rPr>
                <w:rFonts w:hint="eastAsia" w:cs="Times New Roman"/>
                <w:b/>
                <w:bCs/>
                <w:color w:val="auto"/>
                <w:kern w:val="0"/>
                <w:szCs w:val="21"/>
                <w:highlight w:val="none"/>
                <w:lang w:val="en-US" w:eastAsia="zh-CN"/>
              </w:rPr>
            </w:pPr>
            <w:r>
              <w:rPr>
                <w:rFonts w:hint="eastAsia" w:cs="Times New Roman"/>
                <w:b/>
                <w:bCs/>
                <w:color w:val="auto"/>
                <w:kern w:val="0"/>
                <w:szCs w:val="21"/>
                <w:highlight w:val="none"/>
                <w:lang w:val="en-US" w:eastAsia="zh-CN"/>
              </w:rPr>
              <w:t>五、生态环境保护目标</w:t>
            </w:r>
          </w:p>
          <w:p w14:paraId="6DB84313">
            <w:pPr>
              <w:numPr>
                <w:ilvl w:val="0"/>
                <w:numId w:val="0"/>
              </w:numPr>
              <w:spacing w:line="360" w:lineRule="auto"/>
              <w:ind w:leftChars="0" w:firstLine="480" w:firstLineChars="200"/>
              <w:rPr>
                <w:rFonts w:hint="eastAsia"/>
                <w:color w:val="auto"/>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本项目位于产业园区外，且本次无新增占地，用地范围内无生态环境保护目标。</w:t>
            </w:r>
          </w:p>
        </w:tc>
      </w:tr>
      <w:tr w14:paraId="2AED4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00" w:type="dxa"/>
            <w:noWrap w:val="0"/>
            <w:tcMar>
              <w:left w:w="28" w:type="dxa"/>
              <w:right w:w="28" w:type="dxa"/>
            </w:tcMar>
            <w:vAlign w:val="center"/>
          </w:tcPr>
          <w:p w14:paraId="526CCB47">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污染</w:t>
            </w:r>
          </w:p>
          <w:p w14:paraId="62C63934">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物排</w:t>
            </w:r>
          </w:p>
          <w:p w14:paraId="59F2D89B">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放控</w:t>
            </w:r>
          </w:p>
          <w:p w14:paraId="0D420EC4">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制标</w:t>
            </w:r>
          </w:p>
          <w:p w14:paraId="6FA0481F">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准</w:t>
            </w:r>
          </w:p>
        </w:tc>
        <w:tc>
          <w:tcPr>
            <w:tcW w:w="8190" w:type="dxa"/>
            <w:noWrap w:val="0"/>
            <w:vAlign w:val="center"/>
          </w:tcPr>
          <w:p w14:paraId="72A33A6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1、废气：</w:t>
            </w:r>
            <w:r>
              <w:rPr>
                <w:rFonts w:hint="eastAsia"/>
                <w:color w:val="auto"/>
                <w:sz w:val="24"/>
                <w:highlight w:val="none"/>
              </w:rPr>
              <w:t>施工期扬尘排放执行《施工场界扬尘排放限值》（</w:t>
            </w:r>
            <w:r>
              <w:rPr>
                <w:color w:val="auto"/>
                <w:sz w:val="24"/>
                <w:highlight w:val="none"/>
              </w:rPr>
              <w:t>DB61/1078-2017</w:t>
            </w:r>
            <w:r>
              <w:rPr>
                <w:rFonts w:hint="eastAsia"/>
                <w:color w:val="auto"/>
                <w:sz w:val="24"/>
                <w:highlight w:val="none"/>
              </w:rPr>
              <w:t>）排放限值；</w:t>
            </w:r>
            <w:r>
              <w:rPr>
                <w:rFonts w:hint="default" w:ascii="Times New Roman" w:hAnsi="Times New Roman" w:cs="Times New Roman"/>
                <w:color w:val="auto"/>
                <w:sz w:val="24"/>
                <w:highlight w:val="none"/>
              </w:rPr>
              <w:t>运营期</w:t>
            </w:r>
            <w:r>
              <w:rPr>
                <w:rFonts w:hint="eastAsia" w:cs="Times New Roman"/>
                <w:color w:val="auto"/>
                <w:sz w:val="24"/>
                <w:highlight w:val="none"/>
                <w:lang w:eastAsia="zh-CN"/>
              </w:rPr>
              <w:t>有组织恶臭</w:t>
            </w:r>
            <w:r>
              <w:rPr>
                <w:rFonts w:hint="default" w:ascii="Times New Roman" w:hAnsi="Times New Roman" w:cs="Times New Roman"/>
                <w:color w:val="auto"/>
                <w:sz w:val="24"/>
                <w:highlight w:val="none"/>
              </w:rPr>
              <w:t>排放执行</w:t>
            </w:r>
            <w:r>
              <w:rPr>
                <w:rFonts w:hint="default" w:ascii="Times New Roman" w:hAnsi="Times New Roman" w:cs="Times New Roman"/>
                <w:color w:val="auto"/>
                <w:sz w:val="24"/>
                <w:highlight w:val="none"/>
                <w:lang w:eastAsia="zh-CN"/>
              </w:rPr>
              <w:t>《恶臭污染物排放标准》（GB14554-93）表</w:t>
            </w:r>
            <w:r>
              <w:rPr>
                <w:rFonts w:hint="default" w:ascii="Times New Roman" w:hAnsi="Times New Roman" w:cs="Times New Roman"/>
                <w:color w:val="auto"/>
                <w:sz w:val="24"/>
                <w:highlight w:val="none"/>
                <w:lang w:val="en-US" w:eastAsia="zh-CN"/>
              </w:rPr>
              <w:t>2中排放标准</w:t>
            </w:r>
            <w:r>
              <w:rPr>
                <w:rFonts w:hint="eastAsia" w:cs="Times New Roman"/>
                <w:color w:val="auto"/>
                <w:sz w:val="24"/>
                <w:highlight w:val="none"/>
                <w:lang w:val="en-US" w:eastAsia="zh-CN"/>
              </w:rPr>
              <w:t>、无组织恶臭执行</w:t>
            </w:r>
            <w:r>
              <w:rPr>
                <w:rFonts w:hint="default" w:ascii="Times New Roman" w:hAnsi="Times New Roman" w:cs="Times New Roman"/>
                <w:color w:val="auto"/>
                <w:sz w:val="24"/>
                <w:highlight w:val="none"/>
              </w:rPr>
              <w:t>《城镇污水</w:t>
            </w:r>
            <w:r>
              <w:rPr>
                <w:rFonts w:hint="default" w:ascii="Times New Roman" w:hAnsi="Times New Roman" w:cs="Times New Roman"/>
                <w:color w:val="auto"/>
                <w:sz w:val="24"/>
                <w:highlight w:val="none"/>
                <w:lang w:eastAsia="zh-CN"/>
              </w:rPr>
              <w:t>处理</w:t>
            </w:r>
            <w:r>
              <w:rPr>
                <w:rFonts w:hint="default" w:ascii="Times New Roman" w:hAnsi="Times New Roman" w:cs="Times New Roman"/>
                <w:color w:val="auto"/>
                <w:sz w:val="24"/>
                <w:highlight w:val="none"/>
                <w:lang w:val="en-US" w:eastAsia="zh-CN"/>
              </w:rPr>
              <w:t>厂</w:t>
            </w:r>
            <w:r>
              <w:rPr>
                <w:rFonts w:hint="default" w:ascii="Times New Roman" w:hAnsi="Times New Roman" w:cs="Times New Roman"/>
                <w:color w:val="auto"/>
                <w:sz w:val="24"/>
                <w:highlight w:val="none"/>
              </w:rPr>
              <w:t>污染物排放标准》（GB18918-2002）</w:t>
            </w:r>
            <w:r>
              <w:rPr>
                <w:rFonts w:hint="eastAsia" w:cs="Times New Roman"/>
                <w:color w:val="auto"/>
                <w:sz w:val="24"/>
                <w:highlight w:val="none"/>
                <w:lang w:eastAsia="zh-CN"/>
              </w:rPr>
              <w:t>表</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中一级标准</w:t>
            </w:r>
            <w:r>
              <w:rPr>
                <w:rFonts w:hint="eastAsia" w:cs="Times New Roman"/>
                <w:color w:val="auto"/>
                <w:sz w:val="24"/>
                <w:highlight w:val="none"/>
                <w:lang w:eastAsia="zh-CN"/>
              </w:rPr>
              <w:t>，食堂油烟执行</w:t>
            </w:r>
            <w:r>
              <w:rPr>
                <w:rFonts w:hint="default" w:ascii="Times New Roman" w:hAnsi="Times New Roman" w:cs="Times New Roman"/>
                <w:color w:val="auto"/>
                <w:sz w:val="24"/>
                <w:highlight w:val="none"/>
                <w:lang w:val="en-US" w:eastAsia="zh-CN"/>
              </w:rPr>
              <w:t>《饮食业油烟排放标准（试行）》（GB18483-2001）</w:t>
            </w:r>
            <w:r>
              <w:rPr>
                <w:rFonts w:hint="eastAsia" w:cs="Times New Roman"/>
                <w:color w:val="auto"/>
                <w:sz w:val="24"/>
                <w:highlight w:val="none"/>
                <w:lang w:val="en-US" w:eastAsia="zh-CN"/>
              </w:rPr>
              <w:t>中排放标准；</w:t>
            </w:r>
          </w:p>
          <w:p w14:paraId="56AD5D91">
            <w:pPr>
              <w:widowControl/>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2、废水：废水排放执行《城镇污水</w:t>
            </w:r>
            <w:r>
              <w:rPr>
                <w:rFonts w:hint="default" w:ascii="Times New Roman" w:hAnsi="Times New Roman" w:cs="Times New Roman"/>
                <w:color w:val="auto"/>
                <w:sz w:val="24"/>
                <w:highlight w:val="none"/>
                <w:lang w:eastAsia="zh-CN"/>
              </w:rPr>
              <w:t>处理</w:t>
            </w:r>
            <w:r>
              <w:rPr>
                <w:rFonts w:hint="default" w:ascii="Times New Roman" w:hAnsi="Times New Roman" w:cs="Times New Roman"/>
                <w:color w:val="auto"/>
                <w:sz w:val="24"/>
                <w:highlight w:val="none"/>
                <w:lang w:val="en-US" w:eastAsia="zh-CN"/>
              </w:rPr>
              <w:t>厂</w:t>
            </w:r>
            <w:r>
              <w:rPr>
                <w:rFonts w:hint="default" w:ascii="Times New Roman" w:hAnsi="Times New Roman" w:cs="Times New Roman"/>
                <w:color w:val="auto"/>
                <w:sz w:val="24"/>
                <w:highlight w:val="none"/>
              </w:rPr>
              <w:t>污染物排放标准》（GB18918-2002）</w:t>
            </w:r>
            <w:r>
              <w:rPr>
                <w:rFonts w:hint="default" w:ascii="Times New Roman" w:hAnsi="Times New Roman" w:cs="Times New Roman"/>
                <w:color w:val="auto"/>
                <w:sz w:val="24"/>
                <w:highlight w:val="none"/>
                <w:lang w:val="en-US" w:eastAsia="zh-CN"/>
              </w:rPr>
              <w:t>表1中一级A标准和2025年修改单表4中瞬时值一级A标准</w:t>
            </w:r>
            <w:r>
              <w:rPr>
                <w:rFonts w:hint="default" w:ascii="Times New Roman" w:hAnsi="Times New Roman" w:cs="Times New Roman"/>
                <w:color w:val="auto"/>
                <w:sz w:val="24"/>
                <w:highlight w:val="none"/>
              </w:rPr>
              <w:t>；</w:t>
            </w:r>
          </w:p>
          <w:p w14:paraId="5FF6D17C">
            <w:pPr>
              <w:widowControl/>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3、噪声：</w:t>
            </w:r>
            <w:r>
              <w:rPr>
                <w:rFonts w:hint="eastAsia"/>
                <w:color w:val="auto"/>
                <w:sz w:val="24"/>
                <w:highlight w:val="none"/>
              </w:rPr>
              <w:t>施工期噪声执行《建筑施工场界环境噪声排放标准》（GB 12523-2011）中相关要求；</w:t>
            </w:r>
            <w:r>
              <w:rPr>
                <w:rFonts w:hint="eastAsia"/>
                <w:color w:val="auto"/>
                <w:sz w:val="24"/>
                <w:highlight w:val="none"/>
                <w:lang w:eastAsia="zh-CN"/>
              </w:rPr>
              <w:t>运营期</w:t>
            </w:r>
            <w:r>
              <w:rPr>
                <w:rFonts w:hint="default" w:ascii="Times New Roman" w:hAnsi="Times New Roman" w:cs="Times New Roman"/>
                <w:color w:val="auto"/>
                <w:sz w:val="24"/>
                <w:highlight w:val="none"/>
                <w:lang w:val="en-US" w:eastAsia="zh-CN"/>
              </w:rPr>
              <w:t>噪声</w:t>
            </w:r>
            <w:r>
              <w:rPr>
                <w:rFonts w:hint="default" w:ascii="Times New Roman" w:hAnsi="Times New Roman" w:cs="Times New Roman"/>
                <w:color w:val="auto"/>
                <w:sz w:val="24"/>
                <w:highlight w:val="none"/>
              </w:rPr>
              <w:t>执行《工业企业厂界环境噪声排放标准》（GB12348-2008）中表1中2类环境功能区规定的排放限值</w:t>
            </w:r>
            <w:r>
              <w:rPr>
                <w:rFonts w:hint="default" w:ascii="Times New Roman" w:hAnsi="Times New Roman" w:cs="Times New Roman"/>
                <w:color w:val="auto"/>
                <w:sz w:val="24"/>
                <w:highlight w:val="none"/>
                <w:lang w:eastAsia="zh-CN"/>
              </w:rPr>
              <w:t>。</w:t>
            </w:r>
          </w:p>
          <w:p w14:paraId="39D18070">
            <w:pPr>
              <w:widowControl/>
              <w:spacing w:line="360" w:lineRule="auto"/>
              <w:ind w:firstLine="480" w:firstLineChars="200"/>
              <w:rPr>
                <w:rFonts w:hint="default" w:ascii="Times New Roman" w:hAnsi="Times New Roman" w:cs="Times New Roman"/>
                <w:b/>
                <w:bCs/>
                <w:color w:val="auto"/>
                <w:highlight w:val="none"/>
                <w:lang w:eastAsia="zh-CN"/>
              </w:rPr>
            </w:pPr>
            <w:r>
              <w:rPr>
                <w:rFonts w:hint="default" w:ascii="Times New Roman" w:hAnsi="Times New Roman" w:cs="Times New Roman"/>
                <w:color w:val="auto"/>
                <w:sz w:val="24"/>
                <w:highlight w:val="none"/>
              </w:rPr>
              <w:t>4、污泥</w:t>
            </w:r>
            <w:r>
              <w:rPr>
                <w:rFonts w:hint="eastAsia" w:cs="Times New Roman"/>
                <w:color w:val="auto"/>
                <w:sz w:val="24"/>
                <w:highlight w:val="none"/>
                <w:lang w:val="en-US" w:eastAsia="zh-CN"/>
              </w:rPr>
              <w:t>处置</w:t>
            </w:r>
            <w:r>
              <w:rPr>
                <w:rFonts w:hint="default" w:ascii="Times New Roman" w:hAnsi="Times New Roman" w:cs="Times New Roman"/>
                <w:color w:val="auto"/>
                <w:sz w:val="24"/>
                <w:highlight w:val="none"/>
              </w:rPr>
              <w:t>执行《城镇污水</w:t>
            </w:r>
            <w:r>
              <w:rPr>
                <w:rFonts w:hint="default" w:ascii="Times New Roman" w:hAnsi="Times New Roman" w:cs="Times New Roman"/>
                <w:color w:val="auto"/>
                <w:sz w:val="24"/>
                <w:highlight w:val="none"/>
                <w:lang w:eastAsia="zh-CN"/>
              </w:rPr>
              <w:t>处理</w:t>
            </w:r>
            <w:r>
              <w:rPr>
                <w:rFonts w:hint="default" w:ascii="Times New Roman" w:hAnsi="Times New Roman" w:cs="Times New Roman"/>
                <w:color w:val="auto"/>
                <w:sz w:val="24"/>
                <w:highlight w:val="none"/>
                <w:lang w:val="en-US" w:eastAsia="zh-CN"/>
              </w:rPr>
              <w:t>厂</w:t>
            </w:r>
            <w:r>
              <w:rPr>
                <w:rFonts w:hint="default" w:ascii="Times New Roman" w:hAnsi="Times New Roman" w:cs="Times New Roman"/>
                <w:color w:val="auto"/>
                <w:sz w:val="24"/>
                <w:highlight w:val="none"/>
              </w:rPr>
              <w:t>污染物排放标准》（GB18918-2002）中</w:t>
            </w:r>
            <w:r>
              <w:rPr>
                <w:rFonts w:hint="default" w:ascii="Times New Roman" w:hAnsi="Times New Roman" w:cs="Times New Roman"/>
                <w:color w:val="auto"/>
                <w:sz w:val="24"/>
                <w:highlight w:val="none"/>
                <w:lang w:eastAsia="zh-CN"/>
              </w:rPr>
              <w:t>污泥控制标准</w:t>
            </w:r>
            <w:r>
              <w:rPr>
                <w:rFonts w:hint="default" w:ascii="Times New Roman" w:hAnsi="Times New Roman" w:cs="Times New Roman"/>
                <w:color w:val="auto"/>
                <w:sz w:val="24"/>
                <w:highlight w:val="none"/>
              </w:rPr>
              <w:t>；其他一般工业固体废弃物的贮存、处置执行</w:t>
            </w:r>
            <w:r>
              <w:rPr>
                <w:rFonts w:hint="default" w:ascii="Times New Roman" w:hAnsi="Times New Roman" w:eastAsia="宋体" w:cs="Times New Roman"/>
                <w:color w:val="auto"/>
                <w:spacing w:val="11"/>
                <w:sz w:val="24"/>
                <w:szCs w:val="24"/>
                <w:highlight w:val="none"/>
                <w:lang w:val="en-US" w:eastAsia="zh-CN"/>
              </w:rPr>
              <w:t>《一般工业固体废物贮存和填埋污染控制标准》（GB18599-2020）中的规定和要求</w:t>
            </w:r>
            <w:r>
              <w:rPr>
                <w:rFonts w:hint="default" w:ascii="Times New Roman" w:hAnsi="Times New Roman" w:cs="Times New Roman"/>
                <w:color w:val="auto"/>
                <w:sz w:val="24"/>
                <w:highlight w:val="none"/>
              </w:rPr>
              <w:t>；涉及危险废物的按照《危险废物贮存污染控制标准》（GB18597-20</w:t>
            </w:r>
            <w:r>
              <w:rPr>
                <w:rFonts w:hint="default" w:ascii="Times New Roman" w:hAnsi="Times New Roman" w:cs="Times New Roman"/>
                <w:color w:val="auto"/>
                <w:sz w:val="24"/>
                <w:highlight w:val="none"/>
                <w:lang w:val="en-US" w:eastAsia="zh-CN"/>
              </w:rPr>
              <w:t>23</w:t>
            </w:r>
            <w:r>
              <w:rPr>
                <w:rFonts w:hint="default" w:ascii="Times New Roman" w:hAnsi="Times New Roman" w:cs="Times New Roman"/>
                <w:color w:val="auto"/>
                <w:sz w:val="24"/>
                <w:highlight w:val="none"/>
              </w:rPr>
              <w:t>）中的有关规定执行。</w:t>
            </w:r>
          </w:p>
          <w:p w14:paraId="2BB209EC">
            <w:pPr>
              <w:adjustRightInd w:val="0"/>
              <w:snapToGrid w:val="0"/>
              <w:jc w:val="center"/>
              <w:rPr>
                <w:b/>
                <w:color w:val="auto"/>
                <w:kern w:val="0"/>
                <w:szCs w:val="21"/>
                <w:highlight w:val="none"/>
              </w:rPr>
            </w:pPr>
            <w:r>
              <w:rPr>
                <w:b/>
                <w:bCs/>
                <w:color w:val="auto"/>
                <w:kern w:val="0"/>
                <w:szCs w:val="21"/>
                <w:highlight w:val="none"/>
              </w:rPr>
              <w:t>表3-</w:t>
            </w:r>
            <w:r>
              <w:rPr>
                <w:rFonts w:hint="eastAsia"/>
                <w:b/>
                <w:bCs/>
                <w:color w:val="auto"/>
                <w:kern w:val="0"/>
                <w:szCs w:val="21"/>
                <w:highlight w:val="none"/>
                <w:lang w:val="en-US" w:eastAsia="zh-CN"/>
              </w:rPr>
              <w:t>7</w:t>
            </w:r>
            <w:r>
              <w:rPr>
                <w:b/>
                <w:bCs/>
                <w:color w:val="auto"/>
                <w:kern w:val="0"/>
                <w:szCs w:val="21"/>
                <w:highlight w:val="none"/>
              </w:rPr>
              <w:t xml:space="preserve">  </w:t>
            </w:r>
            <w:r>
              <w:rPr>
                <w:rFonts w:hint="eastAsia"/>
                <w:b/>
                <w:bCs/>
                <w:color w:val="auto"/>
                <w:kern w:val="0"/>
                <w:szCs w:val="21"/>
                <w:highlight w:val="none"/>
              </w:rPr>
              <w:t xml:space="preserve"> </w:t>
            </w:r>
            <w:r>
              <w:rPr>
                <w:b/>
                <w:bCs/>
                <w:color w:val="auto"/>
                <w:kern w:val="0"/>
                <w:szCs w:val="21"/>
                <w:highlight w:val="none"/>
              </w:rPr>
              <w:t>废气排放标准一览表</w:t>
            </w:r>
          </w:p>
          <w:tbl>
            <w:tblPr>
              <w:tblStyle w:val="31"/>
              <w:tblW w:w="809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1080"/>
              <w:gridCol w:w="2081"/>
              <w:gridCol w:w="1600"/>
              <w:gridCol w:w="2016"/>
            </w:tblGrid>
            <w:tr w14:paraId="3CFE7B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319" w:type="dxa"/>
                  <w:tcBorders>
                    <w:tl2br w:val="nil"/>
                    <w:tr2bl w:val="nil"/>
                  </w:tcBorders>
                  <w:vAlign w:val="center"/>
                </w:tcPr>
                <w:p w14:paraId="4A9F8E36">
                  <w:pPr>
                    <w:adjustRightInd w:val="0"/>
                    <w:snapToGrid w:val="0"/>
                    <w:jc w:val="center"/>
                    <w:rPr>
                      <w:b/>
                      <w:bCs/>
                      <w:color w:val="auto"/>
                      <w:kern w:val="0"/>
                      <w:szCs w:val="21"/>
                      <w:highlight w:val="none"/>
                    </w:rPr>
                  </w:pPr>
                  <w:r>
                    <w:rPr>
                      <w:b/>
                      <w:bCs/>
                      <w:color w:val="auto"/>
                      <w:kern w:val="0"/>
                      <w:szCs w:val="21"/>
                      <w:highlight w:val="none"/>
                    </w:rPr>
                    <w:t>污染物种类</w:t>
                  </w:r>
                </w:p>
              </w:tc>
              <w:tc>
                <w:tcPr>
                  <w:tcW w:w="6777" w:type="dxa"/>
                  <w:gridSpan w:val="4"/>
                  <w:tcBorders>
                    <w:tl2br w:val="nil"/>
                    <w:tr2bl w:val="nil"/>
                  </w:tcBorders>
                  <w:vAlign w:val="center"/>
                </w:tcPr>
                <w:p w14:paraId="02A3BC74">
                  <w:pPr>
                    <w:adjustRightInd w:val="0"/>
                    <w:snapToGrid w:val="0"/>
                    <w:jc w:val="center"/>
                    <w:rPr>
                      <w:b/>
                      <w:bCs/>
                      <w:color w:val="auto"/>
                      <w:kern w:val="0"/>
                      <w:szCs w:val="21"/>
                      <w:highlight w:val="none"/>
                    </w:rPr>
                  </w:pPr>
                  <w:r>
                    <w:rPr>
                      <w:rFonts w:hint="eastAsia"/>
                      <w:b/>
                      <w:bCs/>
                      <w:color w:val="auto"/>
                      <w:kern w:val="0"/>
                      <w:szCs w:val="21"/>
                      <w:highlight w:val="none"/>
                    </w:rPr>
                    <w:t>排放标准相关要求</w:t>
                  </w:r>
                </w:p>
              </w:tc>
            </w:tr>
            <w:tr w14:paraId="162FA2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96" w:type="dxa"/>
                  <w:gridSpan w:val="5"/>
                  <w:tcBorders>
                    <w:tl2br w:val="nil"/>
                    <w:tr2bl w:val="nil"/>
                  </w:tcBorders>
                  <w:vAlign w:val="center"/>
                </w:tcPr>
                <w:p w14:paraId="7DF03FB8">
                  <w:pPr>
                    <w:adjustRightInd w:val="0"/>
                    <w:snapToGrid w:val="0"/>
                    <w:jc w:val="center"/>
                    <w:rPr>
                      <w:b/>
                      <w:bCs/>
                      <w:color w:val="auto"/>
                      <w:kern w:val="0"/>
                      <w:szCs w:val="21"/>
                      <w:highlight w:val="none"/>
                    </w:rPr>
                  </w:pPr>
                  <w:r>
                    <w:rPr>
                      <w:rFonts w:hint="eastAsia"/>
                      <w:b/>
                      <w:bCs/>
                      <w:color w:val="auto"/>
                      <w:kern w:val="0"/>
                      <w:szCs w:val="21"/>
                      <w:highlight w:val="none"/>
                    </w:rPr>
                    <w:t>施工期</w:t>
                  </w:r>
                </w:p>
              </w:tc>
            </w:tr>
            <w:tr w14:paraId="2C531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19" w:type="dxa"/>
                  <w:vMerge w:val="restart"/>
                  <w:tcBorders>
                    <w:tl2br w:val="nil"/>
                    <w:tr2bl w:val="nil"/>
                  </w:tcBorders>
                  <w:vAlign w:val="center"/>
                </w:tcPr>
                <w:p w14:paraId="60C02AA3">
                  <w:pPr>
                    <w:adjustRightInd w:val="0"/>
                    <w:snapToGrid w:val="0"/>
                    <w:jc w:val="center"/>
                    <w:rPr>
                      <w:color w:val="auto"/>
                      <w:kern w:val="0"/>
                      <w:szCs w:val="21"/>
                      <w:highlight w:val="none"/>
                    </w:rPr>
                  </w:pPr>
                  <w:r>
                    <w:rPr>
                      <w:rFonts w:hint="eastAsia"/>
                      <w:color w:val="auto"/>
                      <w:kern w:val="0"/>
                      <w:szCs w:val="21"/>
                      <w:highlight w:val="none"/>
                    </w:rPr>
                    <w:t>施工扬尘</w:t>
                  </w:r>
                </w:p>
              </w:tc>
              <w:tc>
                <w:tcPr>
                  <w:tcW w:w="1080" w:type="dxa"/>
                  <w:tcBorders>
                    <w:tl2br w:val="nil"/>
                    <w:tr2bl w:val="nil"/>
                  </w:tcBorders>
                  <w:vAlign w:val="center"/>
                </w:tcPr>
                <w:p w14:paraId="68AB8929">
                  <w:pPr>
                    <w:adjustRightInd w:val="0"/>
                    <w:snapToGrid w:val="0"/>
                    <w:jc w:val="center"/>
                    <w:rPr>
                      <w:b/>
                      <w:color w:val="auto"/>
                      <w:kern w:val="0"/>
                      <w:szCs w:val="21"/>
                      <w:highlight w:val="none"/>
                    </w:rPr>
                  </w:pPr>
                  <w:r>
                    <w:rPr>
                      <w:b/>
                      <w:color w:val="auto"/>
                      <w:kern w:val="0"/>
                      <w:szCs w:val="21"/>
                      <w:highlight w:val="none"/>
                    </w:rPr>
                    <w:t>监控点</w:t>
                  </w:r>
                </w:p>
              </w:tc>
              <w:tc>
                <w:tcPr>
                  <w:tcW w:w="2081" w:type="dxa"/>
                  <w:tcBorders>
                    <w:tl2br w:val="nil"/>
                    <w:tr2bl w:val="nil"/>
                  </w:tcBorders>
                  <w:vAlign w:val="center"/>
                </w:tcPr>
                <w:p w14:paraId="4266BF64">
                  <w:pPr>
                    <w:adjustRightInd w:val="0"/>
                    <w:snapToGrid w:val="0"/>
                    <w:jc w:val="center"/>
                    <w:rPr>
                      <w:b/>
                      <w:color w:val="auto"/>
                      <w:highlight w:val="none"/>
                    </w:rPr>
                  </w:pPr>
                  <w:r>
                    <w:rPr>
                      <w:rFonts w:hint="eastAsia"/>
                      <w:b/>
                      <w:color w:val="auto"/>
                      <w:highlight w:val="none"/>
                    </w:rPr>
                    <w:t>执行标准</w:t>
                  </w:r>
                </w:p>
              </w:tc>
              <w:tc>
                <w:tcPr>
                  <w:tcW w:w="1600" w:type="dxa"/>
                  <w:tcBorders>
                    <w:tl2br w:val="nil"/>
                    <w:tr2bl w:val="nil"/>
                  </w:tcBorders>
                  <w:vAlign w:val="center"/>
                </w:tcPr>
                <w:p w14:paraId="673F6A09">
                  <w:pPr>
                    <w:adjustRightInd w:val="0"/>
                    <w:snapToGrid w:val="0"/>
                    <w:jc w:val="center"/>
                    <w:rPr>
                      <w:b/>
                      <w:bCs/>
                      <w:color w:val="auto"/>
                      <w:kern w:val="0"/>
                      <w:szCs w:val="21"/>
                      <w:highlight w:val="none"/>
                    </w:rPr>
                  </w:pPr>
                  <w:r>
                    <w:rPr>
                      <w:rFonts w:hint="eastAsia"/>
                      <w:b/>
                      <w:bCs/>
                      <w:color w:val="auto"/>
                      <w:kern w:val="0"/>
                      <w:szCs w:val="21"/>
                      <w:highlight w:val="none"/>
                    </w:rPr>
                    <w:t>施工阶段</w:t>
                  </w:r>
                </w:p>
              </w:tc>
              <w:tc>
                <w:tcPr>
                  <w:tcW w:w="2016" w:type="dxa"/>
                  <w:tcBorders>
                    <w:tl2br w:val="nil"/>
                    <w:tr2bl w:val="nil"/>
                  </w:tcBorders>
                  <w:vAlign w:val="center"/>
                </w:tcPr>
                <w:p w14:paraId="7C8C41A4">
                  <w:pPr>
                    <w:widowControl/>
                    <w:jc w:val="center"/>
                    <w:rPr>
                      <w:b/>
                      <w:color w:val="auto"/>
                      <w:kern w:val="0"/>
                      <w:szCs w:val="21"/>
                      <w:highlight w:val="none"/>
                    </w:rPr>
                  </w:pPr>
                  <w:r>
                    <w:rPr>
                      <w:rFonts w:hint="eastAsia" w:cs="宋体"/>
                      <w:b/>
                      <w:color w:val="auto"/>
                      <w:szCs w:val="21"/>
                      <w:highlight w:val="none"/>
                    </w:rPr>
                    <w:t>小时平均浓度限值</w:t>
                  </w:r>
                </w:p>
              </w:tc>
            </w:tr>
            <w:tr w14:paraId="1EE50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19" w:type="dxa"/>
                  <w:vMerge w:val="continue"/>
                  <w:tcBorders>
                    <w:tl2br w:val="nil"/>
                    <w:tr2bl w:val="nil"/>
                  </w:tcBorders>
                  <w:vAlign w:val="center"/>
                </w:tcPr>
                <w:p w14:paraId="579EA791">
                  <w:pPr>
                    <w:adjustRightInd w:val="0"/>
                    <w:snapToGrid w:val="0"/>
                    <w:jc w:val="center"/>
                    <w:rPr>
                      <w:color w:val="auto"/>
                      <w:kern w:val="0"/>
                      <w:szCs w:val="21"/>
                      <w:highlight w:val="none"/>
                    </w:rPr>
                  </w:pPr>
                </w:p>
              </w:tc>
              <w:tc>
                <w:tcPr>
                  <w:tcW w:w="1080" w:type="dxa"/>
                  <w:vMerge w:val="restart"/>
                  <w:tcBorders>
                    <w:tl2br w:val="nil"/>
                    <w:tr2bl w:val="nil"/>
                  </w:tcBorders>
                  <w:vAlign w:val="center"/>
                </w:tcPr>
                <w:p w14:paraId="24F0BF5C">
                  <w:pPr>
                    <w:adjustRightInd w:val="0"/>
                    <w:snapToGrid w:val="0"/>
                    <w:jc w:val="center"/>
                    <w:rPr>
                      <w:color w:val="auto"/>
                      <w:kern w:val="0"/>
                      <w:szCs w:val="21"/>
                      <w:highlight w:val="none"/>
                    </w:rPr>
                  </w:pPr>
                  <w:r>
                    <w:rPr>
                      <w:color w:val="auto"/>
                      <w:kern w:val="0"/>
                      <w:szCs w:val="21"/>
                      <w:highlight w:val="none"/>
                    </w:rPr>
                    <w:t>周界外浓度最高点</w:t>
                  </w:r>
                </w:p>
              </w:tc>
              <w:tc>
                <w:tcPr>
                  <w:tcW w:w="2081" w:type="dxa"/>
                  <w:vMerge w:val="restart"/>
                  <w:tcBorders>
                    <w:tl2br w:val="nil"/>
                    <w:tr2bl w:val="nil"/>
                  </w:tcBorders>
                  <w:vAlign w:val="center"/>
                </w:tcPr>
                <w:p w14:paraId="4476B408">
                  <w:pPr>
                    <w:adjustRightInd w:val="0"/>
                    <w:snapToGrid w:val="0"/>
                    <w:jc w:val="center"/>
                    <w:rPr>
                      <w:color w:val="auto"/>
                      <w:kern w:val="0"/>
                      <w:szCs w:val="21"/>
                      <w:highlight w:val="none"/>
                    </w:rPr>
                  </w:pPr>
                  <w:r>
                    <w:rPr>
                      <w:rFonts w:hint="eastAsia"/>
                      <w:color w:val="auto"/>
                      <w:highlight w:val="none"/>
                    </w:rPr>
                    <w:t>《施工场界扬尘排放限值》（</w:t>
                  </w:r>
                  <w:r>
                    <w:rPr>
                      <w:color w:val="auto"/>
                      <w:highlight w:val="none"/>
                    </w:rPr>
                    <w:t>DB61/1078-2017</w:t>
                  </w:r>
                  <w:r>
                    <w:rPr>
                      <w:rFonts w:hint="eastAsia"/>
                      <w:color w:val="auto"/>
                      <w:highlight w:val="none"/>
                    </w:rPr>
                    <w:t>）</w:t>
                  </w:r>
                </w:p>
              </w:tc>
              <w:tc>
                <w:tcPr>
                  <w:tcW w:w="1600" w:type="dxa"/>
                  <w:tcBorders>
                    <w:tl2br w:val="nil"/>
                    <w:tr2bl w:val="nil"/>
                  </w:tcBorders>
                  <w:vAlign w:val="center"/>
                </w:tcPr>
                <w:p w14:paraId="59A15194">
                  <w:pPr>
                    <w:pStyle w:val="28"/>
                    <w:widowControl w:val="0"/>
                    <w:spacing w:before="0" w:beforeAutospacing="0" w:after="0" w:afterAutospacing="0"/>
                    <w:jc w:val="center"/>
                    <w:rPr>
                      <w:rFonts w:ascii="Times New Roman" w:hAnsi="Times New Roman"/>
                      <w:b/>
                      <w:bCs/>
                      <w:color w:val="auto"/>
                      <w:szCs w:val="21"/>
                      <w:highlight w:val="none"/>
                    </w:rPr>
                  </w:pPr>
                  <w:r>
                    <w:rPr>
                      <w:rFonts w:hint="eastAsia" w:ascii="Times New Roman" w:hAnsi="Times New Roman" w:cs="宋体"/>
                      <w:color w:val="auto"/>
                      <w:kern w:val="2"/>
                      <w:sz w:val="21"/>
                      <w:szCs w:val="21"/>
                      <w:highlight w:val="none"/>
                    </w:rPr>
                    <w:t>拆除、土方及地基处理工程</w:t>
                  </w:r>
                </w:p>
              </w:tc>
              <w:tc>
                <w:tcPr>
                  <w:tcW w:w="2016" w:type="dxa"/>
                  <w:tcBorders>
                    <w:tl2br w:val="nil"/>
                    <w:tr2bl w:val="nil"/>
                  </w:tcBorders>
                  <w:vAlign w:val="center"/>
                </w:tcPr>
                <w:p w14:paraId="03CB437A">
                  <w:pPr>
                    <w:widowControl/>
                    <w:jc w:val="center"/>
                    <w:rPr>
                      <w:color w:val="auto"/>
                      <w:kern w:val="0"/>
                      <w:szCs w:val="21"/>
                      <w:highlight w:val="none"/>
                    </w:rPr>
                  </w:pPr>
                  <w:r>
                    <w:rPr>
                      <w:rFonts w:hint="eastAsia" w:ascii="宋体" w:hAnsi="宋体" w:cs="宋体"/>
                      <w:color w:val="auto"/>
                      <w:szCs w:val="21"/>
                      <w:highlight w:val="none"/>
                    </w:rPr>
                    <w:t>≤</w:t>
                  </w:r>
                  <w:r>
                    <w:rPr>
                      <w:color w:val="auto"/>
                      <w:szCs w:val="21"/>
                      <w:highlight w:val="none"/>
                    </w:rPr>
                    <w:t>0.8</w:t>
                  </w:r>
                  <w:r>
                    <w:rPr>
                      <w:bCs/>
                      <w:color w:val="auto"/>
                      <w:szCs w:val="21"/>
                      <w:highlight w:val="none"/>
                    </w:rPr>
                    <w:t>mg/m</w:t>
                  </w:r>
                  <w:r>
                    <w:rPr>
                      <w:bCs/>
                      <w:color w:val="auto"/>
                      <w:szCs w:val="21"/>
                      <w:highlight w:val="none"/>
                      <w:vertAlign w:val="superscript"/>
                    </w:rPr>
                    <w:t>3</w:t>
                  </w:r>
                </w:p>
              </w:tc>
            </w:tr>
            <w:tr w14:paraId="2B1DC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19" w:type="dxa"/>
                  <w:vMerge w:val="continue"/>
                  <w:tcBorders>
                    <w:tl2br w:val="nil"/>
                    <w:tr2bl w:val="nil"/>
                  </w:tcBorders>
                  <w:vAlign w:val="center"/>
                </w:tcPr>
                <w:p w14:paraId="07A228E9">
                  <w:pPr>
                    <w:adjustRightInd w:val="0"/>
                    <w:snapToGrid w:val="0"/>
                    <w:jc w:val="center"/>
                    <w:rPr>
                      <w:color w:val="auto"/>
                      <w:kern w:val="0"/>
                      <w:szCs w:val="21"/>
                      <w:highlight w:val="none"/>
                    </w:rPr>
                  </w:pPr>
                </w:p>
              </w:tc>
              <w:tc>
                <w:tcPr>
                  <w:tcW w:w="1080" w:type="dxa"/>
                  <w:vMerge w:val="continue"/>
                  <w:tcBorders>
                    <w:tl2br w:val="nil"/>
                    <w:tr2bl w:val="nil"/>
                  </w:tcBorders>
                  <w:vAlign w:val="center"/>
                </w:tcPr>
                <w:p w14:paraId="708EAA76">
                  <w:pPr>
                    <w:adjustRightInd w:val="0"/>
                    <w:snapToGrid w:val="0"/>
                    <w:jc w:val="center"/>
                    <w:rPr>
                      <w:color w:val="auto"/>
                      <w:kern w:val="0"/>
                      <w:szCs w:val="21"/>
                      <w:highlight w:val="none"/>
                    </w:rPr>
                  </w:pPr>
                </w:p>
              </w:tc>
              <w:tc>
                <w:tcPr>
                  <w:tcW w:w="2081" w:type="dxa"/>
                  <w:vMerge w:val="continue"/>
                  <w:tcBorders>
                    <w:tl2br w:val="nil"/>
                    <w:tr2bl w:val="nil"/>
                  </w:tcBorders>
                  <w:vAlign w:val="center"/>
                </w:tcPr>
                <w:p w14:paraId="7947C761">
                  <w:pPr>
                    <w:adjustRightInd w:val="0"/>
                    <w:snapToGrid w:val="0"/>
                    <w:jc w:val="center"/>
                    <w:rPr>
                      <w:color w:val="auto"/>
                      <w:highlight w:val="none"/>
                    </w:rPr>
                  </w:pPr>
                </w:p>
              </w:tc>
              <w:tc>
                <w:tcPr>
                  <w:tcW w:w="1600" w:type="dxa"/>
                  <w:tcBorders>
                    <w:tl2br w:val="nil"/>
                    <w:tr2bl w:val="nil"/>
                  </w:tcBorders>
                  <w:vAlign w:val="center"/>
                </w:tcPr>
                <w:p w14:paraId="4751F98A">
                  <w:pPr>
                    <w:pStyle w:val="28"/>
                    <w:widowControl w:val="0"/>
                    <w:spacing w:before="0" w:beforeAutospacing="0" w:after="0" w:afterAutospacing="0"/>
                    <w:jc w:val="center"/>
                    <w:rPr>
                      <w:rFonts w:ascii="Times New Roman" w:hAnsi="Times New Roman"/>
                      <w:b/>
                      <w:bCs/>
                      <w:color w:val="auto"/>
                      <w:szCs w:val="21"/>
                      <w:highlight w:val="none"/>
                    </w:rPr>
                  </w:pPr>
                  <w:r>
                    <w:rPr>
                      <w:rFonts w:hint="eastAsia" w:ascii="Times New Roman" w:hAnsi="Times New Roman" w:cs="宋体"/>
                      <w:color w:val="auto"/>
                      <w:kern w:val="2"/>
                      <w:sz w:val="21"/>
                      <w:szCs w:val="21"/>
                      <w:highlight w:val="none"/>
                    </w:rPr>
                    <w:t>基础、主体结构及装饰工程</w:t>
                  </w:r>
                </w:p>
              </w:tc>
              <w:tc>
                <w:tcPr>
                  <w:tcW w:w="2016" w:type="dxa"/>
                  <w:tcBorders>
                    <w:tl2br w:val="nil"/>
                    <w:tr2bl w:val="nil"/>
                  </w:tcBorders>
                  <w:vAlign w:val="center"/>
                </w:tcPr>
                <w:p w14:paraId="462745E7">
                  <w:pPr>
                    <w:widowControl/>
                    <w:jc w:val="center"/>
                    <w:rPr>
                      <w:color w:val="auto"/>
                      <w:kern w:val="0"/>
                      <w:szCs w:val="21"/>
                      <w:highlight w:val="none"/>
                    </w:rPr>
                  </w:pPr>
                  <w:r>
                    <w:rPr>
                      <w:rFonts w:hint="eastAsia" w:ascii="宋体" w:hAnsi="宋体" w:cs="宋体"/>
                      <w:color w:val="auto"/>
                      <w:szCs w:val="21"/>
                      <w:highlight w:val="none"/>
                    </w:rPr>
                    <w:t>≤</w:t>
                  </w:r>
                  <w:r>
                    <w:rPr>
                      <w:color w:val="auto"/>
                      <w:szCs w:val="21"/>
                      <w:highlight w:val="none"/>
                    </w:rPr>
                    <w:t>0.7</w:t>
                  </w:r>
                  <w:r>
                    <w:rPr>
                      <w:bCs/>
                      <w:color w:val="auto"/>
                      <w:szCs w:val="21"/>
                      <w:highlight w:val="none"/>
                    </w:rPr>
                    <w:t>mg/m</w:t>
                  </w:r>
                  <w:r>
                    <w:rPr>
                      <w:bCs/>
                      <w:color w:val="auto"/>
                      <w:szCs w:val="21"/>
                      <w:highlight w:val="none"/>
                      <w:vertAlign w:val="superscript"/>
                    </w:rPr>
                    <w:t>3</w:t>
                  </w:r>
                </w:p>
              </w:tc>
            </w:tr>
            <w:tr w14:paraId="6C0F3C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96" w:type="dxa"/>
                  <w:gridSpan w:val="5"/>
                  <w:tcBorders>
                    <w:tl2br w:val="nil"/>
                    <w:tr2bl w:val="nil"/>
                  </w:tcBorders>
                  <w:vAlign w:val="center"/>
                </w:tcPr>
                <w:p w14:paraId="4738B144">
                  <w:pPr>
                    <w:adjustRightInd w:val="0"/>
                    <w:snapToGrid w:val="0"/>
                    <w:jc w:val="center"/>
                    <w:rPr>
                      <w:b/>
                      <w:color w:val="auto"/>
                      <w:kern w:val="0"/>
                      <w:szCs w:val="21"/>
                      <w:highlight w:val="none"/>
                    </w:rPr>
                  </w:pPr>
                  <w:r>
                    <w:rPr>
                      <w:rFonts w:hint="eastAsia"/>
                      <w:b/>
                      <w:color w:val="auto"/>
                      <w:kern w:val="0"/>
                      <w:szCs w:val="21"/>
                      <w:highlight w:val="none"/>
                    </w:rPr>
                    <w:t>运营期</w:t>
                  </w:r>
                </w:p>
              </w:tc>
            </w:tr>
            <w:tr w14:paraId="1A50B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19" w:type="dxa"/>
                  <w:tcBorders>
                    <w:bottom w:val="single" w:color="auto" w:sz="4" w:space="0"/>
                  </w:tcBorders>
                  <w:vAlign w:val="center"/>
                </w:tcPr>
                <w:p w14:paraId="6EAFB991">
                  <w:pPr>
                    <w:adjustRightInd w:val="0"/>
                    <w:snapToGrid w:val="0"/>
                    <w:jc w:val="center"/>
                    <w:rPr>
                      <w:b/>
                      <w:color w:val="auto"/>
                      <w:kern w:val="0"/>
                      <w:szCs w:val="21"/>
                      <w:highlight w:val="none"/>
                    </w:rPr>
                  </w:pPr>
                  <w:r>
                    <w:rPr>
                      <w:rFonts w:hint="eastAsia"/>
                      <w:b/>
                      <w:color w:val="auto"/>
                      <w:kern w:val="0"/>
                      <w:szCs w:val="21"/>
                      <w:highlight w:val="none"/>
                    </w:rPr>
                    <w:t>废气种类</w:t>
                  </w:r>
                </w:p>
              </w:tc>
              <w:tc>
                <w:tcPr>
                  <w:tcW w:w="1080" w:type="dxa"/>
                  <w:tcBorders>
                    <w:bottom w:val="single" w:color="auto" w:sz="4" w:space="0"/>
                  </w:tcBorders>
                  <w:vAlign w:val="center"/>
                </w:tcPr>
                <w:p w14:paraId="0F25566B">
                  <w:pPr>
                    <w:adjustRightInd w:val="0"/>
                    <w:snapToGrid w:val="0"/>
                    <w:jc w:val="center"/>
                    <w:rPr>
                      <w:b/>
                      <w:color w:val="auto"/>
                      <w:kern w:val="0"/>
                      <w:szCs w:val="21"/>
                      <w:highlight w:val="none"/>
                    </w:rPr>
                  </w:pPr>
                  <w:r>
                    <w:rPr>
                      <w:b/>
                      <w:color w:val="auto"/>
                      <w:kern w:val="0"/>
                      <w:szCs w:val="21"/>
                      <w:highlight w:val="none"/>
                    </w:rPr>
                    <w:t>排放形式</w:t>
                  </w:r>
                </w:p>
              </w:tc>
              <w:tc>
                <w:tcPr>
                  <w:tcW w:w="2081" w:type="dxa"/>
                  <w:tcBorders>
                    <w:tl2br w:val="nil"/>
                    <w:tr2bl w:val="nil"/>
                  </w:tcBorders>
                  <w:vAlign w:val="center"/>
                </w:tcPr>
                <w:p w14:paraId="733E1A08">
                  <w:pPr>
                    <w:adjustRightInd w:val="0"/>
                    <w:snapToGrid w:val="0"/>
                    <w:jc w:val="center"/>
                    <w:rPr>
                      <w:b/>
                      <w:color w:val="auto"/>
                      <w:kern w:val="0"/>
                      <w:szCs w:val="21"/>
                      <w:highlight w:val="none"/>
                    </w:rPr>
                  </w:pPr>
                  <w:r>
                    <w:rPr>
                      <w:b/>
                      <w:color w:val="auto"/>
                      <w:kern w:val="0"/>
                      <w:szCs w:val="21"/>
                      <w:highlight w:val="none"/>
                    </w:rPr>
                    <w:t>执行标准</w:t>
                  </w:r>
                </w:p>
              </w:tc>
              <w:tc>
                <w:tcPr>
                  <w:tcW w:w="1600" w:type="dxa"/>
                  <w:tcBorders>
                    <w:tl2br w:val="nil"/>
                    <w:tr2bl w:val="nil"/>
                  </w:tcBorders>
                  <w:vAlign w:val="center"/>
                </w:tcPr>
                <w:p w14:paraId="781F2BBF">
                  <w:pPr>
                    <w:adjustRightInd w:val="0"/>
                    <w:snapToGrid w:val="0"/>
                    <w:jc w:val="center"/>
                    <w:rPr>
                      <w:b/>
                      <w:bCs/>
                      <w:color w:val="auto"/>
                      <w:kern w:val="0"/>
                      <w:szCs w:val="21"/>
                      <w:highlight w:val="none"/>
                    </w:rPr>
                  </w:pPr>
                  <w:r>
                    <w:rPr>
                      <w:rFonts w:hint="eastAsia"/>
                      <w:b/>
                      <w:bCs/>
                      <w:color w:val="auto"/>
                      <w:kern w:val="0"/>
                      <w:szCs w:val="21"/>
                      <w:highlight w:val="none"/>
                    </w:rPr>
                    <w:t>监控点</w:t>
                  </w:r>
                </w:p>
              </w:tc>
              <w:tc>
                <w:tcPr>
                  <w:tcW w:w="2016" w:type="dxa"/>
                  <w:tcBorders>
                    <w:tl2br w:val="nil"/>
                    <w:tr2bl w:val="nil"/>
                  </w:tcBorders>
                  <w:vAlign w:val="center"/>
                </w:tcPr>
                <w:p w14:paraId="24E6FFC3">
                  <w:pPr>
                    <w:adjustRightInd w:val="0"/>
                    <w:snapToGrid w:val="0"/>
                    <w:jc w:val="center"/>
                    <w:rPr>
                      <w:b/>
                      <w:color w:val="auto"/>
                      <w:kern w:val="0"/>
                      <w:szCs w:val="21"/>
                      <w:highlight w:val="none"/>
                    </w:rPr>
                  </w:pPr>
                  <w:r>
                    <w:rPr>
                      <w:rFonts w:hint="eastAsia"/>
                      <w:b/>
                      <w:color w:val="auto"/>
                      <w:kern w:val="0"/>
                      <w:szCs w:val="21"/>
                      <w:highlight w:val="none"/>
                      <w:lang w:eastAsia="zh-CN"/>
                    </w:rPr>
                    <w:t>速率</w:t>
                  </w:r>
                  <w:r>
                    <w:rPr>
                      <w:rFonts w:hint="eastAsia"/>
                      <w:b/>
                      <w:color w:val="auto"/>
                      <w:kern w:val="0"/>
                      <w:szCs w:val="21"/>
                      <w:highlight w:val="none"/>
                      <w:lang w:val="en-US" w:eastAsia="zh-CN"/>
                    </w:rPr>
                    <w:t>/</w:t>
                  </w:r>
                  <w:r>
                    <w:rPr>
                      <w:b/>
                      <w:color w:val="auto"/>
                      <w:kern w:val="0"/>
                      <w:szCs w:val="21"/>
                      <w:highlight w:val="none"/>
                    </w:rPr>
                    <w:t>浓</w:t>
                  </w:r>
                  <w:r>
                    <w:rPr>
                      <w:rFonts w:hint="eastAsia"/>
                      <w:b/>
                      <w:color w:val="auto"/>
                      <w:kern w:val="0"/>
                      <w:szCs w:val="21"/>
                      <w:highlight w:val="none"/>
                    </w:rPr>
                    <w:t>度</w:t>
                  </w:r>
                  <w:r>
                    <w:rPr>
                      <w:b/>
                      <w:color w:val="auto"/>
                      <w:kern w:val="0"/>
                      <w:szCs w:val="21"/>
                      <w:highlight w:val="none"/>
                    </w:rPr>
                    <w:t>限值</w:t>
                  </w:r>
                </w:p>
              </w:tc>
            </w:tr>
            <w:tr w14:paraId="23245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19" w:type="dxa"/>
                  <w:tcBorders>
                    <w:top w:val="single" w:color="auto" w:sz="4" w:space="0"/>
                    <w:tl2br w:val="nil"/>
                    <w:tr2bl w:val="nil"/>
                  </w:tcBorders>
                  <w:vAlign w:val="center"/>
                </w:tcPr>
                <w:p w14:paraId="76EC595C">
                  <w:pPr>
                    <w:adjustRightInd w:val="0"/>
                    <w:snapToGrid w:val="0"/>
                    <w:jc w:val="center"/>
                    <w:rPr>
                      <w:rFonts w:hint="eastAsia" w:eastAsia="宋体"/>
                      <w:color w:val="auto"/>
                      <w:kern w:val="0"/>
                      <w:szCs w:val="21"/>
                      <w:highlight w:val="none"/>
                      <w:lang w:eastAsia="zh-CN"/>
                    </w:rPr>
                  </w:pPr>
                  <w:r>
                    <w:rPr>
                      <w:rFonts w:hint="eastAsia"/>
                      <w:color w:val="auto"/>
                      <w:kern w:val="0"/>
                      <w:szCs w:val="21"/>
                      <w:highlight w:val="none"/>
                      <w:lang w:eastAsia="zh-CN"/>
                    </w:rPr>
                    <w:t>油烟</w:t>
                  </w:r>
                </w:p>
              </w:tc>
              <w:tc>
                <w:tcPr>
                  <w:tcW w:w="1080" w:type="dxa"/>
                  <w:tcBorders>
                    <w:top w:val="single" w:color="auto" w:sz="4" w:space="0"/>
                    <w:bottom w:val="single" w:color="auto" w:sz="4" w:space="0"/>
                  </w:tcBorders>
                  <w:vAlign w:val="center"/>
                </w:tcPr>
                <w:p w14:paraId="4C55ED2B">
                  <w:pPr>
                    <w:adjustRightInd w:val="0"/>
                    <w:snapToGrid w:val="0"/>
                    <w:jc w:val="center"/>
                    <w:rPr>
                      <w:color w:val="auto"/>
                      <w:kern w:val="0"/>
                      <w:szCs w:val="21"/>
                      <w:highlight w:val="none"/>
                    </w:rPr>
                  </w:pPr>
                  <w:r>
                    <w:rPr>
                      <w:rFonts w:hint="eastAsia"/>
                      <w:color w:val="auto"/>
                      <w:kern w:val="0"/>
                      <w:szCs w:val="21"/>
                      <w:highlight w:val="none"/>
                    </w:rPr>
                    <w:t>有组织</w:t>
                  </w:r>
                </w:p>
              </w:tc>
              <w:tc>
                <w:tcPr>
                  <w:tcW w:w="2081" w:type="dxa"/>
                  <w:tcBorders>
                    <w:bottom w:val="single" w:color="auto" w:sz="4" w:space="0"/>
                  </w:tcBorders>
                  <w:vAlign w:val="center"/>
                </w:tcPr>
                <w:p w14:paraId="50298A15">
                  <w:pPr>
                    <w:pStyle w:val="14"/>
                    <w:jc w:val="center"/>
                    <w:rPr>
                      <w:color w:val="auto"/>
                      <w:szCs w:val="21"/>
                      <w:highlight w:val="none"/>
                    </w:rPr>
                  </w:pPr>
                  <w:r>
                    <w:rPr>
                      <w:rFonts w:hint="eastAsia"/>
                      <w:color w:val="auto"/>
                      <w:szCs w:val="21"/>
                      <w:highlight w:val="none"/>
                      <w:lang w:eastAsia="zh-CN"/>
                    </w:rPr>
                    <w:t>《饮食业油烟排放标准（试行）》（GB18483-2001）</w:t>
                  </w:r>
                </w:p>
              </w:tc>
              <w:tc>
                <w:tcPr>
                  <w:tcW w:w="1600" w:type="dxa"/>
                  <w:tcBorders>
                    <w:bottom w:val="single" w:color="auto" w:sz="4" w:space="0"/>
                  </w:tcBorders>
                  <w:vAlign w:val="center"/>
                </w:tcPr>
                <w:p w14:paraId="740224E9">
                  <w:pPr>
                    <w:adjustRightInd w:val="0"/>
                    <w:snapToGrid w:val="0"/>
                    <w:jc w:val="center"/>
                    <w:rPr>
                      <w:color w:val="auto"/>
                      <w:kern w:val="0"/>
                      <w:szCs w:val="21"/>
                      <w:highlight w:val="none"/>
                    </w:rPr>
                  </w:pPr>
                  <w:r>
                    <w:rPr>
                      <w:rFonts w:hint="eastAsia" w:ascii="宋体" w:hAnsi="宋体" w:eastAsia="宋体" w:cs="宋体"/>
                      <w:color w:val="auto"/>
                      <w:highlight w:val="none"/>
                      <w:lang w:eastAsia="zh-CN"/>
                    </w:rPr>
                    <w:t>厂房顶部</w:t>
                  </w:r>
                  <w:r>
                    <w:rPr>
                      <w:rFonts w:hint="eastAsia" w:ascii="宋体" w:hAnsi="宋体" w:cs="宋体"/>
                      <w:color w:val="auto"/>
                      <w:highlight w:val="none"/>
                      <w:lang w:eastAsia="zh-CN"/>
                    </w:rPr>
                    <w:t>油烟管道排口</w:t>
                  </w:r>
                </w:p>
              </w:tc>
              <w:tc>
                <w:tcPr>
                  <w:tcW w:w="2016" w:type="dxa"/>
                  <w:tcBorders>
                    <w:tl2br w:val="nil"/>
                    <w:tr2bl w:val="nil"/>
                  </w:tcBorders>
                  <w:vAlign w:val="center"/>
                </w:tcPr>
                <w:p w14:paraId="3A7378C5">
                  <w:pPr>
                    <w:adjustRightInd w:val="0"/>
                    <w:snapToGrid w:val="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2.0</w:t>
                  </w:r>
                  <w:r>
                    <w:rPr>
                      <w:b w:val="0"/>
                      <w:bCs/>
                      <w:color w:val="auto"/>
                      <w:kern w:val="0"/>
                      <w:szCs w:val="21"/>
                      <w:highlight w:val="none"/>
                    </w:rPr>
                    <w:t>mg/m</w:t>
                  </w:r>
                  <w:r>
                    <w:rPr>
                      <w:b w:val="0"/>
                      <w:bCs/>
                      <w:color w:val="auto"/>
                      <w:kern w:val="0"/>
                      <w:szCs w:val="21"/>
                      <w:highlight w:val="none"/>
                      <w:vertAlign w:val="superscript"/>
                    </w:rPr>
                    <w:t>3</w:t>
                  </w:r>
                </w:p>
              </w:tc>
            </w:tr>
            <w:tr w14:paraId="395E4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tl2br w:val="nil"/>
                    <w:tr2bl w:val="nil"/>
                  </w:tcBorders>
                  <w:vAlign w:val="center"/>
                </w:tcPr>
                <w:p w14:paraId="12F5B9AE">
                  <w:pPr>
                    <w:jc w:val="center"/>
                    <w:rPr>
                      <w:color w:val="auto"/>
                      <w:kern w:val="0"/>
                      <w:szCs w:val="21"/>
                      <w:highlight w:val="none"/>
                    </w:rPr>
                  </w:pPr>
                  <w:r>
                    <w:rPr>
                      <w:rFonts w:hint="default" w:ascii="Times New Roman" w:hAnsi="Times New Roman" w:cs="Times New Roman"/>
                      <w:color w:val="auto"/>
                      <w:szCs w:val="21"/>
                      <w:highlight w:val="none"/>
                      <w:lang w:eastAsia="zh-CN"/>
                    </w:rPr>
                    <w:t>氨</w:t>
                  </w:r>
                </w:p>
              </w:tc>
              <w:tc>
                <w:tcPr>
                  <w:tcW w:w="1080" w:type="dxa"/>
                  <w:vMerge w:val="restart"/>
                  <w:tcBorders>
                    <w:top w:val="single" w:color="auto" w:sz="4" w:space="0"/>
                    <w:tl2br w:val="nil"/>
                    <w:tr2bl w:val="nil"/>
                  </w:tcBorders>
                  <w:vAlign w:val="center"/>
                </w:tcPr>
                <w:p w14:paraId="778CFED8">
                  <w:pPr>
                    <w:adjustRightInd w:val="0"/>
                    <w:snapToGrid w:val="0"/>
                    <w:jc w:val="center"/>
                    <w:rPr>
                      <w:color w:val="auto"/>
                      <w:kern w:val="0"/>
                      <w:szCs w:val="21"/>
                      <w:highlight w:val="none"/>
                    </w:rPr>
                  </w:pPr>
                  <w:r>
                    <w:rPr>
                      <w:rFonts w:hint="eastAsia"/>
                      <w:color w:val="auto"/>
                      <w:kern w:val="0"/>
                      <w:szCs w:val="21"/>
                      <w:highlight w:val="none"/>
                    </w:rPr>
                    <w:t>有组织</w:t>
                  </w:r>
                </w:p>
              </w:tc>
              <w:tc>
                <w:tcPr>
                  <w:tcW w:w="2081" w:type="dxa"/>
                  <w:vMerge w:val="restart"/>
                  <w:tcBorders>
                    <w:top w:val="single" w:color="auto" w:sz="4" w:space="0"/>
                    <w:tl2br w:val="nil"/>
                    <w:tr2bl w:val="nil"/>
                  </w:tcBorders>
                  <w:vAlign w:val="center"/>
                </w:tcPr>
                <w:p w14:paraId="6D3F4E4C">
                  <w:pPr>
                    <w:pStyle w:val="14"/>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《恶臭污染物排放标准》</w:t>
                  </w:r>
                </w:p>
                <w:p w14:paraId="5BAB4FED">
                  <w:pPr>
                    <w:pStyle w:val="14"/>
                    <w:jc w:val="center"/>
                    <w:rPr>
                      <w:rFonts w:hint="eastAsia"/>
                      <w:color w:val="auto"/>
                      <w:sz w:val="21"/>
                      <w:szCs w:val="21"/>
                      <w:highlight w:val="none"/>
                    </w:rPr>
                  </w:pPr>
                  <w:r>
                    <w:rPr>
                      <w:rFonts w:hint="default" w:ascii="Times New Roman" w:hAnsi="Times New Roman" w:eastAsia="宋体" w:cs="Times New Roman"/>
                      <w:color w:val="auto"/>
                      <w:szCs w:val="21"/>
                      <w:highlight w:val="none"/>
                      <w:lang w:eastAsia="zh-CN"/>
                    </w:rPr>
                    <w:t>（GB14554-93）</w:t>
                  </w:r>
                </w:p>
              </w:tc>
              <w:tc>
                <w:tcPr>
                  <w:tcW w:w="1600" w:type="dxa"/>
                  <w:vMerge w:val="restart"/>
                  <w:tcBorders>
                    <w:top w:val="single" w:color="auto" w:sz="4" w:space="0"/>
                    <w:tl2br w:val="nil"/>
                    <w:tr2bl w:val="nil"/>
                  </w:tcBorders>
                  <w:vAlign w:val="center"/>
                </w:tcPr>
                <w:p w14:paraId="5C7BB9B3">
                  <w:pPr>
                    <w:adjustRightInd w:val="0"/>
                    <w:snapToGrid w:val="0"/>
                    <w:jc w:val="center"/>
                    <w:rPr>
                      <w:b/>
                      <w:bCs/>
                      <w:color w:val="auto"/>
                      <w:kern w:val="0"/>
                      <w:szCs w:val="21"/>
                      <w:highlight w:val="none"/>
                    </w:rPr>
                  </w:pPr>
                  <w:r>
                    <w:rPr>
                      <w:rFonts w:hint="eastAsia"/>
                      <w:color w:val="auto"/>
                      <w:szCs w:val="21"/>
                      <w:highlight w:val="none"/>
                      <w:lang w:eastAsia="zh-CN"/>
                    </w:rPr>
                    <w:t>恶臭排气筒</w:t>
                  </w:r>
                </w:p>
              </w:tc>
              <w:tc>
                <w:tcPr>
                  <w:tcW w:w="2016" w:type="dxa"/>
                  <w:tcBorders>
                    <w:tl2br w:val="nil"/>
                    <w:tr2bl w:val="nil"/>
                  </w:tcBorders>
                  <w:vAlign w:val="center"/>
                </w:tcPr>
                <w:p w14:paraId="3570CCB7">
                  <w:pPr>
                    <w:jc w:val="center"/>
                    <w:rPr>
                      <w:color w:val="auto"/>
                      <w:kern w:val="0"/>
                      <w:szCs w:val="21"/>
                      <w:highlight w:val="none"/>
                    </w:rPr>
                  </w:pPr>
                  <w:r>
                    <w:rPr>
                      <w:rFonts w:hint="eastAsia" w:cs="Times New Roman"/>
                      <w:color w:val="auto"/>
                      <w:szCs w:val="21"/>
                      <w:highlight w:val="none"/>
                      <w:lang w:val="en-US" w:eastAsia="zh-CN"/>
                    </w:rPr>
                    <w:t>4.9kg/h</w:t>
                  </w:r>
                </w:p>
              </w:tc>
            </w:tr>
            <w:tr w14:paraId="02A43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tl2br w:val="nil"/>
                    <w:tr2bl w:val="nil"/>
                  </w:tcBorders>
                  <w:vAlign w:val="center"/>
                </w:tcPr>
                <w:p w14:paraId="0DF1F2AA">
                  <w:pPr>
                    <w:jc w:val="center"/>
                    <w:rPr>
                      <w:rFonts w:hint="default" w:eastAsia="宋体"/>
                      <w:color w:val="auto"/>
                      <w:kern w:val="0"/>
                      <w:szCs w:val="21"/>
                      <w:highlight w:val="none"/>
                      <w:lang w:val="en-US" w:eastAsia="zh-CN"/>
                    </w:rPr>
                  </w:pPr>
                  <w:r>
                    <w:rPr>
                      <w:rFonts w:hint="default" w:ascii="Times New Roman" w:hAnsi="Times New Roman" w:cs="Times New Roman"/>
                      <w:color w:val="auto"/>
                      <w:szCs w:val="21"/>
                      <w:highlight w:val="none"/>
                      <w:lang w:eastAsia="zh-CN"/>
                    </w:rPr>
                    <w:t>硫化氢</w:t>
                  </w:r>
                </w:p>
              </w:tc>
              <w:tc>
                <w:tcPr>
                  <w:tcW w:w="1080" w:type="dxa"/>
                  <w:vMerge w:val="continue"/>
                  <w:tcBorders>
                    <w:tl2br w:val="nil"/>
                    <w:tr2bl w:val="nil"/>
                  </w:tcBorders>
                  <w:vAlign w:val="center"/>
                </w:tcPr>
                <w:p w14:paraId="1D42A8D2">
                  <w:pPr>
                    <w:adjustRightInd w:val="0"/>
                    <w:snapToGrid w:val="0"/>
                    <w:jc w:val="center"/>
                    <w:rPr>
                      <w:rFonts w:hint="eastAsia"/>
                      <w:color w:val="auto"/>
                      <w:kern w:val="0"/>
                      <w:szCs w:val="21"/>
                      <w:highlight w:val="none"/>
                    </w:rPr>
                  </w:pPr>
                </w:p>
              </w:tc>
              <w:tc>
                <w:tcPr>
                  <w:tcW w:w="2081" w:type="dxa"/>
                  <w:vMerge w:val="continue"/>
                  <w:tcBorders>
                    <w:tl2br w:val="nil"/>
                    <w:tr2bl w:val="nil"/>
                  </w:tcBorders>
                  <w:vAlign w:val="center"/>
                </w:tcPr>
                <w:p w14:paraId="6578FE17">
                  <w:pPr>
                    <w:pStyle w:val="14"/>
                    <w:jc w:val="center"/>
                    <w:rPr>
                      <w:rFonts w:hint="eastAsia"/>
                      <w:color w:val="auto"/>
                      <w:sz w:val="21"/>
                      <w:szCs w:val="21"/>
                      <w:highlight w:val="none"/>
                    </w:rPr>
                  </w:pPr>
                </w:p>
              </w:tc>
              <w:tc>
                <w:tcPr>
                  <w:tcW w:w="1600" w:type="dxa"/>
                  <w:vMerge w:val="continue"/>
                  <w:tcBorders>
                    <w:tl2br w:val="nil"/>
                    <w:tr2bl w:val="nil"/>
                  </w:tcBorders>
                  <w:vAlign w:val="center"/>
                </w:tcPr>
                <w:p w14:paraId="63C9AB51">
                  <w:pPr>
                    <w:adjustRightInd w:val="0"/>
                    <w:snapToGrid w:val="0"/>
                    <w:jc w:val="center"/>
                    <w:rPr>
                      <w:rFonts w:hint="eastAsia"/>
                      <w:color w:val="auto"/>
                      <w:kern w:val="0"/>
                      <w:szCs w:val="21"/>
                      <w:highlight w:val="none"/>
                    </w:rPr>
                  </w:pPr>
                </w:p>
              </w:tc>
              <w:tc>
                <w:tcPr>
                  <w:tcW w:w="2016" w:type="dxa"/>
                  <w:tcBorders>
                    <w:tl2br w:val="nil"/>
                    <w:tr2bl w:val="nil"/>
                  </w:tcBorders>
                  <w:vAlign w:val="center"/>
                </w:tcPr>
                <w:p w14:paraId="14C01866">
                  <w:pPr>
                    <w:jc w:val="center"/>
                    <w:rPr>
                      <w:rFonts w:hint="default" w:eastAsia="宋体"/>
                      <w:bCs/>
                      <w:color w:val="auto"/>
                      <w:szCs w:val="21"/>
                      <w:highlight w:val="none"/>
                      <w:lang w:val="en-US" w:eastAsia="zh-CN"/>
                    </w:rPr>
                  </w:pPr>
                  <w:r>
                    <w:rPr>
                      <w:rFonts w:hint="eastAsia" w:cs="Times New Roman"/>
                      <w:color w:val="auto"/>
                      <w:szCs w:val="21"/>
                      <w:highlight w:val="none"/>
                      <w:lang w:val="en-US" w:eastAsia="zh-CN"/>
                    </w:rPr>
                    <w:t>0.33kg/h</w:t>
                  </w:r>
                </w:p>
              </w:tc>
            </w:tr>
            <w:tr w14:paraId="172ADE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tl2br w:val="nil"/>
                    <w:tr2bl w:val="nil"/>
                  </w:tcBorders>
                  <w:vAlign w:val="center"/>
                </w:tcPr>
                <w:p w14:paraId="3503667F">
                  <w:pPr>
                    <w:jc w:val="center"/>
                    <w:rPr>
                      <w:rFonts w:hint="eastAsia"/>
                      <w:color w:val="auto"/>
                      <w:kern w:val="0"/>
                      <w:szCs w:val="21"/>
                      <w:highlight w:val="none"/>
                      <w:lang w:val="en-US" w:eastAsia="zh-CN"/>
                    </w:rPr>
                  </w:pPr>
                  <w:r>
                    <w:rPr>
                      <w:rFonts w:hint="default" w:ascii="Times New Roman" w:hAnsi="Times New Roman" w:cs="Times New Roman"/>
                      <w:color w:val="auto"/>
                      <w:szCs w:val="21"/>
                      <w:highlight w:val="none"/>
                      <w:lang w:eastAsia="zh-CN"/>
                    </w:rPr>
                    <w:t>臭气浓度</w:t>
                  </w:r>
                </w:p>
              </w:tc>
              <w:tc>
                <w:tcPr>
                  <w:tcW w:w="1080" w:type="dxa"/>
                  <w:vMerge w:val="continue"/>
                  <w:tcBorders>
                    <w:tl2br w:val="nil"/>
                    <w:tr2bl w:val="nil"/>
                  </w:tcBorders>
                  <w:vAlign w:val="center"/>
                </w:tcPr>
                <w:p w14:paraId="2F041D75">
                  <w:pPr>
                    <w:adjustRightInd w:val="0"/>
                    <w:snapToGrid w:val="0"/>
                    <w:jc w:val="center"/>
                    <w:rPr>
                      <w:rFonts w:hint="eastAsia"/>
                      <w:color w:val="auto"/>
                      <w:kern w:val="0"/>
                      <w:szCs w:val="21"/>
                      <w:highlight w:val="none"/>
                    </w:rPr>
                  </w:pPr>
                </w:p>
              </w:tc>
              <w:tc>
                <w:tcPr>
                  <w:tcW w:w="2081" w:type="dxa"/>
                  <w:vMerge w:val="continue"/>
                  <w:tcBorders>
                    <w:tl2br w:val="nil"/>
                    <w:tr2bl w:val="nil"/>
                  </w:tcBorders>
                  <w:vAlign w:val="center"/>
                </w:tcPr>
                <w:p w14:paraId="47D90F69">
                  <w:pPr>
                    <w:pStyle w:val="14"/>
                    <w:jc w:val="center"/>
                    <w:rPr>
                      <w:rFonts w:hint="eastAsia"/>
                      <w:color w:val="auto"/>
                      <w:sz w:val="21"/>
                      <w:szCs w:val="21"/>
                      <w:highlight w:val="none"/>
                    </w:rPr>
                  </w:pPr>
                </w:p>
              </w:tc>
              <w:tc>
                <w:tcPr>
                  <w:tcW w:w="1600" w:type="dxa"/>
                  <w:vMerge w:val="continue"/>
                  <w:tcBorders>
                    <w:tl2br w:val="nil"/>
                    <w:tr2bl w:val="nil"/>
                  </w:tcBorders>
                  <w:vAlign w:val="center"/>
                </w:tcPr>
                <w:p w14:paraId="57CD2DF7">
                  <w:pPr>
                    <w:adjustRightInd w:val="0"/>
                    <w:snapToGrid w:val="0"/>
                    <w:jc w:val="center"/>
                    <w:rPr>
                      <w:rFonts w:hint="eastAsia"/>
                      <w:color w:val="auto"/>
                      <w:kern w:val="0"/>
                      <w:szCs w:val="21"/>
                      <w:highlight w:val="none"/>
                    </w:rPr>
                  </w:pPr>
                </w:p>
              </w:tc>
              <w:tc>
                <w:tcPr>
                  <w:tcW w:w="2016" w:type="dxa"/>
                  <w:tcBorders>
                    <w:tl2br w:val="nil"/>
                    <w:tr2bl w:val="nil"/>
                  </w:tcBorders>
                  <w:vAlign w:val="center"/>
                </w:tcPr>
                <w:p w14:paraId="5CB6E19B">
                  <w:pPr>
                    <w:jc w:val="center"/>
                    <w:rPr>
                      <w:rFonts w:hint="default" w:eastAsia="宋体"/>
                      <w:bCs/>
                      <w:color w:val="auto"/>
                      <w:szCs w:val="21"/>
                      <w:highlight w:val="none"/>
                      <w:lang w:val="en-US" w:eastAsia="zh-CN"/>
                    </w:rPr>
                  </w:pPr>
                  <w:r>
                    <w:rPr>
                      <w:rFonts w:hint="default" w:ascii="Times New Roman" w:hAnsi="Times New Roman" w:cs="Times New Roman"/>
                      <w:color w:val="auto"/>
                      <w:szCs w:val="21"/>
                      <w:highlight w:val="none"/>
                      <w:lang w:val="en-US" w:eastAsia="zh-CN"/>
                    </w:rPr>
                    <w:t>20</w:t>
                  </w:r>
                  <w:r>
                    <w:rPr>
                      <w:rFonts w:hint="eastAsia" w:cs="Times New Roman"/>
                      <w:color w:val="auto"/>
                      <w:szCs w:val="21"/>
                      <w:highlight w:val="none"/>
                      <w:lang w:val="en-US" w:eastAsia="zh-CN"/>
                    </w:rPr>
                    <w:t>00</w:t>
                  </w:r>
                  <w:r>
                    <w:rPr>
                      <w:rFonts w:hint="default" w:ascii="Times New Roman" w:hAnsi="Times New Roman" w:cs="Times New Roman"/>
                      <w:color w:val="auto"/>
                      <w:szCs w:val="21"/>
                      <w:highlight w:val="none"/>
                      <w:lang w:eastAsia="zh-CN"/>
                    </w:rPr>
                    <w:t>（无量纲）</w:t>
                  </w:r>
                </w:p>
              </w:tc>
            </w:tr>
            <w:tr w14:paraId="3D143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tl2br w:val="nil"/>
                    <w:tr2bl w:val="nil"/>
                  </w:tcBorders>
                  <w:vAlign w:val="center"/>
                </w:tcPr>
                <w:p w14:paraId="5F65F1E2">
                  <w:pPr>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氨</w:t>
                  </w:r>
                </w:p>
              </w:tc>
              <w:tc>
                <w:tcPr>
                  <w:tcW w:w="1080" w:type="dxa"/>
                  <w:vMerge w:val="restart"/>
                  <w:tcBorders>
                    <w:tl2br w:val="nil"/>
                    <w:tr2bl w:val="nil"/>
                  </w:tcBorders>
                  <w:vAlign w:val="center"/>
                </w:tcPr>
                <w:p w14:paraId="128E5642">
                  <w:pPr>
                    <w:adjustRightInd w:val="0"/>
                    <w:snapToGrid w:val="0"/>
                    <w:jc w:val="center"/>
                    <w:rPr>
                      <w:rFonts w:hint="eastAsia" w:eastAsia="宋体"/>
                      <w:color w:val="auto"/>
                      <w:kern w:val="0"/>
                      <w:szCs w:val="21"/>
                      <w:highlight w:val="none"/>
                      <w:lang w:eastAsia="zh-CN"/>
                    </w:rPr>
                  </w:pPr>
                  <w:r>
                    <w:rPr>
                      <w:rFonts w:hint="eastAsia"/>
                      <w:color w:val="auto"/>
                      <w:kern w:val="0"/>
                      <w:szCs w:val="21"/>
                      <w:highlight w:val="none"/>
                      <w:lang w:eastAsia="zh-CN"/>
                    </w:rPr>
                    <w:t>无组织</w:t>
                  </w:r>
                </w:p>
              </w:tc>
              <w:tc>
                <w:tcPr>
                  <w:tcW w:w="2081" w:type="dxa"/>
                  <w:vMerge w:val="restart"/>
                  <w:tcBorders>
                    <w:tl2br w:val="nil"/>
                    <w:tr2bl w:val="nil"/>
                  </w:tcBorders>
                  <w:vAlign w:val="center"/>
                </w:tcPr>
                <w:p w14:paraId="2BACD396">
                  <w:pPr>
                    <w:pStyle w:val="14"/>
                    <w:jc w:val="center"/>
                    <w:rPr>
                      <w:rFonts w:hint="eastAsia"/>
                      <w:color w:val="auto"/>
                      <w:sz w:val="21"/>
                      <w:szCs w:val="21"/>
                      <w:highlight w:val="none"/>
                    </w:rPr>
                  </w:pPr>
                  <w:r>
                    <w:rPr>
                      <w:rFonts w:hint="eastAsia"/>
                      <w:color w:val="auto"/>
                      <w:sz w:val="21"/>
                      <w:szCs w:val="21"/>
                      <w:highlight w:val="none"/>
                    </w:rPr>
                    <w:t>《城镇污水</w:t>
                  </w:r>
                  <w:r>
                    <w:rPr>
                      <w:rFonts w:hint="eastAsia"/>
                      <w:color w:val="auto"/>
                      <w:sz w:val="21"/>
                      <w:szCs w:val="21"/>
                      <w:highlight w:val="none"/>
                      <w:lang w:eastAsia="zh-CN"/>
                    </w:rPr>
                    <w:t>处理</w:t>
                  </w:r>
                  <w:r>
                    <w:rPr>
                      <w:rFonts w:hint="eastAsia"/>
                      <w:color w:val="auto"/>
                      <w:sz w:val="21"/>
                      <w:szCs w:val="21"/>
                      <w:highlight w:val="none"/>
                      <w:lang w:val="en-US" w:eastAsia="zh-CN"/>
                    </w:rPr>
                    <w:t>厂</w:t>
                  </w:r>
                  <w:r>
                    <w:rPr>
                      <w:rFonts w:hint="eastAsia"/>
                      <w:color w:val="auto"/>
                      <w:sz w:val="21"/>
                      <w:szCs w:val="21"/>
                      <w:highlight w:val="none"/>
                    </w:rPr>
                    <w:t>污染物排放标准》（GB18918-2002）</w:t>
                  </w:r>
                </w:p>
              </w:tc>
              <w:tc>
                <w:tcPr>
                  <w:tcW w:w="1600" w:type="dxa"/>
                  <w:vMerge w:val="restart"/>
                  <w:tcBorders>
                    <w:tl2br w:val="nil"/>
                    <w:tr2bl w:val="nil"/>
                  </w:tcBorders>
                  <w:vAlign w:val="center"/>
                </w:tcPr>
                <w:p w14:paraId="4B07E6F3">
                  <w:pPr>
                    <w:adjustRightInd w:val="0"/>
                    <w:snapToGrid w:val="0"/>
                    <w:jc w:val="center"/>
                    <w:rPr>
                      <w:rFonts w:hint="eastAsia" w:eastAsia="宋体"/>
                      <w:color w:val="auto"/>
                      <w:kern w:val="0"/>
                      <w:szCs w:val="21"/>
                      <w:highlight w:val="none"/>
                      <w:lang w:eastAsia="zh-CN"/>
                    </w:rPr>
                  </w:pPr>
                  <w:r>
                    <w:rPr>
                      <w:rFonts w:hint="eastAsia"/>
                      <w:color w:val="auto"/>
                      <w:kern w:val="0"/>
                      <w:szCs w:val="21"/>
                      <w:highlight w:val="none"/>
                      <w:lang w:eastAsia="zh-CN"/>
                    </w:rPr>
                    <w:t>厂界下风向处</w:t>
                  </w:r>
                </w:p>
              </w:tc>
              <w:tc>
                <w:tcPr>
                  <w:tcW w:w="2016" w:type="dxa"/>
                  <w:tcBorders>
                    <w:tl2br w:val="nil"/>
                    <w:tr2bl w:val="nil"/>
                  </w:tcBorders>
                  <w:vAlign w:val="center"/>
                </w:tcPr>
                <w:p w14:paraId="3666AF6A">
                  <w:pPr>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1.0mg/m</w:t>
                  </w:r>
                  <w:r>
                    <w:rPr>
                      <w:rFonts w:hint="eastAsia" w:cs="Times New Roman"/>
                      <w:color w:val="auto"/>
                      <w:szCs w:val="21"/>
                      <w:highlight w:val="none"/>
                      <w:vertAlign w:val="superscript"/>
                      <w:lang w:val="en-US" w:eastAsia="zh-CN"/>
                    </w:rPr>
                    <w:t>3</w:t>
                  </w:r>
                </w:p>
              </w:tc>
            </w:tr>
            <w:tr w14:paraId="2BA7C5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tl2br w:val="nil"/>
                    <w:tr2bl w:val="nil"/>
                  </w:tcBorders>
                  <w:vAlign w:val="center"/>
                </w:tcPr>
                <w:p w14:paraId="5A974BDC">
                  <w:pPr>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硫化氢</w:t>
                  </w:r>
                </w:p>
              </w:tc>
              <w:tc>
                <w:tcPr>
                  <w:tcW w:w="1080" w:type="dxa"/>
                  <w:vMerge w:val="continue"/>
                  <w:tcBorders>
                    <w:tl2br w:val="nil"/>
                    <w:tr2bl w:val="nil"/>
                  </w:tcBorders>
                  <w:vAlign w:val="center"/>
                </w:tcPr>
                <w:p w14:paraId="0268FBE9">
                  <w:pPr>
                    <w:adjustRightInd w:val="0"/>
                    <w:snapToGrid w:val="0"/>
                    <w:jc w:val="center"/>
                    <w:rPr>
                      <w:rFonts w:hint="eastAsia"/>
                      <w:color w:val="auto"/>
                      <w:kern w:val="0"/>
                      <w:szCs w:val="21"/>
                      <w:highlight w:val="none"/>
                    </w:rPr>
                  </w:pPr>
                </w:p>
              </w:tc>
              <w:tc>
                <w:tcPr>
                  <w:tcW w:w="2081" w:type="dxa"/>
                  <w:vMerge w:val="continue"/>
                  <w:tcBorders>
                    <w:tl2br w:val="nil"/>
                    <w:tr2bl w:val="nil"/>
                  </w:tcBorders>
                  <w:vAlign w:val="center"/>
                </w:tcPr>
                <w:p w14:paraId="263DD5E8">
                  <w:pPr>
                    <w:pStyle w:val="14"/>
                    <w:jc w:val="center"/>
                    <w:rPr>
                      <w:rFonts w:hint="eastAsia"/>
                      <w:color w:val="auto"/>
                      <w:sz w:val="21"/>
                      <w:szCs w:val="21"/>
                      <w:highlight w:val="none"/>
                    </w:rPr>
                  </w:pPr>
                </w:p>
              </w:tc>
              <w:tc>
                <w:tcPr>
                  <w:tcW w:w="1600" w:type="dxa"/>
                  <w:vMerge w:val="continue"/>
                  <w:tcBorders>
                    <w:tl2br w:val="nil"/>
                    <w:tr2bl w:val="nil"/>
                  </w:tcBorders>
                  <w:vAlign w:val="center"/>
                </w:tcPr>
                <w:p w14:paraId="08BCC5BD">
                  <w:pPr>
                    <w:adjustRightInd w:val="0"/>
                    <w:snapToGrid w:val="0"/>
                    <w:jc w:val="center"/>
                    <w:rPr>
                      <w:rFonts w:hint="eastAsia"/>
                      <w:color w:val="auto"/>
                      <w:kern w:val="0"/>
                      <w:szCs w:val="21"/>
                      <w:highlight w:val="none"/>
                    </w:rPr>
                  </w:pPr>
                </w:p>
              </w:tc>
              <w:tc>
                <w:tcPr>
                  <w:tcW w:w="2016" w:type="dxa"/>
                  <w:tcBorders>
                    <w:tl2br w:val="nil"/>
                    <w:tr2bl w:val="nil"/>
                  </w:tcBorders>
                  <w:vAlign w:val="center"/>
                </w:tcPr>
                <w:p w14:paraId="75A60B71">
                  <w:pPr>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0.03mg/m</w:t>
                  </w:r>
                  <w:r>
                    <w:rPr>
                      <w:rFonts w:hint="eastAsia" w:cs="Times New Roman"/>
                      <w:color w:val="auto"/>
                      <w:szCs w:val="21"/>
                      <w:highlight w:val="none"/>
                      <w:vertAlign w:val="superscript"/>
                      <w:lang w:val="en-US" w:eastAsia="zh-CN"/>
                    </w:rPr>
                    <w:t>3</w:t>
                  </w:r>
                </w:p>
              </w:tc>
            </w:tr>
            <w:tr w14:paraId="0CFF6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tl2br w:val="nil"/>
                    <w:tr2bl w:val="nil"/>
                  </w:tcBorders>
                  <w:vAlign w:val="center"/>
                </w:tcPr>
                <w:p w14:paraId="3E2F2E20">
                  <w:pPr>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臭气浓度</w:t>
                  </w:r>
                </w:p>
              </w:tc>
              <w:tc>
                <w:tcPr>
                  <w:tcW w:w="1080" w:type="dxa"/>
                  <w:vMerge w:val="continue"/>
                  <w:tcBorders>
                    <w:tl2br w:val="nil"/>
                    <w:tr2bl w:val="nil"/>
                  </w:tcBorders>
                  <w:vAlign w:val="center"/>
                </w:tcPr>
                <w:p w14:paraId="220482DA">
                  <w:pPr>
                    <w:adjustRightInd w:val="0"/>
                    <w:snapToGrid w:val="0"/>
                    <w:jc w:val="center"/>
                    <w:rPr>
                      <w:rFonts w:hint="eastAsia"/>
                      <w:color w:val="auto"/>
                      <w:kern w:val="0"/>
                      <w:szCs w:val="21"/>
                      <w:highlight w:val="none"/>
                    </w:rPr>
                  </w:pPr>
                </w:p>
              </w:tc>
              <w:tc>
                <w:tcPr>
                  <w:tcW w:w="2081" w:type="dxa"/>
                  <w:vMerge w:val="continue"/>
                  <w:tcBorders>
                    <w:tl2br w:val="nil"/>
                    <w:tr2bl w:val="nil"/>
                  </w:tcBorders>
                  <w:vAlign w:val="center"/>
                </w:tcPr>
                <w:p w14:paraId="172F79C6">
                  <w:pPr>
                    <w:pStyle w:val="14"/>
                    <w:jc w:val="center"/>
                    <w:rPr>
                      <w:rFonts w:hint="eastAsia"/>
                      <w:color w:val="auto"/>
                      <w:sz w:val="21"/>
                      <w:szCs w:val="21"/>
                      <w:highlight w:val="none"/>
                    </w:rPr>
                  </w:pPr>
                </w:p>
              </w:tc>
              <w:tc>
                <w:tcPr>
                  <w:tcW w:w="1600" w:type="dxa"/>
                  <w:vMerge w:val="continue"/>
                  <w:tcBorders>
                    <w:tl2br w:val="nil"/>
                    <w:tr2bl w:val="nil"/>
                  </w:tcBorders>
                  <w:vAlign w:val="center"/>
                </w:tcPr>
                <w:p w14:paraId="78541116">
                  <w:pPr>
                    <w:adjustRightInd w:val="0"/>
                    <w:snapToGrid w:val="0"/>
                    <w:jc w:val="center"/>
                    <w:rPr>
                      <w:rFonts w:hint="eastAsia"/>
                      <w:color w:val="auto"/>
                      <w:kern w:val="0"/>
                      <w:szCs w:val="21"/>
                      <w:highlight w:val="none"/>
                    </w:rPr>
                  </w:pPr>
                </w:p>
              </w:tc>
              <w:tc>
                <w:tcPr>
                  <w:tcW w:w="2016" w:type="dxa"/>
                  <w:tcBorders>
                    <w:tl2br w:val="nil"/>
                    <w:tr2bl w:val="nil"/>
                  </w:tcBorders>
                  <w:vAlign w:val="center"/>
                </w:tcPr>
                <w:p w14:paraId="375963FA">
                  <w:pPr>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10</w:t>
                  </w:r>
                  <w:r>
                    <w:rPr>
                      <w:rFonts w:hint="default" w:ascii="Times New Roman" w:hAnsi="Times New Roman" w:cs="Times New Roman"/>
                      <w:color w:val="auto"/>
                      <w:szCs w:val="21"/>
                      <w:highlight w:val="none"/>
                      <w:lang w:eastAsia="zh-CN"/>
                    </w:rPr>
                    <w:t>（无量纲）</w:t>
                  </w:r>
                </w:p>
              </w:tc>
            </w:tr>
            <w:tr w14:paraId="05659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19" w:type="dxa"/>
                  <w:tcBorders>
                    <w:bottom w:val="single" w:color="000000" w:sz="12" w:space="0"/>
                    <w:tl2br w:val="nil"/>
                    <w:tr2bl w:val="nil"/>
                  </w:tcBorders>
                  <w:vAlign w:val="center"/>
                </w:tcPr>
                <w:p w14:paraId="3120BF8C">
                  <w:pPr>
                    <w:jc w:val="center"/>
                    <w:rPr>
                      <w:rFonts w:hint="default" w:ascii="Times New Roman" w:hAnsi="Times New Roman" w:cs="Times New Roman"/>
                      <w:color w:val="auto"/>
                      <w:szCs w:val="21"/>
                      <w:highlight w:val="none"/>
                      <w:lang w:eastAsia="zh-CN"/>
                    </w:rPr>
                  </w:pPr>
                  <w:r>
                    <w:rPr>
                      <w:rFonts w:hint="eastAsia" w:cs="Times New Roman"/>
                      <w:color w:val="auto"/>
                      <w:szCs w:val="21"/>
                      <w:highlight w:val="none"/>
                      <w:lang w:eastAsia="zh-CN"/>
                    </w:rPr>
                    <w:t>甲烷</w:t>
                  </w:r>
                </w:p>
              </w:tc>
              <w:tc>
                <w:tcPr>
                  <w:tcW w:w="1080" w:type="dxa"/>
                  <w:vMerge w:val="continue"/>
                  <w:tcBorders>
                    <w:bottom w:val="single" w:color="000000" w:sz="12" w:space="0"/>
                    <w:tl2br w:val="nil"/>
                    <w:tr2bl w:val="nil"/>
                  </w:tcBorders>
                  <w:vAlign w:val="center"/>
                </w:tcPr>
                <w:p w14:paraId="55E44472">
                  <w:pPr>
                    <w:adjustRightInd w:val="0"/>
                    <w:snapToGrid w:val="0"/>
                    <w:jc w:val="center"/>
                    <w:rPr>
                      <w:rFonts w:hint="eastAsia"/>
                      <w:color w:val="auto"/>
                      <w:kern w:val="0"/>
                      <w:szCs w:val="21"/>
                      <w:highlight w:val="none"/>
                    </w:rPr>
                  </w:pPr>
                </w:p>
              </w:tc>
              <w:tc>
                <w:tcPr>
                  <w:tcW w:w="2081" w:type="dxa"/>
                  <w:vMerge w:val="continue"/>
                  <w:tcBorders>
                    <w:bottom w:val="single" w:color="000000" w:sz="12" w:space="0"/>
                    <w:tl2br w:val="nil"/>
                    <w:tr2bl w:val="nil"/>
                  </w:tcBorders>
                  <w:vAlign w:val="center"/>
                </w:tcPr>
                <w:p w14:paraId="6494D853">
                  <w:pPr>
                    <w:pStyle w:val="14"/>
                    <w:jc w:val="center"/>
                    <w:rPr>
                      <w:rFonts w:hint="eastAsia"/>
                      <w:color w:val="auto"/>
                      <w:sz w:val="21"/>
                      <w:szCs w:val="21"/>
                      <w:highlight w:val="none"/>
                    </w:rPr>
                  </w:pPr>
                </w:p>
              </w:tc>
              <w:tc>
                <w:tcPr>
                  <w:tcW w:w="1600" w:type="dxa"/>
                  <w:vMerge w:val="continue"/>
                  <w:tcBorders>
                    <w:bottom w:val="single" w:color="000000" w:sz="12" w:space="0"/>
                    <w:tl2br w:val="nil"/>
                    <w:tr2bl w:val="nil"/>
                  </w:tcBorders>
                  <w:vAlign w:val="center"/>
                </w:tcPr>
                <w:p w14:paraId="5B4D7F19">
                  <w:pPr>
                    <w:adjustRightInd w:val="0"/>
                    <w:snapToGrid w:val="0"/>
                    <w:jc w:val="center"/>
                    <w:rPr>
                      <w:rFonts w:hint="eastAsia"/>
                      <w:color w:val="auto"/>
                      <w:kern w:val="0"/>
                      <w:szCs w:val="21"/>
                      <w:highlight w:val="none"/>
                    </w:rPr>
                  </w:pPr>
                </w:p>
              </w:tc>
              <w:tc>
                <w:tcPr>
                  <w:tcW w:w="2016" w:type="dxa"/>
                  <w:tcBorders>
                    <w:tl2br w:val="nil"/>
                    <w:tr2bl w:val="nil"/>
                  </w:tcBorders>
                  <w:vAlign w:val="center"/>
                </w:tcPr>
                <w:p w14:paraId="561DB0B2">
                  <w:pPr>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0.5（厂区最高体积浓度%）</w:t>
                  </w:r>
                </w:p>
              </w:tc>
            </w:tr>
          </w:tbl>
          <w:p w14:paraId="0BD4F5B0">
            <w:pPr>
              <w:numPr>
                <w:ilvl w:val="0"/>
                <w:numId w:val="0"/>
              </w:numPr>
              <w:snapToGrid w:val="0"/>
              <w:ind w:leftChars="0"/>
              <w:jc w:val="center"/>
              <w:rPr>
                <w:rFonts w:hint="eastAsia"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eastAsia="zh-CN"/>
              </w:rPr>
              <w:t>表</w:t>
            </w: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8</w:t>
            </w:r>
            <w:r>
              <w:rPr>
                <w:rFonts w:hint="default" w:ascii="Times New Roman" w:hAnsi="Times New Roman" w:cs="Times New Roman"/>
                <w:b/>
                <w:bCs/>
                <w:color w:val="auto"/>
                <w:highlight w:val="none"/>
                <w:lang w:val="en-US" w:eastAsia="zh-CN"/>
              </w:rPr>
              <w:t xml:space="preserve">  </w:t>
            </w:r>
            <w:r>
              <w:rPr>
                <w:rFonts w:hint="eastAsia" w:cs="Times New Roman"/>
                <w:b/>
                <w:bCs/>
                <w:color w:val="auto"/>
                <w:highlight w:val="none"/>
                <w:lang w:val="en-US" w:eastAsia="zh-CN"/>
              </w:rPr>
              <w:t>废水、噪声及固废</w:t>
            </w:r>
            <w:r>
              <w:rPr>
                <w:rFonts w:hint="default" w:ascii="Times New Roman" w:hAnsi="Times New Roman" w:cs="Times New Roman"/>
                <w:b/>
                <w:bCs/>
                <w:color w:val="auto"/>
                <w:highlight w:val="none"/>
              </w:rPr>
              <w:t>排放标准</w:t>
            </w:r>
            <w:r>
              <w:rPr>
                <w:rFonts w:hint="eastAsia" w:cs="Times New Roman"/>
                <w:b/>
                <w:bCs/>
                <w:color w:val="auto"/>
                <w:highlight w:val="none"/>
                <w:lang w:eastAsia="zh-CN"/>
              </w:rPr>
              <w:t>一览表</w:t>
            </w:r>
          </w:p>
          <w:tbl>
            <w:tblPr>
              <w:tblStyle w:val="31"/>
              <w:tblW w:w="798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6"/>
              <w:gridCol w:w="558"/>
              <w:gridCol w:w="2667"/>
              <w:gridCol w:w="2061"/>
              <w:gridCol w:w="1939"/>
            </w:tblGrid>
            <w:tr w14:paraId="53CC82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56" w:type="dxa"/>
                  <w:vMerge w:val="restart"/>
                  <w:tcBorders>
                    <w:tl2br w:val="nil"/>
                    <w:tr2bl w:val="nil"/>
                  </w:tcBorders>
                  <w:noWrap w:val="0"/>
                  <w:vAlign w:val="center"/>
                </w:tcPr>
                <w:p w14:paraId="7FD206FE">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w:t>
                  </w:r>
                </w:p>
                <w:p w14:paraId="2925F8F4">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类型</w:t>
                  </w:r>
                </w:p>
              </w:tc>
              <w:tc>
                <w:tcPr>
                  <w:tcW w:w="3225" w:type="dxa"/>
                  <w:gridSpan w:val="2"/>
                  <w:vMerge w:val="restart"/>
                  <w:tcBorders>
                    <w:tl2br w:val="nil"/>
                    <w:tr2bl w:val="nil"/>
                  </w:tcBorders>
                  <w:noWrap w:val="0"/>
                  <w:vAlign w:val="center"/>
                </w:tcPr>
                <w:p w14:paraId="300BF42D">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标准名称及级(类)别</w:t>
                  </w:r>
                </w:p>
              </w:tc>
              <w:tc>
                <w:tcPr>
                  <w:tcW w:w="2061" w:type="dxa"/>
                  <w:vMerge w:val="restart"/>
                  <w:tcBorders>
                    <w:tl2br w:val="nil"/>
                    <w:tr2bl w:val="nil"/>
                  </w:tcBorders>
                  <w:noWrap w:val="0"/>
                  <w:vAlign w:val="center"/>
                </w:tcPr>
                <w:p w14:paraId="1EA90CFA">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污染因子</w:t>
                  </w:r>
                </w:p>
              </w:tc>
              <w:tc>
                <w:tcPr>
                  <w:tcW w:w="1939" w:type="dxa"/>
                  <w:vMerge w:val="restart"/>
                  <w:tcBorders>
                    <w:left w:val="single" w:color="000000" w:sz="4" w:space="0"/>
                    <w:tl2br w:val="nil"/>
                    <w:tr2bl w:val="nil"/>
                  </w:tcBorders>
                  <w:noWrap w:val="0"/>
                  <w:vAlign w:val="center"/>
                </w:tcPr>
                <w:p w14:paraId="4A8A51AF">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标准值</w:t>
                  </w:r>
                </w:p>
              </w:tc>
            </w:tr>
            <w:tr w14:paraId="31CDAD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56" w:type="dxa"/>
                  <w:vMerge w:val="continue"/>
                  <w:tcBorders>
                    <w:tl2br w:val="nil"/>
                    <w:tr2bl w:val="nil"/>
                  </w:tcBorders>
                  <w:noWrap w:val="0"/>
                  <w:vAlign w:val="center"/>
                </w:tcPr>
                <w:p w14:paraId="3D312F8D">
                  <w:pPr>
                    <w:spacing w:line="240" w:lineRule="exact"/>
                    <w:jc w:val="center"/>
                    <w:rPr>
                      <w:rFonts w:hint="default" w:ascii="Times New Roman" w:hAnsi="Times New Roman" w:cs="Times New Roman"/>
                      <w:b/>
                      <w:bCs/>
                      <w:color w:val="auto"/>
                      <w:szCs w:val="21"/>
                      <w:highlight w:val="none"/>
                    </w:rPr>
                  </w:pPr>
                </w:p>
              </w:tc>
              <w:tc>
                <w:tcPr>
                  <w:tcW w:w="3225" w:type="dxa"/>
                  <w:gridSpan w:val="2"/>
                  <w:vMerge w:val="continue"/>
                  <w:tcBorders>
                    <w:tl2br w:val="nil"/>
                    <w:tr2bl w:val="nil"/>
                  </w:tcBorders>
                  <w:noWrap w:val="0"/>
                  <w:vAlign w:val="center"/>
                </w:tcPr>
                <w:p w14:paraId="55D3A7C1">
                  <w:pPr>
                    <w:spacing w:line="240" w:lineRule="exact"/>
                    <w:jc w:val="center"/>
                    <w:rPr>
                      <w:rFonts w:hint="default" w:ascii="Times New Roman" w:hAnsi="Times New Roman" w:cs="Times New Roman"/>
                      <w:b w:val="0"/>
                      <w:bCs w:val="0"/>
                      <w:color w:val="auto"/>
                      <w:szCs w:val="21"/>
                      <w:highlight w:val="none"/>
                    </w:rPr>
                  </w:pPr>
                </w:p>
              </w:tc>
              <w:tc>
                <w:tcPr>
                  <w:tcW w:w="2061" w:type="dxa"/>
                  <w:vMerge w:val="continue"/>
                  <w:tcBorders>
                    <w:tl2br w:val="nil"/>
                    <w:tr2bl w:val="nil"/>
                  </w:tcBorders>
                  <w:noWrap w:val="0"/>
                  <w:vAlign w:val="center"/>
                </w:tcPr>
                <w:p w14:paraId="70135C2E">
                  <w:pPr>
                    <w:spacing w:line="240" w:lineRule="exact"/>
                    <w:jc w:val="center"/>
                    <w:rPr>
                      <w:rFonts w:hint="default" w:ascii="Times New Roman" w:hAnsi="Times New Roman" w:cs="Times New Roman"/>
                      <w:b w:val="0"/>
                      <w:bCs w:val="0"/>
                      <w:color w:val="auto"/>
                      <w:szCs w:val="21"/>
                      <w:highlight w:val="none"/>
                    </w:rPr>
                  </w:pPr>
                </w:p>
              </w:tc>
              <w:tc>
                <w:tcPr>
                  <w:tcW w:w="1939" w:type="dxa"/>
                  <w:vMerge w:val="continue"/>
                  <w:tcBorders>
                    <w:left w:val="single" w:color="000000" w:sz="4" w:space="0"/>
                    <w:tl2br w:val="nil"/>
                    <w:tr2bl w:val="nil"/>
                  </w:tcBorders>
                  <w:noWrap w:val="0"/>
                  <w:vAlign w:val="center"/>
                </w:tcPr>
                <w:p w14:paraId="3D9AC52B">
                  <w:pPr>
                    <w:spacing w:line="240" w:lineRule="exact"/>
                    <w:jc w:val="center"/>
                    <w:rPr>
                      <w:rFonts w:hint="default" w:ascii="Times New Roman" w:hAnsi="Times New Roman" w:cs="Times New Roman"/>
                      <w:b w:val="0"/>
                      <w:bCs w:val="0"/>
                      <w:color w:val="auto"/>
                      <w:szCs w:val="21"/>
                      <w:highlight w:val="none"/>
                    </w:rPr>
                  </w:pPr>
                </w:p>
              </w:tc>
            </w:tr>
            <w:tr w14:paraId="7180C0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restart"/>
                  <w:tcBorders>
                    <w:tl2br w:val="nil"/>
                    <w:tr2bl w:val="nil"/>
                  </w:tcBorders>
                  <w:noWrap w:val="0"/>
                  <w:vAlign w:val="center"/>
                </w:tcPr>
                <w:p w14:paraId="33EDB581">
                  <w:pPr>
                    <w:spacing w:line="240" w:lineRule="exact"/>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废水</w:t>
                  </w:r>
                </w:p>
              </w:tc>
              <w:tc>
                <w:tcPr>
                  <w:tcW w:w="3225" w:type="dxa"/>
                  <w:gridSpan w:val="2"/>
                  <w:vMerge w:val="restart"/>
                  <w:tcBorders>
                    <w:tl2br w:val="nil"/>
                    <w:tr2bl w:val="nil"/>
                  </w:tcBorders>
                  <w:noWrap w:val="0"/>
                  <w:vAlign w:val="center"/>
                </w:tcPr>
                <w:p w14:paraId="5FA6FBBE">
                  <w:pPr>
                    <w:pStyle w:val="14"/>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《城镇污水处理</w:t>
                  </w:r>
                  <w:r>
                    <w:rPr>
                      <w:rFonts w:hint="default" w:ascii="Times New Roman" w:hAnsi="Times New Roman" w:eastAsia="宋体" w:cs="Times New Roman"/>
                      <w:color w:val="auto"/>
                      <w:szCs w:val="21"/>
                      <w:highlight w:val="none"/>
                      <w:lang w:val="en-US" w:eastAsia="zh-CN"/>
                    </w:rPr>
                    <w:t>厂</w:t>
                  </w:r>
                  <w:r>
                    <w:rPr>
                      <w:rFonts w:hint="default" w:ascii="Times New Roman" w:hAnsi="Times New Roman" w:eastAsia="宋体" w:cs="Times New Roman"/>
                      <w:color w:val="auto"/>
                      <w:szCs w:val="21"/>
                      <w:highlight w:val="none"/>
                      <w:lang w:eastAsia="zh-CN"/>
                    </w:rPr>
                    <w:t>污染物排放标准》（GB18918-2002）</w:t>
                  </w:r>
                </w:p>
                <w:p w14:paraId="325B7EC4">
                  <w:pPr>
                    <w:pStyle w:val="14"/>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表</w:t>
                  </w:r>
                  <w:r>
                    <w:rPr>
                      <w:rFonts w:hint="eastAsia" w:cs="Times New Roman"/>
                      <w:color w:val="auto"/>
                      <w:szCs w:val="21"/>
                      <w:highlight w:val="none"/>
                      <w:lang w:val="en-US" w:eastAsia="zh-CN"/>
                    </w:rPr>
                    <w:t>1中</w:t>
                  </w:r>
                  <w:r>
                    <w:rPr>
                      <w:rFonts w:hint="default" w:ascii="Times New Roman" w:hAnsi="Times New Roman" w:eastAsia="宋体" w:cs="Times New Roman"/>
                      <w:color w:val="auto"/>
                      <w:szCs w:val="21"/>
                      <w:highlight w:val="none"/>
                      <w:lang w:eastAsia="zh-CN"/>
                    </w:rPr>
                    <w:t>一级A标准</w:t>
                  </w:r>
                </w:p>
              </w:tc>
              <w:tc>
                <w:tcPr>
                  <w:tcW w:w="2061" w:type="dxa"/>
                  <w:tcBorders>
                    <w:tl2br w:val="nil"/>
                    <w:tr2bl w:val="nil"/>
                  </w:tcBorders>
                  <w:noWrap w:val="0"/>
                  <w:vAlign w:val="center"/>
                </w:tcPr>
                <w:p w14:paraId="6DBDE696">
                  <w:pPr>
                    <w:snapToGrid w:val="0"/>
                    <w:spacing w:before="62" w:beforeLines="20" w:after="62" w:afterLines="2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pH</w:t>
                  </w:r>
                </w:p>
              </w:tc>
              <w:tc>
                <w:tcPr>
                  <w:tcW w:w="1939" w:type="dxa"/>
                  <w:tcBorders>
                    <w:tl2br w:val="nil"/>
                    <w:tr2bl w:val="nil"/>
                  </w:tcBorders>
                  <w:noWrap w:val="0"/>
                  <w:vAlign w:val="center"/>
                </w:tcPr>
                <w:p w14:paraId="3E7C8DDF">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6~9</w:t>
                  </w:r>
                  <w:r>
                    <w:rPr>
                      <w:rFonts w:hint="default" w:ascii="Times New Roman" w:hAnsi="Times New Roman" w:cs="Times New Roman"/>
                      <w:color w:val="auto"/>
                      <w:sz w:val="21"/>
                      <w:szCs w:val="21"/>
                      <w:highlight w:val="none"/>
                    </w:rPr>
                    <w:t>mg/L</w:t>
                  </w:r>
                </w:p>
              </w:tc>
            </w:tr>
            <w:tr w14:paraId="7F9BD6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5D1E00D6">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62A7C097">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581D0CBE">
                  <w:pPr>
                    <w:snapToGrid w:val="0"/>
                    <w:spacing w:before="62" w:beforeLines="20" w:after="62" w:afterLines="2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BOD</w:t>
                  </w:r>
                  <w:r>
                    <w:rPr>
                      <w:rFonts w:hint="default" w:ascii="Times New Roman" w:hAnsi="Times New Roman" w:cs="Times New Roman"/>
                      <w:color w:val="auto"/>
                      <w:sz w:val="21"/>
                      <w:szCs w:val="21"/>
                      <w:highlight w:val="none"/>
                      <w:vertAlign w:val="subscript"/>
                    </w:rPr>
                    <w:t>5</w:t>
                  </w:r>
                </w:p>
              </w:tc>
              <w:tc>
                <w:tcPr>
                  <w:tcW w:w="1939" w:type="dxa"/>
                  <w:tcBorders>
                    <w:tl2br w:val="nil"/>
                    <w:tr2bl w:val="nil"/>
                  </w:tcBorders>
                  <w:noWrap w:val="0"/>
                  <w:vAlign w:val="center"/>
                </w:tcPr>
                <w:p w14:paraId="0F2CBF52">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 w:val="21"/>
                      <w:szCs w:val="21"/>
                      <w:highlight w:val="none"/>
                    </w:rPr>
                    <w:t>mg/L</w:t>
                  </w:r>
                </w:p>
              </w:tc>
            </w:tr>
            <w:tr w14:paraId="67B0C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19C81BCF">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540217F8">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0966C629">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COD</w:t>
                  </w:r>
                </w:p>
              </w:tc>
              <w:tc>
                <w:tcPr>
                  <w:tcW w:w="1939" w:type="dxa"/>
                  <w:tcBorders>
                    <w:tl2br w:val="nil"/>
                    <w:tr2bl w:val="nil"/>
                  </w:tcBorders>
                  <w:noWrap w:val="0"/>
                  <w:vAlign w:val="center"/>
                </w:tcPr>
                <w:p w14:paraId="67411C73">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50</w:t>
                  </w:r>
                  <w:r>
                    <w:rPr>
                      <w:rFonts w:hint="default" w:ascii="Times New Roman" w:hAnsi="Times New Roman" w:cs="Times New Roman"/>
                      <w:color w:val="auto"/>
                      <w:sz w:val="21"/>
                      <w:szCs w:val="21"/>
                      <w:highlight w:val="none"/>
                    </w:rPr>
                    <w:t>mg/L</w:t>
                  </w:r>
                </w:p>
              </w:tc>
            </w:tr>
            <w:tr w14:paraId="58D51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04FB5ADA">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6A428860">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07A145B3">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SS</w:t>
                  </w:r>
                </w:p>
              </w:tc>
              <w:tc>
                <w:tcPr>
                  <w:tcW w:w="1939" w:type="dxa"/>
                  <w:tcBorders>
                    <w:tl2br w:val="nil"/>
                    <w:tr2bl w:val="nil"/>
                  </w:tcBorders>
                  <w:noWrap w:val="0"/>
                  <w:vAlign w:val="center"/>
                </w:tcPr>
                <w:p w14:paraId="52E1F1B4">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 w:val="21"/>
                      <w:szCs w:val="21"/>
                      <w:highlight w:val="none"/>
                    </w:rPr>
                    <w:t>mg/L</w:t>
                  </w:r>
                </w:p>
              </w:tc>
            </w:tr>
            <w:tr w14:paraId="12BBCE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4842753C">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12D6A3F2">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6EB2E80F">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w:t>
                  </w:r>
                </w:p>
              </w:tc>
              <w:tc>
                <w:tcPr>
                  <w:tcW w:w="1939" w:type="dxa"/>
                  <w:tcBorders>
                    <w:tl2br w:val="nil"/>
                    <w:tr2bl w:val="nil"/>
                  </w:tcBorders>
                  <w:noWrap w:val="0"/>
                  <w:vAlign w:val="center"/>
                </w:tcPr>
                <w:p w14:paraId="5A6B6956">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5（8）</w:t>
                  </w:r>
                  <w:r>
                    <w:rPr>
                      <w:rFonts w:hint="default" w:ascii="Times New Roman" w:hAnsi="Times New Roman" w:cs="Times New Roman"/>
                      <w:color w:val="auto"/>
                      <w:sz w:val="21"/>
                      <w:szCs w:val="21"/>
                      <w:highlight w:val="none"/>
                    </w:rPr>
                    <w:t>mg/L</w:t>
                  </w:r>
                </w:p>
              </w:tc>
            </w:tr>
            <w:tr w14:paraId="7DD56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67F343EF">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23567AA1">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28A12B4B">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T-N</w:t>
                  </w:r>
                </w:p>
              </w:tc>
              <w:tc>
                <w:tcPr>
                  <w:tcW w:w="1939" w:type="dxa"/>
                  <w:tcBorders>
                    <w:tl2br w:val="nil"/>
                    <w:tr2bl w:val="nil"/>
                  </w:tcBorders>
                  <w:noWrap w:val="0"/>
                  <w:vAlign w:val="center"/>
                </w:tcPr>
                <w:p w14:paraId="283749B1">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15</w:t>
                  </w:r>
                  <w:r>
                    <w:rPr>
                      <w:rFonts w:hint="default" w:ascii="Times New Roman" w:hAnsi="Times New Roman" w:cs="Times New Roman"/>
                      <w:color w:val="auto"/>
                      <w:sz w:val="21"/>
                      <w:szCs w:val="21"/>
                      <w:highlight w:val="none"/>
                    </w:rPr>
                    <w:t>mg/L</w:t>
                  </w:r>
                </w:p>
              </w:tc>
            </w:tr>
            <w:tr w14:paraId="37FDDD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137A6A22">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55B90BDD">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6EF9B113">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T-P</w:t>
                  </w:r>
                </w:p>
              </w:tc>
              <w:tc>
                <w:tcPr>
                  <w:tcW w:w="1939" w:type="dxa"/>
                  <w:tcBorders>
                    <w:tl2br w:val="nil"/>
                    <w:tr2bl w:val="nil"/>
                  </w:tcBorders>
                  <w:noWrap w:val="0"/>
                  <w:vAlign w:val="center"/>
                </w:tcPr>
                <w:p w14:paraId="7EB6074F">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0.5</w:t>
                  </w:r>
                  <w:r>
                    <w:rPr>
                      <w:rFonts w:hint="default" w:ascii="Times New Roman" w:hAnsi="Times New Roman" w:cs="Times New Roman"/>
                      <w:color w:val="auto"/>
                      <w:sz w:val="21"/>
                      <w:szCs w:val="21"/>
                      <w:highlight w:val="none"/>
                    </w:rPr>
                    <w:t>mg/L</w:t>
                  </w:r>
                </w:p>
              </w:tc>
            </w:tr>
            <w:tr w14:paraId="38C578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4ECD0FC8">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restart"/>
                  <w:tcBorders>
                    <w:tl2br w:val="nil"/>
                    <w:tr2bl w:val="nil"/>
                  </w:tcBorders>
                  <w:noWrap w:val="0"/>
                  <w:vAlign w:val="center"/>
                </w:tcPr>
                <w:p w14:paraId="72E13F85">
                  <w:pPr>
                    <w:pStyle w:val="14"/>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《城镇污水处理</w:t>
                  </w:r>
                  <w:r>
                    <w:rPr>
                      <w:rFonts w:hint="default" w:ascii="Times New Roman" w:hAnsi="Times New Roman" w:eastAsia="宋体" w:cs="Times New Roman"/>
                      <w:color w:val="auto"/>
                      <w:szCs w:val="21"/>
                      <w:highlight w:val="none"/>
                      <w:lang w:val="en-US" w:eastAsia="zh-CN"/>
                    </w:rPr>
                    <w:t>厂</w:t>
                  </w:r>
                  <w:r>
                    <w:rPr>
                      <w:rFonts w:hint="default" w:ascii="Times New Roman" w:hAnsi="Times New Roman" w:eastAsia="宋体" w:cs="Times New Roman"/>
                      <w:color w:val="auto"/>
                      <w:szCs w:val="21"/>
                      <w:highlight w:val="none"/>
                      <w:lang w:eastAsia="zh-CN"/>
                    </w:rPr>
                    <w:t>污染物排放标准》（GB18918-2002）</w:t>
                  </w:r>
                  <w:r>
                    <w:rPr>
                      <w:rFonts w:hint="eastAsia" w:cs="Times New Roman"/>
                      <w:color w:val="auto"/>
                      <w:szCs w:val="21"/>
                      <w:highlight w:val="none"/>
                      <w:lang w:val="en-US" w:eastAsia="zh-CN"/>
                    </w:rPr>
                    <w:t>2025年修改单表4中瞬时值一级A标准</w:t>
                  </w:r>
                </w:p>
              </w:tc>
              <w:tc>
                <w:tcPr>
                  <w:tcW w:w="2061" w:type="dxa"/>
                  <w:tcBorders>
                    <w:tl2br w:val="nil"/>
                    <w:tr2bl w:val="nil"/>
                  </w:tcBorders>
                  <w:noWrap w:val="0"/>
                  <w:vAlign w:val="center"/>
                </w:tcPr>
                <w:p w14:paraId="64147044">
                  <w:pPr>
                    <w:widowControl/>
                    <w:jc w:val="center"/>
                    <w:textAlignment w:val="center"/>
                    <w:rPr>
                      <w:rFonts w:hint="default" w:ascii="Times New Roman" w:hAnsi="Times New Roman" w:cs="Times New Roman"/>
                      <w:color w:val="auto"/>
                      <w:sz w:val="21"/>
                      <w:szCs w:val="21"/>
                      <w:highlight w:val="none"/>
                    </w:rPr>
                  </w:pPr>
                  <w:r>
                    <w:rPr>
                      <w:rFonts w:hint="eastAsia" w:ascii="Times New Roman" w:hAnsi="Times New Roman"/>
                      <w:color w:val="auto"/>
                      <w:kern w:val="0"/>
                      <w:szCs w:val="21"/>
                      <w:highlight w:val="none"/>
                      <w:lang w:eastAsia="zh-CN"/>
                    </w:rPr>
                    <w:t>化学需氧量</w:t>
                  </w:r>
                </w:p>
              </w:tc>
              <w:tc>
                <w:tcPr>
                  <w:tcW w:w="1939" w:type="dxa"/>
                  <w:tcBorders>
                    <w:tl2br w:val="nil"/>
                    <w:tr2bl w:val="nil"/>
                  </w:tcBorders>
                  <w:noWrap w:val="0"/>
                  <w:vAlign w:val="center"/>
                </w:tcPr>
                <w:p w14:paraId="534B9DA9">
                  <w:pPr>
                    <w:widowControl/>
                    <w:jc w:val="center"/>
                    <w:textAlignment w:val="center"/>
                    <w:rPr>
                      <w:rFonts w:hint="default" w:ascii="Times New Roman" w:hAnsi="Times New Roman" w:cs="Times New Roman"/>
                      <w:color w:val="auto"/>
                      <w:szCs w:val="21"/>
                      <w:highlight w:val="none"/>
                      <w:lang w:val="en-US" w:eastAsia="zh-CN"/>
                    </w:rPr>
                  </w:pPr>
                  <w:r>
                    <w:rPr>
                      <w:rFonts w:hint="eastAsia" w:ascii="Times New Roman" w:hAnsi="Times New Roman"/>
                      <w:color w:val="auto"/>
                      <w:kern w:val="0"/>
                      <w:szCs w:val="21"/>
                      <w:highlight w:val="none"/>
                      <w:lang w:val="en-US" w:eastAsia="zh-CN"/>
                    </w:rPr>
                    <w:t>75</w:t>
                  </w:r>
                </w:p>
              </w:tc>
            </w:tr>
            <w:tr w14:paraId="29D4E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1AE374DB">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2286DB4F">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5E08CD98">
                  <w:pPr>
                    <w:widowControl/>
                    <w:jc w:val="center"/>
                    <w:textAlignment w:val="center"/>
                    <w:rPr>
                      <w:rFonts w:hint="default" w:ascii="Times New Roman" w:hAnsi="Times New Roman" w:cs="Times New Roman"/>
                      <w:color w:val="auto"/>
                      <w:sz w:val="21"/>
                      <w:szCs w:val="21"/>
                      <w:highlight w:val="none"/>
                    </w:rPr>
                  </w:pPr>
                  <w:r>
                    <w:rPr>
                      <w:rFonts w:hint="eastAsia" w:ascii="Times New Roman" w:hAnsi="Times New Roman"/>
                      <w:color w:val="auto"/>
                      <w:kern w:val="0"/>
                      <w:szCs w:val="21"/>
                      <w:highlight w:val="none"/>
                      <w:lang w:eastAsia="zh-CN"/>
                    </w:rPr>
                    <w:t>总氮</w:t>
                  </w:r>
                </w:p>
              </w:tc>
              <w:tc>
                <w:tcPr>
                  <w:tcW w:w="1939" w:type="dxa"/>
                  <w:tcBorders>
                    <w:tl2br w:val="nil"/>
                    <w:tr2bl w:val="nil"/>
                  </w:tcBorders>
                  <w:noWrap w:val="0"/>
                  <w:vAlign w:val="center"/>
                </w:tcPr>
                <w:p w14:paraId="253C2ED3">
                  <w:pPr>
                    <w:widowControl/>
                    <w:jc w:val="center"/>
                    <w:textAlignment w:val="center"/>
                    <w:rPr>
                      <w:rFonts w:hint="default" w:ascii="Times New Roman" w:hAnsi="Times New Roman" w:cs="Times New Roman"/>
                      <w:color w:val="auto"/>
                      <w:szCs w:val="21"/>
                      <w:highlight w:val="none"/>
                      <w:lang w:val="en-US" w:eastAsia="zh-CN"/>
                    </w:rPr>
                  </w:pPr>
                  <w:r>
                    <w:rPr>
                      <w:rFonts w:hint="eastAsia" w:ascii="Times New Roman" w:hAnsi="Times New Roman"/>
                      <w:color w:val="auto"/>
                      <w:kern w:val="0"/>
                      <w:szCs w:val="21"/>
                      <w:highlight w:val="none"/>
                      <w:lang w:val="en-US" w:eastAsia="zh-CN"/>
                    </w:rPr>
                    <w:t>20</w:t>
                  </w:r>
                </w:p>
              </w:tc>
            </w:tr>
            <w:tr w14:paraId="5372AD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04550A87">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043FA14C">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7D71B4F5">
                  <w:pPr>
                    <w:widowControl/>
                    <w:jc w:val="center"/>
                    <w:textAlignment w:val="center"/>
                    <w:rPr>
                      <w:rFonts w:hint="default" w:ascii="Times New Roman" w:hAnsi="Times New Roman" w:cs="Times New Roman"/>
                      <w:color w:val="auto"/>
                      <w:sz w:val="21"/>
                      <w:szCs w:val="21"/>
                      <w:highlight w:val="none"/>
                    </w:rPr>
                  </w:pPr>
                  <w:r>
                    <w:rPr>
                      <w:rFonts w:hint="eastAsia" w:ascii="Times New Roman" w:hAnsi="Times New Roman"/>
                      <w:color w:val="auto"/>
                      <w:kern w:val="0"/>
                      <w:szCs w:val="21"/>
                      <w:highlight w:val="none"/>
                      <w:lang w:eastAsia="zh-CN"/>
                    </w:rPr>
                    <w:t>氨氮</w:t>
                  </w:r>
                </w:p>
              </w:tc>
              <w:tc>
                <w:tcPr>
                  <w:tcW w:w="1939" w:type="dxa"/>
                  <w:tcBorders>
                    <w:tl2br w:val="nil"/>
                    <w:tr2bl w:val="nil"/>
                  </w:tcBorders>
                  <w:noWrap w:val="0"/>
                  <w:vAlign w:val="center"/>
                </w:tcPr>
                <w:p w14:paraId="4E2C732C">
                  <w:pPr>
                    <w:widowControl/>
                    <w:jc w:val="center"/>
                    <w:textAlignment w:val="center"/>
                    <w:rPr>
                      <w:rFonts w:hint="default" w:ascii="Times New Roman" w:hAnsi="Times New Roman" w:cs="Times New Roman"/>
                      <w:color w:val="auto"/>
                      <w:szCs w:val="21"/>
                      <w:highlight w:val="none"/>
                      <w:lang w:val="en-US" w:eastAsia="zh-CN"/>
                    </w:rPr>
                  </w:pPr>
                  <w:r>
                    <w:rPr>
                      <w:rFonts w:hint="eastAsia" w:ascii="Times New Roman" w:hAnsi="Times New Roman"/>
                      <w:color w:val="auto"/>
                      <w:kern w:val="0"/>
                      <w:szCs w:val="21"/>
                      <w:highlight w:val="none"/>
                      <w:lang w:val="en-US" w:eastAsia="zh-CN"/>
                    </w:rPr>
                    <w:t>10（15）</w:t>
                  </w:r>
                </w:p>
              </w:tc>
            </w:tr>
            <w:tr w14:paraId="15EC2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6399413E">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34C5E7C6">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542405E0">
                  <w:pPr>
                    <w:snapToGrid w:val="0"/>
                    <w:spacing w:before="62" w:beforeLines="20" w:after="62" w:afterLines="20"/>
                    <w:jc w:val="center"/>
                    <w:rPr>
                      <w:rFonts w:hint="default" w:ascii="Times New Roman" w:hAnsi="Times New Roman" w:cs="Times New Roman"/>
                      <w:color w:val="auto"/>
                      <w:sz w:val="21"/>
                      <w:szCs w:val="21"/>
                      <w:highlight w:val="none"/>
                    </w:rPr>
                  </w:pPr>
                  <w:r>
                    <w:rPr>
                      <w:rFonts w:hint="eastAsia" w:ascii="Times New Roman" w:hAnsi="Times New Roman"/>
                      <w:color w:val="auto"/>
                      <w:kern w:val="0"/>
                      <w:szCs w:val="21"/>
                      <w:highlight w:val="none"/>
                      <w:lang w:eastAsia="zh-CN"/>
                    </w:rPr>
                    <w:t>总磷</w:t>
                  </w:r>
                  <w:r>
                    <w:rPr>
                      <w:rFonts w:hint="eastAsia"/>
                      <w:color w:val="auto"/>
                      <w:kern w:val="0"/>
                      <w:szCs w:val="21"/>
                      <w:highlight w:val="none"/>
                      <w:lang w:eastAsia="zh-CN"/>
                    </w:rPr>
                    <w:t>（</w:t>
                  </w:r>
                  <w:r>
                    <w:rPr>
                      <w:rFonts w:ascii="Times New Roman" w:hAnsi="Times New Roman"/>
                      <w:color w:val="auto"/>
                      <w:kern w:val="0"/>
                      <w:szCs w:val="21"/>
                      <w:highlight w:val="none"/>
                    </w:rPr>
                    <w:t>2006年1月1日起建设的</w:t>
                  </w:r>
                  <w:r>
                    <w:rPr>
                      <w:rFonts w:hint="eastAsia"/>
                      <w:color w:val="auto"/>
                      <w:kern w:val="0"/>
                      <w:szCs w:val="21"/>
                      <w:highlight w:val="none"/>
                      <w:lang w:eastAsia="zh-CN"/>
                    </w:rPr>
                    <w:t>）</w:t>
                  </w:r>
                </w:p>
              </w:tc>
              <w:tc>
                <w:tcPr>
                  <w:tcW w:w="1939" w:type="dxa"/>
                  <w:tcBorders>
                    <w:tl2br w:val="nil"/>
                    <w:tr2bl w:val="nil"/>
                  </w:tcBorders>
                  <w:noWrap w:val="0"/>
                  <w:vAlign w:val="center"/>
                </w:tcPr>
                <w:p w14:paraId="218C51BD">
                  <w:pPr>
                    <w:jc w:val="center"/>
                    <w:rPr>
                      <w:rFonts w:hint="default" w:ascii="Times New Roman" w:hAnsi="Times New Roman" w:cs="Times New Roman"/>
                      <w:color w:val="auto"/>
                      <w:szCs w:val="21"/>
                      <w:highlight w:val="none"/>
                      <w:lang w:val="en-US" w:eastAsia="zh-CN"/>
                    </w:rPr>
                  </w:pPr>
                  <w:r>
                    <w:rPr>
                      <w:rFonts w:hint="eastAsia" w:ascii="Times New Roman" w:hAnsi="Times New Roman"/>
                      <w:color w:val="auto"/>
                      <w:kern w:val="0"/>
                      <w:szCs w:val="21"/>
                      <w:highlight w:val="none"/>
                      <w:lang w:val="en-US" w:eastAsia="zh-CN"/>
                    </w:rPr>
                    <w:t>1</w:t>
                  </w:r>
                </w:p>
              </w:tc>
            </w:tr>
            <w:tr w14:paraId="1947E0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13E73B59">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2F281344">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021E5435">
                  <w:pPr>
                    <w:widowControl/>
                    <w:jc w:val="center"/>
                    <w:textAlignment w:val="center"/>
                    <w:rPr>
                      <w:rFonts w:hint="default" w:ascii="Times New Roman" w:hAnsi="Times New Roman" w:cs="Times New Roman"/>
                      <w:color w:val="auto"/>
                      <w:sz w:val="21"/>
                      <w:szCs w:val="21"/>
                      <w:highlight w:val="none"/>
                    </w:rPr>
                  </w:pPr>
                  <w:r>
                    <w:rPr>
                      <w:rFonts w:hint="eastAsia" w:ascii="Times New Roman" w:hAnsi="Times New Roman"/>
                      <w:color w:val="auto"/>
                      <w:kern w:val="0"/>
                      <w:szCs w:val="21"/>
                      <w:highlight w:val="none"/>
                      <w:lang w:eastAsia="zh-CN"/>
                    </w:rPr>
                    <w:t>色度（稀释倍数）</w:t>
                  </w:r>
                </w:p>
              </w:tc>
              <w:tc>
                <w:tcPr>
                  <w:tcW w:w="1939" w:type="dxa"/>
                  <w:tcBorders>
                    <w:tl2br w:val="nil"/>
                    <w:tr2bl w:val="nil"/>
                  </w:tcBorders>
                  <w:noWrap w:val="0"/>
                  <w:vAlign w:val="center"/>
                </w:tcPr>
                <w:p w14:paraId="185773BB">
                  <w:pPr>
                    <w:jc w:val="center"/>
                    <w:rPr>
                      <w:rFonts w:hint="default" w:ascii="Times New Roman" w:hAnsi="Times New Roman" w:cs="Times New Roman"/>
                      <w:color w:val="auto"/>
                      <w:szCs w:val="21"/>
                      <w:highlight w:val="none"/>
                      <w:lang w:val="en-US" w:eastAsia="zh-CN"/>
                    </w:rPr>
                  </w:pPr>
                  <w:r>
                    <w:rPr>
                      <w:rFonts w:hint="eastAsia" w:ascii="Times New Roman" w:hAnsi="Times New Roman"/>
                      <w:color w:val="auto"/>
                      <w:kern w:val="0"/>
                      <w:szCs w:val="21"/>
                      <w:highlight w:val="none"/>
                      <w:lang w:val="en-US" w:eastAsia="zh-CN"/>
                    </w:rPr>
                    <w:t>30</w:t>
                  </w:r>
                </w:p>
              </w:tc>
            </w:tr>
            <w:tr w14:paraId="6C9EE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70D0014B">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2C55F0D6">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089DA1A9">
                  <w:pPr>
                    <w:widowControl/>
                    <w:jc w:val="center"/>
                    <w:textAlignment w:val="center"/>
                    <w:rPr>
                      <w:rFonts w:hint="default" w:ascii="Times New Roman" w:hAnsi="Times New Roman" w:cs="Times New Roman"/>
                      <w:color w:val="auto"/>
                      <w:sz w:val="21"/>
                      <w:szCs w:val="21"/>
                      <w:highlight w:val="none"/>
                    </w:rPr>
                  </w:pPr>
                  <w:r>
                    <w:rPr>
                      <w:rFonts w:hint="eastAsia" w:ascii="Times New Roman" w:hAnsi="Times New Roman"/>
                      <w:color w:val="auto"/>
                      <w:kern w:val="0"/>
                      <w:szCs w:val="21"/>
                      <w:highlight w:val="none"/>
                      <w:lang w:val="en-US" w:eastAsia="zh-CN"/>
                    </w:rPr>
                    <w:t>pH</w:t>
                  </w:r>
                </w:p>
              </w:tc>
              <w:tc>
                <w:tcPr>
                  <w:tcW w:w="1939" w:type="dxa"/>
                  <w:tcBorders>
                    <w:tl2br w:val="nil"/>
                    <w:tr2bl w:val="nil"/>
                  </w:tcBorders>
                  <w:noWrap w:val="0"/>
                  <w:vAlign w:val="center"/>
                </w:tcPr>
                <w:p w14:paraId="1343E8AB">
                  <w:pPr>
                    <w:jc w:val="center"/>
                    <w:rPr>
                      <w:rFonts w:hint="default" w:ascii="Times New Roman" w:hAnsi="Times New Roman" w:cs="Times New Roman"/>
                      <w:color w:val="auto"/>
                      <w:szCs w:val="21"/>
                      <w:highlight w:val="none"/>
                      <w:lang w:val="en-US" w:eastAsia="zh-CN"/>
                    </w:rPr>
                  </w:pPr>
                  <w:r>
                    <w:rPr>
                      <w:rFonts w:hint="eastAsia" w:ascii="Times New Roman" w:hAnsi="Times New Roman"/>
                      <w:color w:val="auto"/>
                      <w:kern w:val="0"/>
                      <w:szCs w:val="21"/>
                      <w:highlight w:val="none"/>
                      <w:lang w:val="en-US" w:eastAsia="zh-CN"/>
                    </w:rPr>
                    <w:t>6~9</w:t>
                  </w:r>
                </w:p>
              </w:tc>
            </w:tr>
            <w:tr w14:paraId="6A7DA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756" w:type="dxa"/>
                  <w:vMerge w:val="continue"/>
                  <w:tcBorders>
                    <w:tl2br w:val="nil"/>
                    <w:tr2bl w:val="nil"/>
                  </w:tcBorders>
                  <w:noWrap w:val="0"/>
                  <w:vAlign w:val="center"/>
                </w:tcPr>
                <w:p w14:paraId="31540EF6">
                  <w:pPr>
                    <w:spacing w:line="240" w:lineRule="exact"/>
                    <w:jc w:val="center"/>
                    <w:rPr>
                      <w:rFonts w:hint="default" w:ascii="Times New Roman" w:hAnsi="Times New Roman" w:cs="Times New Roman"/>
                      <w:color w:val="auto"/>
                      <w:szCs w:val="21"/>
                      <w:highlight w:val="none"/>
                      <w:lang w:eastAsia="zh-CN"/>
                    </w:rPr>
                  </w:pPr>
                </w:p>
              </w:tc>
              <w:tc>
                <w:tcPr>
                  <w:tcW w:w="3225" w:type="dxa"/>
                  <w:gridSpan w:val="2"/>
                  <w:vMerge w:val="continue"/>
                  <w:tcBorders>
                    <w:tl2br w:val="nil"/>
                    <w:tr2bl w:val="nil"/>
                  </w:tcBorders>
                  <w:noWrap w:val="0"/>
                  <w:vAlign w:val="center"/>
                </w:tcPr>
                <w:p w14:paraId="6687D357">
                  <w:pPr>
                    <w:jc w:val="center"/>
                    <w:rPr>
                      <w:rFonts w:hint="default" w:ascii="Times New Roman" w:hAnsi="Times New Roman" w:eastAsia="宋体" w:cs="Times New Roman"/>
                      <w:color w:val="auto"/>
                      <w:szCs w:val="21"/>
                      <w:highlight w:val="none"/>
                      <w:lang w:eastAsia="zh-CN"/>
                    </w:rPr>
                  </w:pPr>
                </w:p>
              </w:tc>
              <w:tc>
                <w:tcPr>
                  <w:tcW w:w="2061" w:type="dxa"/>
                  <w:tcBorders>
                    <w:tl2br w:val="nil"/>
                    <w:tr2bl w:val="nil"/>
                  </w:tcBorders>
                  <w:noWrap w:val="0"/>
                  <w:vAlign w:val="center"/>
                </w:tcPr>
                <w:p w14:paraId="556B6B31">
                  <w:pPr>
                    <w:snapToGrid w:val="0"/>
                    <w:spacing w:before="62" w:beforeLines="20" w:after="62" w:afterLines="2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粪大肠菌群数（MPN/L）</w:t>
                  </w:r>
                </w:p>
              </w:tc>
              <w:tc>
                <w:tcPr>
                  <w:tcW w:w="1939" w:type="dxa"/>
                  <w:tcBorders>
                    <w:tl2br w:val="nil"/>
                    <w:tr2bl w:val="nil"/>
                  </w:tcBorders>
                  <w:noWrap w:val="0"/>
                  <w:vAlign w:val="center"/>
                </w:tcPr>
                <w:p w14:paraId="7752083F">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vertAlign w:val="superscript"/>
                      <w:lang w:val="en-US" w:eastAsia="zh-CN"/>
                    </w:rPr>
                    <w:t>3</w:t>
                  </w:r>
                  <w:r>
                    <w:rPr>
                      <w:rFonts w:hint="default" w:ascii="Times New Roman" w:hAnsi="Times New Roman" w:cs="Times New Roman"/>
                      <w:color w:val="auto"/>
                      <w:szCs w:val="21"/>
                      <w:highlight w:val="none"/>
                      <w:lang w:val="en-US" w:eastAsia="zh-CN"/>
                    </w:rPr>
                    <w:t>（回用）</w:t>
                  </w:r>
                </w:p>
                <w:p w14:paraId="04D510B3">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vertAlign w:val="superscript"/>
                      <w:lang w:val="en-US" w:eastAsia="zh-CN"/>
                    </w:rPr>
                    <w:t>4</w:t>
                  </w:r>
                  <w:r>
                    <w:rPr>
                      <w:rFonts w:hint="default" w:ascii="Times New Roman" w:hAnsi="Times New Roman" w:cs="Times New Roman"/>
                      <w:color w:val="auto"/>
                      <w:szCs w:val="21"/>
                      <w:highlight w:val="none"/>
                      <w:lang w:val="en-US" w:eastAsia="zh-CN"/>
                    </w:rPr>
                    <w:t>（</w:t>
                  </w:r>
                  <w:r>
                    <w:rPr>
                      <w:rFonts w:hint="eastAsia" w:cs="Times New Roman"/>
                      <w:color w:val="auto"/>
                      <w:szCs w:val="21"/>
                      <w:highlight w:val="none"/>
                      <w:lang w:val="en-US" w:eastAsia="zh-CN"/>
                    </w:rPr>
                    <w:t>非</w:t>
                  </w:r>
                  <w:r>
                    <w:rPr>
                      <w:rFonts w:hint="default" w:ascii="Times New Roman" w:hAnsi="Times New Roman" w:cs="Times New Roman"/>
                      <w:color w:val="auto"/>
                      <w:szCs w:val="21"/>
                      <w:highlight w:val="none"/>
                      <w:lang w:val="en-US" w:eastAsia="zh-CN"/>
                    </w:rPr>
                    <w:t>回用）</w:t>
                  </w:r>
                </w:p>
              </w:tc>
            </w:tr>
            <w:tr w14:paraId="119ABB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756" w:type="dxa"/>
                  <w:vMerge w:val="restart"/>
                  <w:tcBorders>
                    <w:tl2br w:val="nil"/>
                    <w:tr2bl w:val="nil"/>
                  </w:tcBorders>
                  <w:noWrap w:val="0"/>
                  <w:vAlign w:val="center"/>
                </w:tcPr>
                <w:p w14:paraId="6E50B28A">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558" w:type="dxa"/>
                  <w:vMerge w:val="restart"/>
                  <w:tcBorders>
                    <w:tl2br w:val="nil"/>
                    <w:tr2bl w:val="nil"/>
                  </w:tcBorders>
                  <w:noWrap w:val="0"/>
                  <w:vAlign w:val="center"/>
                </w:tcPr>
                <w:p w14:paraId="6AB23A9B">
                  <w:pPr>
                    <w:spacing w:line="240" w:lineRule="exact"/>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施工期</w:t>
                  </w:r>
                </w:p>
              </w:tc>
              <w:tc>
                <w:tcPr>
                  <w:tcW w:w="2667" w:type="dxa"/>
                  <w:vMerge w:val="restart"/>
                  <w:tcBorders>
                    <w:tl2br w:val="nil"/>
                    <w:tr2bl w:val="nil"/>
                  </w:tcBorders>
                  <w:noWrap w:val="0"/>
                  <w:vAlign w:val="center"/>
                </w:tcPr>
                <w:p w14:paraId="31107B52">
                  <w:pPr>
                    <w:spacing w:line="240" w:lineRule="exact"/>
                    <w:jc w:val="center"/>
                    <w:rPr>
                      <w:rFonts w:hint="eastAsia"/>
                      <w:color w:val="auto"/>
                      <w:sz w:val="21"/>
                      <w:szCs w:val="21"/>
                      <w:highlight w:val="none"/>
                    </w:rPr>
                  </w:pPr>
                  <w:r>
                    <w:rPr>
                      <w:rFonts w:hint="eastAsia"/>
                      <w:color w:val="auto"/>
                      <w:sz w:val="21"/>
                      <w:szCs w:val="21"/>
                      <w:highlight w:val="none"/>
                    </w:rPr>
                    <w:t>《建筑施工噪声排放标准》（GB 12523-2025）</w:t>
                  </w:r>
                </w:p>
              </w:tc>
              <w:tc>
                <w:tcPr>
                  <w:tcW w:w="2061" w:type="dxa"/>
                  <w:vMerge w:val="restart"/>
                  <w:tcBorders>
                    <w:right w:val="single" w:color="000000" w:sz="4" w:space="0"/>
                    <w:tl2br w:val="nil"/>
                    <w:tr2bl w:val="nil"/>
                  </w:tcBorders>
                  <w:noWrap w:val="0"/>
                  <w:vAlign w:val="center"/>
                </w:tcPr>
                <w:p w14:paraId="6E6CE4CF">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等效</w:t>
                  </w:r>
                  <w:r>
                    <w:rPr>
                      <w:rFonts w:hint="default" w:ascii="Times New Roman" w:hAnsi="Times New Roman" w:cs="Times New Roman"/>
                      <w:color w:val="auto"/>
                      <w:szCs w:val="21"/>
                      <w:highlight w:val="none"/>
                      <w:lang w:val="en-US" w:eastAsia="zh-CN"/>
                    </w:rPr>
                    <w:t>A</w:t>
                  </w:r>
                  <w:r>
                    <w:rPr>
                      <w:rFonts w:hint="default" w:ascii="Times New Roman" w:hAnsi="Times New Roman" w:cs="Times New Roman"/>
                      <w:color w:val="auto"/>
                      <w:szCs w:val="21"/>
                      <w:highlight w:val="none"/>
                    </w:rPr>
                    <w:t>声级</w:t>
                  </w:r>
                </w:p>
              </w:tc>
              <w:tc>
                <w:tcPr>
                  <w:tcW w:w="1939" w:type="dxa"/>
                  <w:tcBorders>
                    <w:left w:val="single" w:color="000000" w:sz="4" w:space="0"/>
                    <w:tl2br w:val="nil"/>
                    <w:tr2bl w:val="nil"/>
                  </w:tcBorders>
                  <w:noWrap w:val="0"/>
                  <w:vAlign w:val="center"/>
                </w:tcPr>
                <w:p w14:paraId="45A33877">
                  <w:pPr>
                    <w:spacing w:line="24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昼间</w:t>
                  </w:r>
                  <w:r>
                    <w:rPr>
                      <w:rFonts w:hint="eastAsia"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dB(A)</w:t>
                  </w:r>
                </w:p>
              </w:tc>
            </w:tr>
            <w:tr w14:paraId="69285E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756" w:type="dxa"/>
                  <w:vMerge w:val="continue"/>
                  <w:tcBorders>
                    <w:tl2br w:val="nil"/>
                    <w:tr2bl w:val="nil"/>
                  </w:tcBorders>
                  <w:noWrap w:val="0"/>
                  <w:vAlign w:val="center"/>
                </w:tcPr>
                <w:p w14:paraId="24F532E7">
                  <w:pPr>
                    <w:spacing w:line="240" w:lineRule="exact"/>
                    <w:jc w:val="center"/>
                    <w:rPr>
                      <w:rFonts w:hint="default" w:ascii="Times New Roman" w:hAnsi="Times New Roman" w:cs="Times New Roman"/>
                      <w:color w:val="auto"/>
                      <w:szCs w:val="21"/>
                      <w:highlight w:val="none"/>
                    </w:rPr>
                  </w:pPr>
                </w:p>
              </w:tc>
              <w:tc>
                <w:tcPr>
                  <w:tcW w:w="558" w:type="dxa"/>
                  <w:vMerge w:val="continue"/>
                  <w:tcBorders>
                    <w:tl2br w:val="nil"/>
                    <w:tr2bl w:val="nil"/>
                  </w:tcBorders>
                  <w:noWrap w:val="0"/>
                  <w:vAlign w:val="center"/>
                </w:tcPr>
                <w:p w14:paraId="2C254922">
                  <w:pPr>
                    <w:spacing w:line="240" w:lineRule="exact"/>
                    <w:jc w:val="center"/>
                    <w:rPr>
                      <w:rFonts w:hint="default" w:ascii="Times New Roman" w:hAnsi="Times New Roman" w:cs="Times New Roman"/>
                      <w:color w:val="auto"/>
                      <w:szCs w:val="21"/>
                      <w:highlight w:val="none"/>
                    </w:rPr>
                  </w:pPr>
                </w:p>
              </w:tc>
              <w:tc>
                <w:tcPr>
                  <w:tcW w:w="2667" w:type="dxa"/>
                  <w:vMerge w:val="continue"/>
                  <w:tcBorders>
                    <w:tl2br w:val="nil"/>
                    <w:tr2bl w:val="nil"/>
                  </w:tcBorders>
                  <w:noWrap w:val="0"/>
                  <w:vAlign w:val="center"/>
                </w:tcPr>
                <w:p w14:paraId="25BC7E50">
                  <w:pPr>
                    <w:spacing w:line="240" w:lineRule="exact"/>
                    <w:jc w:val="center"/>
                    <w:rPr>
                      <w:rFonts w:hint="default" w:ascii="Times New Roman" w:hAnsi="Times New Roman" w:cs="Times New Roman"/>
                      <w:color w:val="auto"/>
                      <w:szCs w:val="21"/>
                      <w:highlight w:val="none"/>
                    </w:rPr>
                  </w:pPr>
                </w:p>
              </w:tc>
              <w:tc>
                <w:tcPr>
                  <w:tcW w:w="2061" w:type="dxa"/>
                  <w:vMerge w:val="continue"/>
                  <w:tcBorders>
                    <w:right w:val="single" w:color="000000" w:sz="4" w:space="0"/>
                    <w:tl2br w:val="nil"/>
                    <w:tr2bl w:val="nil"/>
                  </w:tcBorders>
                  <w:noWrap w:val="0"/>
                  <w:vAlign w:val="center"/>
                </w:tcPr>
                <w:p w14:paraId="5AD13A56">
                  <w:pPr>
                    <w:spacing w:line="240" w:lineRule="exact"/>
                    <w:jc w:val="center"/>
                    <w:rPr>
                      <w:rFonts w:hint="default" w:ascii="Times New Roman" w:hAnsi="Times New Roman" w:cs="Times New Roman"/>
                      <w:color w:val="auto"/>
                      <w:szCs w:val="21"/>
                      <w:highlight w:val="none"/>
                    </w:rPr>
                  </w:pPr>
                </w:p>
              </w:tc>
              <w:tc>
                <w:tcPr>
                  <w:tcW w:w="1939" w:type="dxa"/>
                  <w:tcBorders>
                    <w:left w:val="single" w:color="000000" w:sz="4" w:space="0"/>
                    <w:tl2br w:val="nil"/>
                    <w:tr2bl w:val="nil"/>
                  </w:tcBorders>
                  <w:noWrap w:val="0"/>
                  <w:vAlign w:val="center"/>
                </w:tcPr>
                <w:p w14:paraId="1E31F4E8">
                  <w:pPr>
                    <w:spacing w:line="240" w:lineRule="exact"/>
                    <w:jc w:val="center"/>
                    <w:rPr>
                      <w:rFonts w:hint="eastAsia" w:cs="Times New Roman"/>
                      <w:color w:val="auto"/>
                      <w:szCs w:val="21"/>
                      <w:highlight w:val="none"/>
                      <w:lang w:val="en-US" w:eastAsia="zh-CN"/>
                    </w:rPr>
                  </w:pPr>
                  <w:r>
                    <w:rPr>
                      <w:rFonts w:hint="eastAsia" w:cs="Times New Roman"/>
                      <w:color w:val="auto"/>
                      <w:szCs w:val="21"/>
                      <w:highlight w:val="none"/>
                      <w:lang w:eastAsia="zh-CN"/>
                    </w:rPr>
                    <w:t>夜间</w:t>
                  </w:r>
                  <w:r>
                    <w:rPr>
                      <w:rFonts w:hint="default" w:ascii="Times New Roman" w:hAnsi="Times New Roman" w:cs="Times New Roman"/>
                      <w:color w:val="auto"/>
                      <w:szCs w:val="21"/>
                      <w:highlight w:val="none"/>
                    </w:rPr>
                    <w:t>5</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dB(A)</w:t>
                  </w:r>
                </w:p>
              </w:tc>
            </w:tr>
            <w:tr w14:paraId="5D10C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756" w:type="dxa"/>
                  <w:vMerge w:val="continue"/>
                  <w:tcBorders>
                    <w:tl2br w:val="nil"/>
                    <w:tr2bl w:val="nil"/>
                  </w:tcBorders>
                  <w:noWrap w:val="0"/>
                  <w:vAlign w:val="center"/>
                </w:tcPr>
                <w:p w14:paraId="593D1633">
                  <w:pPr>
                    <w:spacing w:line="240" w:lineRule="exact"/>
                    <w:jc w:val="center"/>
                    <w:rPr>
                      <w:rFonts w:hint="default" w:ascii="Times New Roman" w:hAnsi="Times New Roman" w:cs="Times New Roman"/>
                      <w:color w:val="auto"/>
                      <w:szCs w:val="21"/>
                      <w:highlight w:val="none"/>
                    </w:rPr>
                  </w:pPr>
                </w:p>
              </w:tc>
              <w:tc>
                <w:tcPr>
                  <w:tcW w:w="558" w:type="dxa"/>
                  <w:vMerge w:val="restart"/>
                  <w:tcBorders>
                    <w:tl2br w:val="nil"/>
                    <w:tr2bl w:val="nil"/>
                  </w:tcBorders>
                  <w:noWrap w:val="0"/>
                  <w:vAlign w:val="center"/>
                </w:tcPr>
                <w:p w14:paraId="7655A645">
                  <w:pPr>
                    <w:spacing w:line="240" w:lineRule="exact"/>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运营期</w:t>
                  </w:r>
                </w:p>
              </w:tc>
              <w:tc>
                <w:tcPr>
                  <w:tcW w:w="2667" w:type="dxa"/>
                  <w:vMerge w:val="restart"/>
                  <w:tcBorders>
                    <w:tl2br w:val="nil"/>
                    <w:tr2bl w:val="nil"/>
                  </w:tcBorders>
                  <w:noWrap w:val="0"/>
                  <w:vAlign w:val="center"/>
                </w:tcPr>
                <w:p w14:paraId="4A5E7780">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《工业企业厂界环境噪声排放标准》（GB12348-2008）</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类标准</w:t>
                  </w:r>
                </w:p>
              </w:tc>
              <w:tc>
                <w:tcPr>
                  <w:tcW w:w="2061" w:type="dxa"/>
                  <w:vMerge w:val="restart"/>
                  <w:tcBorders>
                    <w:right w:val="single" w:color="000000" w:sz="4" w:space="0"/>
                    <w:tl2br w:val="nil"/>
                    <w:tr2bl w:val="nil"/>
                  </w:tcBorders>
                  <w:noWrap w:val="0"/>
                  <w:vAlign w:val="center"/>
                </w:tcPr>
                <w:p w14:paraId="073983F7">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等效</w:t>
                  </w:r>
                  <w:r>
                    <w:rPr>
                      <w:rFonts w:hint="default" w:ascii="Times New Roman" w:hAnsi="Times New Roman" w:cs="Times New Roman"/>
                      <w:color w:val="auto"/>
                      <w:szCs w:val="21"/>
                      <w:highlight w:val="none"/>
                      <w:lang w:val="en-US" w:eastAsia="zh-CN"/>
                    </w:rPr>
                    <w:t>A</w:t>
                  </w:r>
                  <w:r>
                    <w:rPr>
                      <w:rFonts w:hint="default" w:ascii="Times New Roman" w:hAnsi="Times New Roman" w:cs="Times New Roman"/>
                      <w:color w:val="auto"/>
                      <w:szCs w:val="21"/>
                      <w:highlight w:val="none"/>
                    </w:rPr>
                    <w:t>声级</w:t>
                  </w:r>
                </w:p>
              </w:tc>
              <w:tc>
                <w:tcPr>
                  <w:tcW w:w="1939" w:type="dxa"/>
                  <w:tcBorders>
                    <w:left w:val="single" w:color="000000" w:sz="4" w:space="0"/>
                    <w:tl2br w:val="nil"/>
                    <w:tr2bl w:val="nil"/>
                  </w:tcBorders>
                  <w:noWrap w:val="0"/>
                  <w:vAlign w:val="center"/>
                </w:tcPr>
                <w:p w14:paraId="7C56F843">
                  <w:pPr>
                    <w:spacing w:line="24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昼间</w:t>
                  </w:r>
                  <w:r>
                    <w:rPr>
                      <w:rFonts w:hint="default" w:ascii="Times New Roman" w:hAnsi="Times New Roman" w:cs="Times New Roman"/>
                      <w:color w:val="auto"/>
                      <w:szCs w:val="21"/>
                      <w:highlight w:val="none"/>
                      <w:lang w:val="en-US" w:eastAsia="zh-CN"/>
                    </w:rPr>
                    <w:t>60</w:t>
                  </w:r>
                  <w:r>
                    <w:rPr>
                      <w:rFonts w:hint="default" w:ascii="Times New Roman" w:hAnsi="Times New Roman" w:cs="Times New Roman"/>
                      <w:color w:val="auto"/>
                      <w:szCs w:val="21"/>
                      <w:highlight w:val="none"/>
                    </w:rPr>
                    <w:t>dB(A)</w:t>
                  </w:r>
                </w:p>
              </w:tc>
            </w:tr>
            <w:tr w14:paraId="55519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6" w:hRule="atLeast"/>
                <w:jc w:val="center"/>
              </w:trPr>
              <w:tc>
                <w:tcPr>
                  <w:tcW w:w="756" w:type="dxa"/>
                  <w:vMerge w:val="continue"/>
                  <w:tcBorders>
                    <w:tl2br w:val="nil"/>
                    <w:tr2bl w:val="nil"/>
                  </w:tcBorders>
                  <w:noWrap w:val="0"/>
                  <w:vAlign w:val="center"/>
                </w:tcPr>
                <w:p w14:paraId="726308E6">
                  <w:pPr>
                    <w:spacing w:line="240" w:lineRule="exact"/>
                    <w:jc w:val="center"/>
                    <w:rPr>
                      <w:rFonts w:hint="default" w:ascii="Times New Roman" w:hAnsi="Times New Roman" w:cs="Times New Roman"/>
                      <w:color w:val="auto"/>
                      <w:szCs w:val="21"/>
                      <w:highlight w:val="none"/>
                    </w:rPr>
                  </w:pPr>
                </w:p>
              </w:tc>
              <w:tc>
                <w:tcPr>
                  <w:tcW w:w="558" w:type="dxa"/>
                  <w:vMerge w:val="continue"/>
                  <w:tcBorders>
                    <w:tl2br w:val="nil"/>
                    <w:tr2bl w:val="nil"/>
                  </w:tcBorders>
                  <w:noWrap w:val="0"/>
                  <w:vAlign w:val="center"/>
                </w:tcPr>
                <w:p w14:paraId="4650ACF0">
                  <w:pPr>
                    <w:spacing w:line="240" w:lineRule="exact"/>
                    <w:jc w:val="center"/>
                    <w:rPr>
                      <w:rFonts w:hint="default" w:ascii="Times New Roman" w:hAnsi="Times New Roman" w:cs="Times New Roman"/>
                      <w:color w:val="auto"/>
                      <w:szCs w:val="21"/>
                      <w:highlight w:val="none"/>
                    </w:rPr>
                  </w:pPr>
                </w:p>
              </w:tc>
              <w:tc>
                <w:tcPr>
                  <w:tcW w:w="2667" w:type="dxa"/>
                  <w:vMerge w:val="continue"/>
                  <w:tcBorders>
                    <w:tl2br w:val="nil"/>
                    <w:tr2bl w:val="nil"/>
                  </w:tcBorders>
                  <w:noWrap w:val="0"/>
                  <w:vAlign w:val="center"/>
                </w:tcPr>
                <w:p w14:paraId="7A55EE8F">
                  <w:pPr>
                    <w:spacing w:line="240" w:lineRule="exact"/>
                    <w:jc w:val="center"/>
                    <w:rPr>
                      <w:rFonts w:hint="default" w:ascii="Times New Roman" w:hAnsi="Times New Roman" w:cs="Times New Roman"/>
                      <w:color w:val="auto"/>
                      <w:szCs w:val="21"/>
                      <w:highlight w:val="none"/>
                    </w:rPr>
                  </w:pPr>
                </w:p>
              </w:tc>
              <w:tc>
                <w:tcPr>
                  <w:tcW w:w="2061" w:type="dxa"/>
                  <w:vMerge w:val="continue"/>
                  <w:tcBorders>
                    <w:right w:val="single" w:color="000000" w:sz="4" w:space="0"/>
                    <w:tl2br w:val="nil"/>
                    <w:tr2bl w:val="nil"/>
                  </w:tcBorders>
                  <w:noWrap w:val="0"/>
                  <w:vAlign w:val="center"/>
                </w:tcPr>
                <w:p w14:paraId="37015E5E">
                  <w:pPr>
                    <w:spacing w:line="240" w:lineRule="exact"/>
                    <w:jc w:val="center"/>
                    <w:rPr>
                      <w:rFonts w:hint="default" w:ascii="Times New Roman" w:hAnsi="Times New Roman" w:cs="Times New Roman"/>
                      <w:color w:val="auto"/>
                      <w:szCs w:val="21"/>
                      <w:highlight w:val="none"/>
                    </w:rPr>
                  </w:pPr>
                </w:p>
              </w:tc>
              <w:tc>
                <w:tcPr>
                  <w:tcW w:w="1939" w:type="dxa"/>
                  <w:tcBorders>
                    <w:left w:val="single" w:color="000000" w:sz="4" w:space="0"/>
                    <w:tl2br w:val="nil"/>
                    <w:tr2bl w:val="nil"/>
                  </w:tcBorders>
                  <w:noWrap w:val="0"/>
                  <w:vAlign w:val="center"/>
                </w:tcPr>
                <w:p w14:paraId="5ED48DE8">
                  <w:pPr>
                    <w:spacing w:line="24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eastAsia="zh-CN"/>
                    </w:rPr>
                    <w:t>夜间</w:t>
                  </w:r>
                  <w:r>
                    <w:rPr>
                      <w:rFonts w:hint="default" w:ascii="Times New Roman" w:hAnsi="Times New Roman" w:cs="Times New Roman"/>
                      <w:color w:val="auto"/>
                      <w:szCs w:val="21"/>
                      <w:highlight w:val="none"/>
                    </w:rPr>
                    <w:t>5</w:t>
                  </w: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dB(A)</w:t>
                  </w:r>
                </w:p>
              </w:tc>
            </w:tr>
            <w:tr w14:paraId="553BC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56" w:type="dxa"/>
                  <w:vMerge w:val="restart"/>
                  <w:tcBorders>
                    <w:tl2br w:val="nil"/>
                    <w:tr2bl w:val="nil"/>
                  </w:tcBorders>
                  <w:noWrap w:val="0"/>
                  <w:vAlign w:val="center"/>
                </w:tcPr>
                <w:p w14:paraId="727598A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7225" w:type="dxa"/>
                  <w:gridSpan w:val="4"/>
                  <w:tcBorders>
                    <w:tl2br w:val="nil"/>
                    <w:tr2bl w:val="nil"/>
                  </w:tcBorders>
                  <w:noWrap w:val="0"/>
                  <w:vAlign w:val="center"/>
                </w:tcPr>
                <w:p w14:paraId="59E1EC42">
                  <w:pPr>
                    <w:spacing w:line="24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《城镇污水处理厂污染物排放标准》（GB18918-2002）</w:t>
                  </w:r>
                </w:p>
              </w:tc>
            </w:tr>
            <w:tr w14:paraId="46D2B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56" w:type="dxa"/>
                  <w:vMerge w:val="continue"/>
                  <w:tcBorders>
                    <w:tl2br w:val="nil"/>
                    <w:tr2bl w:val="nil"/>
                  </w:tcBorders>
                  <w:noWrap w:val="0"/>
                  <w:vAlign w:val="center"/>
                </w:tcPr>
                <w:p w14:paraId="1C9794F6">
                  <w:pPr>
                    <w:jc w:val="center"/>
                    <w:rPr>
                      <w:rFonts w:hint="default" w:ascii="Times New Roman" w:hAnsi="Times New Roman" w:cs="Times New Roman"/>
                      <w:color w:val="auto"/>
                      <w:szCs w:val="21"/>
                      <w:highlight w:val="none"/>
                    </w:rPr>
                  </w:pPr>
                </w:p>
              </w:tc>
              <w:tc>
                <w:tcPr>
                  <w:tcW w:w="7225" w:type="dxa"/>
                  <w:gridSpan w:val="4"/>
                  <w:tcBorders>
                    <w:tl2br w:val="nil"/>
                    <w:tr2bl w:val="nil"/>
                  </w:tcBorders>
                  <w:noWrap w:val="0"/>
                  <w:vAlign w:val="center"/>
                </w:tcPr>
                <w:p w14:paraId="4F25DC7C">
                  <w:pPr>
                    <w:adjustRightIn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《一般工业固体废物贮存和填埋污染控制标准》</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GB18599-2020</w:t>
                  </w:r>
                  <w:r>
                    <w:rPr>
                      <w:rFonts w:hint="eastAsia" w:cs="Times New Roman"/>
                      <w:color w:val="auto"/>
                      <w:szCs w:val="21"/>
                      <w:highlight w:val="none"/>
                      <w:lang w:val="en-US" w:eastAsia="zh-CN"/>
                    </w:rPr>
                    <w:t>）</w:t>
                  </w:r>
                </w:p>
              </w:tc>
            </w:tr>
            <w:tr w14:paraId="68F389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56" w:type="dxa"/>
                  <w:vMerge w:val="continue"/>
                  <w:tcBorders>
                    <w:tl2br w:val="nil"/>
                    <w:tr2bl w:val="nil"/>
                  </w:tcBorders>
                  <w:noWrap w:val="0"/>
                  <w:vAlign w:val="center"/>
                </w:tcPr>
                <w:p w14:paraId="5E06B114">
                  <w:pPr>
                    <w:jc w:val="center"/>
                    <w:rPr>
                      <w:rFonts w:hint="default" w:ascii="Times New Roman" w:hAnsi="Times New Roman" w:cs="Times New Roman"/>
                      <w:color w:val="auto"/>
                      <w:szCs w:val="21"/>
                      <w:highlight w:val="none"/>
                    </w:rPr>
                  </w:pPr>
                </w:p>
              </w:tc>
              <w:tc>
                <w:tcPr>
                  <w:tcW w:w="7225" w:type="dxa"/>
                  <w:gridSpan w:val="4"/>
                  <w:tcBorders>
                    <w:tl2br w:val="nil"/>
                    <w:tr2bl w:val="nil"/>
                  </w:tcBorders>
                  <w:noWrap w:val="0"/>
                  <w:vAlign w:val="center"/>
                </w:tcPr>
                <w:p w14:paraId="3063ED2E">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《危险固体废物贮存、处置场污染控制标准》（GB18597-20</w:t>
                  </w:r>
                  <w:r>
                    <w:rPr>
                      <w:rFonts w:hint="default" w:ascii="Times New Roman" w:hAnsi="Times New Roman" w:cs="Times New Roman"/>
                      <w:color w:val="auto"/>
                      <w:szCs w:val="21"/>
                      <w:highlight w:val="none"/>
                      <w:lang w:val="en-US" w:eastAsia="zh-CN"/>
                    </w:rPr>
                    <w:t>23</w:t>
                  </w:r>
                  <w:r>
                    <w:rPr>
                      <w:rFonts w:hint="default" w:ascii="Times New Roman" w:hAnsi="Times New Roman" w:cs="Times New Roman"/>
                      <w:color w:val="auto"/>
                      <w:szCs w:val="21"/>
                      <w:highlight w:val="none"/>
                    </w:rPr>
                    <w:t>）</w:t>
                  </w:r>
                </w:p>
              </w:tc>
            </w:tr>
          </w:tbl>
          <w:p w14:paraId="43972047">
            <w:pPr>
              <w:numPr>
                <w:ilvl w:val="0"/>
                <w:numId w:val="0"/>
              </w:numPr>
              <w:spacing w:line="360" w:lineRule="auto"/>
              <w:rPr>
                <w:rFonts w:hint="default" w:ascii="Times New Roman" w:hAnsi="Times New Roman" w:cs="Times New Roman"/>
                <w:color w:val="auto"/>
                <w:kern w:val="0"/>
                <w:sz w:val="24"/>
                <w:szCs w:val="24"/>
                <w:highlight w:val="none"/>
              </w:rPr>
            </w:pPr>
          </w:p>
        </w:tc>
      </w:tr>
      <w:tr w14:paraId="263499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3" w:hRule="atLeast"/>
          <w:jc w:val="center"/>
        </w:trPr>
        <w:tc>
          <w:tcPr>
            <w:tcW w:w="800" w:type="dxa"/>
            <w:noWrap w:val="0"/>
            <w:vAlign w:val="center"/>
          </w:tcPr>
          <w:p w14:paraId="362664C4">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总量</w:t>
            </w:r>
          </w:p>
          <w:p w14:paraId="02671632">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控制</w:t>
            </w:r>
          </w:p>
          <w:p w14:paraId="0399B580">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指标</w:t>
            </w:r>
          </w:p>
        </w:tc>
        <w:tc>
          <w:tcPr>
            <w:tcW w:w="8190" w:type="dxa"/>
            <w:noWrap w:val="0"/>
            <w:vAlign w:val="center"/>
          </w:tcPr>
          <w:p w14:paraId="5D0022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十五五”规划期间，《中华人民共和国国民经济和社会发展第十五个五年规划纲要》明确实施总量控制的四项污染物为化学需氧量、总磷、氮氧化物和挥发性有机物。同时根据陕西省生态环境厅发布的《关于加快推动建设项目重点污染物排放总量控制指标管理问题整改的通知》</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陕环排管</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2026</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33号</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可知，涉及二氧化硫、氮氧化物、化学需氧量、氨氮排放总量指标通过排污权交易获得。因此陕西省主要对二氧化硫、氮氧化物、化学需氧量、氨氮4种主要污染物实行排放总量控制计划管理。</w:t>
            </w:r>
          </w:p>
          <w:p w14:paraId="3A5AB4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olor w:val="auto"/>
                <w:highlight w:val="none"/>
                <w:lang w:val="en-US" w:eastAsia="zh-CN"/>
              </w:rPr>
            </w:pPr>
            <w:r>
              <w:rPr>
                <w:rFonts w:hint="default" w:ascii="Times New Roman" w:hAnsi="Times New Roman" w:eastAsia="宋体" w:cs="Times New Roman"/>
                <w:color w:val="auto"/>
                <w:kern w:val="0"/>
                <w:sz w:val="24"/>
                <w:szCs w:val="24"/>
                <w:highlight w:val="none"/>
                <w:lang w:val="en-US" w:eastAsia="zh-CN"/>
              </w:rPr>
              <w:t>综</w:t>
            </w:r>
            <w:r>
              <w:rPr>
                <w:rFonts w:hint="eastAsia" w:cs="Times New Roman"/>
                <w:color w:val="auto"/>
                <w:kern w:val="0"/>
                <w:sz w:val="24"/>
                <w:szCs w:val="24"/>
                <w:highlight w:val="none"/>
                <w:lang w:val="en-US" w:eastAsia="zh-CN"/>
              </w:rPr>
              <w:t>上</w:t>
            </w:r>
            <w:r>
              <w:rPr>
                <w:rFonts w:hint="default" w:ascii="Times New Roman" w:hAnsi="Times New Roman" w:eastAsia="宋体" w:cs="Times New Roman"/>
                <w:color w:val="auto"/>
                <w:kern w:val="0"/>
                <w:sz w:val="24"/>
                <w:szCs w:val="24"/>
                <w:highlight w:val="none"/>
                <w:lang w:val="en-US" w:eastAsia="zh-CN"/>
              </w:rPr>
              <w:t>，本项目废气不涉及SO</w:t>
            </w:r>
            <w:r>
              <w:rPr>
                <w:rFonts w:hint="default" w:ascii="Times New Roman" w:hAnsi="Times New Roman" w:eastAsia="宋体" w:cs="Times New Roman"/>
                <w:color w:val="auto"/>
                <w:kern w:val="0"/>
                <w:sz w:val="24"/>
                <w:szCs w:val="24"/>
                <w:highlight w:val="none"/>
                <w:vertAlign w:val="subscript"/>
                <w:lang w:val="en-US" w:eastAsia="zh-CN"/>
              </w:rPr>
              <w:t>2</w:t>
            </w:r>
            <w:r>
              <w:rPr>
                <w:rFonts w:hint="default" w:ascii="Times New Roman" w:hAnsi="Times New Roman" w:eastAsia="宋体" w:cs="Times New Roman"/>
                <w:color w:val="auto"/>
                <w:kern w:val="0"/>
                <w:sz w:val="24"/>
                <w:szCs w:val="24"/>
                <w:highlight w:val="none"/>
                <w:lang w:val="en-US" w:eastAsia="zh-CN"/>
              </w:rPr>
              <w:t>、NOx和挥发性有机物，废水经</w:t>
            </w:r>
            <w:r>
              <w:rPr>
                <w:rFonts w:hint="eastAsia" w:cs="Times New Roman"/>
                <w:color w:val="auto"/>
                <w:kern w:val="0"/>
                <w:sz w:val="24"/>
                <w:szCs w:val="24"/>
                <w:highlight w:val="none"/>
                <w:lang w:val="en-US" w:eastAsia="zh-CN"/>
              </w:rPr>
              <w:t>污水管网接入</w:t>
            </w:r>
            <w:r>
              <w:rPr>
                <w:rFonts w:hint="default" w:ascii="Times New Roman" w:hAnsi="Times New Roman" w:eastAsia="宋体" w:cs="Times New Roman"/>
                <w:color w:val="auto"/>
                <w:kern w:val="0"/>
                <w:sz w:val="24"/>
                <w:szCs w:val="24"/>
                <w:highlight w:val="none"/>
                <w:lang w:val="en-US" w:eastAsia="zh-CN"/>
              </w:rPr>
              <w:t>谢村镇四〇五社区污水处理厂</w:t>
            </w:r>
            <w:r>
              <w:rPr>
                <w:rFonts w:hint="eastAsia" w:cs="Times New Roman"/>
                <w:color w:val="auto"/>
                <w:kern w:val="0"/>
                <w:sz w:val="24"/>
                <w:szCs w:val="24"/>
                <w:highlight w:val="none"/>
                <w:lang w:val="en-US" w:eastAsia="zh-CN"/>
              </w:rPr>
              <w:t>处理达标后排入溢水河，尾水</w:t>
            </w:r>
            <w:r>
              <w:rPr>
                <w:rFonts w:hint="default" w:ascii="Times New Roman" w:hAnsi="Times New Roman" w:eastAsia="宋体" w:cs="Times New Roman"/>
                <w:color w:val="auto"/>
                <w:kern w:val="0"/>
                <w:sz w:val="24"/>
                <w:szCs w:val="24"/>
                <w:highlight w:val="none"/>
                <w:lang w:val="en-US" w:eastAsia="zh-CN"/>
              </w:rPr>
              <w:t>涉及化学需氧量、氨氮和总磷</w:t>
            </w:r>
            <w:r>
              <w:rPr>
                <w:rFonts w:hint="eastAsia" w:cs="Times New Roman"/>
                <w:color w:val="auto"/>
                <w:kern w:val="0"/>
                <w:sz w:val="24"/>
                <w:szCs w:val="24"/>
                <w:highlight w:val="none"/>
                <w:lang w:val="en-US" w:eastAsia="zh-CN"/>
              </w:rPr>
              <w:t>直接</w:t>
            </w:r>
            <w:r>
              <w:rPr>
                <w:rFonts w:hint="default" w:ascii="Times New Roman" w:hAnsi="Times New Roman" w:eastAsia="宋体" w:cs="Times New Roman"/>
                <w:color w:val="auto"/>
                <w:kern w:val="0"/>
                <w:sz w:val="24"/>
                <w:szCs w:val="24"/>
                <w:highlight w:val="none"/>
                <w:lang w:val="en-US" w:eastAsia="zh-CN"/>
              </w:rPr>
              <w:t>排放。因此建议本项目申请总量按照污水处理厂出水标准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《城镇污水处理厂污染物排放标准》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GB-18918-2002</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一级A标准限值进行核算。废水污染物建议申请总量COD为</w:t>
            </w:r>
            <w:r>
              <w:rPr>
                <w:rFonts w:hint="eastAsia" w:ascii="Times New Roman" w:hAnsi="Times New Roman" w:eastAsia="宋体" w:cs="Times New Roman"/>
                <w:color w:val="auto"/>
                <w:kern w:val="0"/>
                <w:sz w:val="24"/>
                <w:szCs w:val="24"/>
                <w:highlight w:val="none"/>
                <w:lang w:val="en-US" w:eastAsia="zh-CN"/>
              </w:rPr>
              <w:t>27.37</w:t>
            </w:r>
            <w:r>
              <w:rPr>
                <w:rFonts w:hint="default" w:ascii="Times New Roman" w:hAnsi="Times New Roman" w:eastAsia="宋体" w:cs="Times New Roman"/>
                <w:color w:val="auto"/>
                <w:kern w:val="0"/>
                <w:sz w:val="24"/>
                <w:szCs w:val="24"/>
                <w:highlight w:val="none"/>
                <w:lang w:val="en-US" w:eastAsia="zh-CN"/>
              </w:rPr>
              <w:t>t/a</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NH</w:t>
            </w:r>
            <w:r>
              <w:rPr>
                <w:rFonts w:hint="default" w:ascii="Times New Roman" w:hAnsi="Times New Roman" w:eastAsia="宋体" w:cs="Times New Roman"/>
                <w:color w:val="auto"/>
                <w:kern w:val="0"/>
                <w:sz w:val="24"/>
                <w:szCs w:val="24"/>
                <w:highlight w:val="none"/>
                <w:vertAlign w:val="subscript"/>
                <w:lang w:val="en-US" w:eastAsia="zh-CN"/>
              </w:rPr>
              <w:t>3</w:t>
            </w:r>
            <w:r>
              <w:rPr>
                <w:rFonts w:hint="default" w:ascii="Times New Roman" w:hAnsi="Times New Roman" w:eastAsia="宋体" w:cs="Times New Roman"/>
                <w:color w:val="auto"/>
                <w:kern w:val="0"/>
                <w:sz w:val="24"/>
                <w:szCs w:val="24"/>
                <w:highlight w:val="none"/>
                <w:lang w:val="en-US" w:eastAsia="zh-CN"/>
              </w:rPr>
              <w:t>-N为</w:t>
            </w:r>
            <w:r>
              <w:rPr>
                <w:rFonts w:hint="eastAsia" w:ascii="Times New Roman" w:hAnsi="Times New Roman" w:eastAsia="宋体" w:cs="Times New Roman"/>
                <w:color w:val="auto"/>
                <w:kern w:val="0"/>
                <w:sz w:val="24"/>
                <w:szCs w:val="24"/>
                <w:highlight w:val="none"/>
                <w:lang w:val="en-US" w:eastAsia="zh-CN"/>
              </w:rPr>
              <w:t>2.73</w:t>
            </w:r>
            <w:r>
              <w:rPr>
                <w:rFonts w:hint="default" w:ascii="Times New Roman" w:hAnsi="Times New Roman" w:eastAsia="宋体" w:cs="Times New Roman"/>
                <w:color w:val="auto"/>
                <w:kern w:val="0"/>
                <w:sz w:val="24"/>
                <w:szCs w:val="24"/>
                <w:highlight w:val="none"/>
                <w:lang w:val="en-US" w:eastAsia="zh-CN"/>
              </w:rPr>
              <w:t>t/a，总磷为0.27t/a</w:t>
            </w:r>
            <w:r>
              <w:rPr>
                <w:rFonts w:hint="eastAsia" w:cs="Times New Roman"/>
                <w:color w:val="auto"/>
                <w:kern w:val="0"/>
                <w:sz w:val="24"/>
                <w:szCs w:val="24"/>
                <w:highlight w:val="none"/>
                <w:lang w:val="en-US" w:eastAsia="zh-CN"/>
              </w:rPr>
              <w:t>。</w:t>
            </w:r>
          </w:p>
        </w:tc>
      </w:tr>
    </w:tbl>
    <w:p w14:paraId="3270F5E8">
      <w:pPr>
        <w:pStyle w:val="28"/>
        <w:jc w:val="center"/>
        <w:outlineLvl w:val="0"/>
        <w:rPr>
          <w:rFonts w:hint="default" w:ascii="Times New Roman" w:hAnsi="Times New Roman" w:eastAsia="黑体" w:cs="Times New Roman"/>
          <w:snapToGrid w:val="0"/>
          <w:color w:val="auto"/>
          <w:sz w:val="36"/>
          <w:szCs w:val="36"/>
          <w:highlight w:val="none"/>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72BB9F8F">
      <w:pPr>
        <w:pStyle w:val="28"/>
        <w:jc w:val="center"/>
        <w:outlineLvl w:val="0"/>
        <w:rPr>
          <w:rFonts w:hint="default" w:ascii="Times New Roman" w:hAnsi="Times New Roman" w:eastAsia="黑体" w:cs="Times New Roman"/>
          <w:snapToGrid w:val="0"/>
          <w:color w:val="auto"/>
          <w:sz w:val="30"/>
          <w:szCs w:val="30"/>
          <w:highlight w:val="none"/>
        </w:rPr>
      </w:pPr>
      <w:bookmarkStart w:id="46" w:name="_Toc13091"/>
      <w:bookmarkStart w:id="47" w:name="_Toc9317"/>
      <w:bookmarkStart w:id="48" w:name="_Toc31235"/>
      <w:bookmarkStart w:id="49" w:name="_Toc14169"/>
      <w:bookmarkStart w:id="50" w:name="_Toc32180"/>
      <w:bookmarkStart w:id="51" w:name="_Toc11419"/>
      <w:bookmarkStart w:id="52" w:name="_Toc11798"/>
      <w:bookmarkStart w:id="53" w:name="_Toc15435"/>
      <w:bookmarkStart w:id="54" w:name="_Toc31291"/>
      <w:r>
        <w:rPr>
          <w:rFonts w:hint="default" w:ascii="Times New Roman" w:hAnsi="Times New Roman" w:eastAsia="黑体" w:cs="Times New Roman"/>
          <w:snapToGrid w:val="0"/>
          <w:color w:val="auto"/>
          <w:sz w:val="30"/>
          <w:szCs w:val="30"/>
          <w:highlight w:val="none"/>
        </w:rPr>
        <w:t>四、主要环境影响和保护措施</w:t>
      </w:r>
      <w:bookmarkEnd w:id="46"/>
      <w:bookmarkEnd w:id="47"/>
      <w:bookmarkEnd w:id="48"/>
      <w:bookmarkEnd w:id="49"/>
      <w:bookmarkEnd w:id="50"/>
      <w:bookmarkEnd w:id="51"/>
      <w:bookmarkEnd w:id="52"/>
      <w:bookmarkEnd w:id="53"/>
      <w:bookmarkEnd w:id="54"/>
    </w:p>
    <w:tbl>
      <w:tblPr>
        <w:tblStyle w:val="31"/>
        <w:tblW w:w="8853"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07"/>
      </w:tblGrid>
      <w:tr w14:paraId="4B7E16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3" w:hRule="atLeast"/>
        </w:trPr>
        <w:tc>
          <w:tcPr>
            <w:tcW w:w="746" w:type="dxa"/>
            <w:noWrap w:val="0"/>
            <w:tcMar>
              <w:left w:w="28" w:type="dxa"/>
              <w:right w:w="28" w:type="dxa"/>
            </w:tcMar>
            <w:vAlign w:val="center"/>
          </w:tcPr>
          <w:p w14:paraId="153A3E17">
            <w:pPr>
              <w:pStyle w:val="28"/>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施工</w:t>
            </w:r>
          </w:p>
          <w:p w14:paraId="342DA61F">
            <w:pPr>
              <w:pStyle w:val="28"/>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期环</w:t>
            </w:r>
          </w:p>
          <w:p w14:paraId="492407F8">
            <w:pPr>
              <w:pStyle w:val="28"/>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境保</w:t>
            </w:r>
          </w:p>
          <w:p w14:paraId="613B1E8D">
            <w:pPr>
              <w:pStyle w:val="28"/>
              <w:adjustRightInd w:val="0"/>
              <w:snapToGrid w:val="0"/>
              <w:spacing w:before="0" w:beforeAutospacing="0" w:after="0" w:afterAutospacing="0"/>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护措</w:t>
            </w:r>
          </w:p>
          <w:p w14:paraId="00FB5842">
            <w:pPr>
              <w:pStyle w:val="28"/>
              <w:adjustRightInd w:val="0"/>
              <w:snapToGrid w:val="0"/>
              <w:spacing w:before="0" w:beforeAutospacing="0" w:after="0" w:afterAutospacing="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color w:val="auto"/>
                <w:kern w:val="2"/>
                <w:sz w:val="24"/>
                <w:szCs w:val="24"/>
                <w:highlight w:val="none"/>
              </w:rPr>
              <w:t>施</w:t>
            </w:r>
          </w:p>
        </w:tc>
        <w:tc>
          <w:tcPr>
            <w:tcW w:w="8107" w:type="dxa"/>
            <w:noWrap w:val="0"/>
            <w:vAlign w:val="center"/>
          </w:tcPr>
          <w:p w14:paraId="36218E09">
            <w:pPr>
              <w:snapToGrid w:val="0"/>
              <w:spacing w:line="360" w:lineRule="auto"/>
              <w:ind w:firstLine="442" w:firstLineChars="200"/>
              <w:jc w:val="left"/>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一、大气环境</w:t>
            </w:r>
          </w:p>
          <w:p w14:paraId="21E54D16">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施工期废气主要为扬尘、</w:t>
            </w:r>
            <w:r>
              <w:rPr>
                <w:rFonts w:hint="eastAsia" w:cs="Times New Roman"/>
                <w:bCs/>
                <w:color w:val="auto"/>
                <w:spacing w:val="-10"/>
                <w:sz w:val="24"/>
                <w:szCs w:val="24"/>
                <w:highlight w:val="none"/>
                <w:lang w:val="en-US" w:eastAsia="zh-CN"/>
              </w:rPr>
              <w:t>焊接废气、</w:t>
            </w:r>
            <w:r>
              <w:rPr>
                <w:rFonts w:hint="default" w:ascii="Times New Roman" w:hAnsi="Times New Roman" w:eastAsia="宋体" w:cs="Times New Roman"/>
                <w:bCs/>
                <w:color w:val="auto"/>
                <w:spacing w:val="-10"/>
                <w:sz w:val="24"/>
                <w:szCs w:val="24"/>
                <w:highlight w:val="none"/>
                <w:lang w:val="en-US" w:eastAsia="zh-CN"/>
              </w:rPr>
              <w:t>装修废气及运输车辆尾气等。</w:t>
            </w:r>
          </w:p>
          <w:p w14:paraId="2F353F52">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施工期废气防治措施：</w:t>
            </w:r>
          </w:p>
          <w:p w14:paraId="26E33A0E">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（1）扬尘</w:t>
            </w:r>
          </w:p>
          <w:p w14:paraId="0E6B762D">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为进一步减轻施工扬尘对周边环境空气及</w:t>
            </w:r>
            <w:r>
              <w:rPr>
                <w:rFonts w:hint="eastAsia" w:cs="Times New Roman"/>
                <w:bCs/>
                <w:color w:val="auto"/>
                <w:spacing w:val="-10"/>
                <w:sz w:val="24"/>
                <w:szCs w:val="24"/>
                <w:highlight w:val="none"/>
                <w:lang w:val="en-US" w:eastAsia="zh-CN"/>
              </w:rPr>
              <w:t>西北侧</w:t>
            </w:r>
            <w:r>
              <w:rPr>
                <w:rFonts w:hint="default" w:ascii="Times New Roman" w:hAnsi="Times New Roman" w:eastAsia="宋体" w:cs="Times New Roman"/>
                <w:bCs/>
                <w:color w:val="auto"/>
                <w:spacing w:val="-10"/>
                <w:sz w:val="24"/>
                <w:szCs w:val="24"/>
                <w:highlight w:val="none"/>
                <w:lang w:val="en-US" w:eastAsia="zh-CN"/>
              </w:rPr>
              <w:t>敏感点</w:t>
            </w:r>
            <w:r>
              <w:rPr>
                <w:rFonts w:hint="default" w:ascii="Times New Roman" w:hAnsi="Times New Roman" w:eastAsia="宋体" w:cs="Times New Roman"/>
                <w:bCs/>
                <w:color w:val="auto"/>
                <w:spacing w:val="-10"/>
                <w:sz w:val="24"/>
                <w:szCs w:val="24"/>
                <w:highlight w:val="none"/>
                <w:lang w:val="en-US" w:eastAsia="zh-CN"/>
              </w:rPr>
              <w:t>的影响，评价要求项目施工期间应严格执行</w:t>
            </w:r>
            <w:r>
              <w:rPr>
                <w:rFonts w:hint="default" w:ascii="Times New Roman" w:hAnsi="Times New Roman" w:eastAsia="宋体" w:cs="Times New Roman"/>
                <w:bCs/>
                <w:color w:val="auto"/>
                <w:spacing w:val="-10"/>
                <w:sz w:val="24"/>
                <w:szCs w:val="24"/>
                <w:highlight w:val="none"/>
                <w:lang w:val="en-US" w:eastAsia="zh-CN"/>
              </w:rPr>
              <w:t>《汉中市大气污染防治条例》（2026修正）</w:t>
            </w:r>
            <w:r>
              <w:rPr>
                <w:rFonts w:hint="default" w:ascii="Times New Roman" w:hAnsi="Times New Roman" w:eastAsia="宋体" w:cs="Times New Roman"/>
                <w:bCs/>
                <w:color w:val="auto"/>
                <w:spacing w:val="-10"/>
                <w:sz w:val="24"/>
                <w:szCs w:val="24"/>
                <w:highlight w:val="none"/>
                <w:lang w:val="en-US" w:eastAsia="zh-CN"/>
              </w:rPr>
              <w:t>、《汉中市大气污染治理专项行动方案（2023-2027年）》（汉发[2023]7号）中相关要求，减少施工扬尘对周围环境的影响。</w:t>
            </w:r>
          </w:p>
          <w:p w14:paraId="34454110">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①要求施工单位文明施工，加强场地内的建材管理，及时清运场地内废弃土，合理安排进出工地车流量，减少扬尘。</w:t>
            </w:r>
          </w:p>
          <w:p w14:paraId="2C17F820">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②施工场地、施工道路的扬尘可采取洒水和清扫的措施予以制止。如果只洒水不清扫，可使扬尘量减少70～80%，如洒水后清扫，抑尘效率可达90%以上。有关实验证明，在施工场地每天洒水4～5次，其扬尘造成的TSP污染距离可缩小到20～50m范围内。</w:t>
            </w:r>
          </w:p>
          <w:p w14:paraId="3E57DE41">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③散状建筑材料和建筑垃圾运输时要较好地加盖篷布，严禁敞开式运输；为防止物料散落路面引起二次扬尘，车辆严禁超载。石灰、沙子等不得露天堆放，并对其进行洒水，提高表面含水率，起到抑尘的效果。</w:t>
            </w:r>
          </w:p>
          <w:p w14:paraId="1B9EAC45">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④避免在大风天气进行大面积基础开挖等易产生扬尘的作业；施工过程应及时清理堆放在场地上的弃土、弃渣和道路上的抛撒料、渣，适时洒水灭尘；不能及时清运的必须采取覆盖等措施，防止二次扬尘。</w:t>
            </w:r>
          </w:p>
          <w:p w14:paraId="2AF1CE6D">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⑤对于易产生扬尘及废气的作业设备，要在场内相对固定，并在四周设置围挡。</w:t>
            </w:r>
          </w:p>
          <w:p w14:paraId="09DD328D">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eastAsia" w:cs="Times New Roman"/>
                <w:bCs/>
                <w:color w:val="auto"/>
                <w:spacing w:val="-10"/>
                <w:sz w:val="24"/>
                <w:szCs w:val="24"/>
                <w:highlight w:val="none"/>
                <w:lang w:val="en-US" w:eastAsia="zh-CN"/>
              </w:rPr>
              <w:t>（2）焊接废气</w:t>
            </w:r>
          </w:p>
          <w:p w14:paraId="63EF8E36">
            <w:pPr>
              <w:adjustRightInd w:val="0"/>
              <w:snapToGrid w:val="0"/>
              <w:spacing w:line="360" w:lineRule="auto"/>
              <w:ind w:firstLine="440" w:firstLineChars="200"/>
              <w:rPr>
                <w:color w:val="auto"/>
                <w:highlight w:val="none"/>
              </w:rPr>
            </w:pPr>
            <w:r>
              <w:rPr>
                <w:rFonts w:hint="eastAsia"/>
                <w:bCs/>
                <w:color w:val="auto"/>
                <w:spacing w:val="-10"/>
                <w:sz w:val="24"/>
                <w:highlight w:val="none"/>
                <w:lang w:eastAsia="zh-CN"/>
              </w:rPr>
              <w:t>钢管</w:t>
            </w:r>
            <w:r>
              <w:rPr>
                <w:rFonts w:hint="eastAsia"/>
                <w:bCs/>
                <w:color w:val="auto"/>
                <w:spacing w:val="-10"/>
                <w:sz w:val="24"/>
                <w:highlight w:val="none"/>
              </w:rPr>
              <w:t>焊接过程中会产生焊接烟尘，由于焊接过程为间歇性、</w:t>
            </w:r>
            <w:r>
              <w:rPr>
                <w:rFonts w:hint="eastAsia"/>
                <w:bCs/>
                <w:color w:val="auto"/>
                <w:spacing w:val="-10"/>
                <w:sz w:val="24"/>
                <w:highlight w:val="none"/>
                <w:lang w:eastAsia="zh-CN"/>
              </w:rPr>
              <w:t>点状作业形式、因此</w:t>
            </w:r>
            <w:r>
              <w:rPr>
                <w:rFonts w:hint="eastAsia"/>
                <w:bCs/>
                <w:color w:val="auto"/>
                <w:spacing w:val="-10"/>
                <w:sz w:val="24"/>
                <w:highlight w:val="none"/>
              </w:rPr>
              <w:t>焊接</w:t>
            </w:r>
            <w:r>
              <w:rPr>
                <w:rFonts w:hint="eastAsia"/>
                <w:bCs/>
                <w:color w:val="auto"/>
                <w:spacing w:val="-10"/>
                <w:sz w:val="24"/>
                <w:highlight w:val="none"/>
                <w:lang w:eastAsia="zh-CN"/>
              </w:rPr>
              <w:t>过程</w:t>
            </w:r>
            <w:r>
              <w:rPr>
                <w:rFonts w:hint="eastAsia"/>
                <w:bCs/>
                <w:color w:val="auto"/>
                <w:spacing w:val="-10"/>
                <w:sz w:val="24"/>
                <w:highlight w:val="none"/>
              </w:rPr>
              <w:t>烟尘产生量较小，且</w:t>
            </w:r>
            <w:r>
              <w:rPr>
                <w:rFonts w:hint="eastAsia"/>
                <w:bCs/>
                <w:color w:val="auto"/>
                <w:spacing w:val="-10"/>
                <w:sz w:val="24"/>
                <w:highlight w:val="none"/>
                <w:lang w:eastAsia="zh-CN"/>
              </w:rPr>
              <w:t>厂区</w:t>
            </w:r>
            <w:r>
              <w:rPr>
                <w:rFonts w:hint="eastAsia"/>
                <w:bCs/>
                <w:color w:val="auto"/>
                <w:spacing w:val="-10"/>
                <w:sz w:val="24"/>
                <w:highlight w:val="none"/>
              </w:rPr>
              <w:t>离住户较远，自然流通后对外环境影响较小。</w:t>
            </w:r>
          </w:p>
          <w:p w14:paraId="04368F1B">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3</w:t>
            </w:r>
            <w:r>
              <w:rPr>
                <w:rFonts w:hint="default" w:ascii="Times New Roman" w:hAnsi="Times New Roman" w:eastAsia="宋体" w:cs="Times New Roman"/>
                <w:bCs/>
                <w:color w:val="auto"/>
                <w:spacing w:val="-10"/>
                <w:sz w:val="24"/>
                <w:szCs w:val="24"/>
                <w:highlight w:val="none"/>
                <w:lang w:val="en-US" w:eastAsia="zh-CN"/>
              </w:rPr>
              <w:t>）装修废气</w:t>
            </w:r>
          </w:p>
          <w:p w14:paraId="5D3956EC">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装修废气主要产生于室内室外装修阶段，属无组织排放，且其过程持续时间较长，是一个缓慢挥发的过程，对周围环境的影响不大。建议装修时使用水性涂料等绿色装修材料，油漆、涂料等装修材料的选取应按照国家市场监督管理总局颁布的《室内装修材料10项有害物质限量》规定进行，严格控制室内甲醛、苯系物等挥发性有机物，使各项污染指标达到（GB/T18883-2002）《室内空气质量标准》的限值要求。</w:t>
            </w:r>
          </w:p>
          <w:p w14:paraId="40CE4F2B">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4</w:t>
            </w:r>
            <w:r>
              <w:rPr>
                <w:rFonts w:hint="default" w:ascii="Times New Roman" w:hAnsi="Times New Roman" w:eastAsia="宋体" w:cs="Times New Roman"/>
                <w:bCs/>
                <w:color w:val="auto"/>
                <w:spacing w:val="-10"/>
                <w:sz w:val="24"/>
                <w:szCs w:val="24"/>
                <w:highlight w:val="none"/>
                <w:lang w:val="en-US" w:eastAsia="zh-CN"/>
              </w:rPr>
              <w:t>）车辆尾气</w:t>
            </w:r>
          </w:p>
          <w:p w14:paraId="5FBEF2D5">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①运输车辆禁止超载，不得使用劣质燃料；</w:t>
            </w:r>
          </w:p>
          <w:p w14:paraId="4AFEA056">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②对车辆的尾气排放应进行监督管理，严格执行汽车排污监管办法相关规定。</w:t>
            </w:r>
          </w:p>
          <w:p w14:paraId="6369F3CF">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采取以上防护措施后，可减轻工程建设对施工区域环境空气质量的影响。</w:t>
            </w:r>
          </w:p>
          <w:p w14:paraId="6E7B85A4">
            <w:pPr>
              <w:snapToGrid w:val="0"/>
              <w:spacing w:line="360" w:lineRule="auto"/>
              <w:ind w:firstLine="442" w:firstLineChars="200"/>
              <w:jc w:val="left"/>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二、水环境</w:t>
            </w:r>
          </w:p>
          <w:p w14:paraId="65B8A5B8">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项目施工期废水为生产废水和施工人员生活污水。</w:t>
            </w:r>
            <w:bookmarkStart w:id="55" w:name="_Toc268595274"/>
            <w:bookmarkStart w:id="56" w:name="_Toc271026041"/>
          </w:p>
          <w:p w14:paraId="31937E3B">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（1）施工废水</w:t>
            </w:r>
          </w:p>
          <w:p w14:paraId="2768DD2E">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项目施工过程会产生进出车辆和设备冲洗废水，主要污染物是SS</w:t>
            </w:r>
            <w:r>
              <w:rPr>
                <w:rFonts w:hint="eastAsia"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因此应在施工场地设置沉淀池，</w:t>
            </w:r>
            <w:r>
              <w:rPr>
                <w:rFonts w:hint="eastAsia" w:cs="Times New Roman"/>
                <w:bCs/>
                <w:color w:val="auto"/>
                <w:spacing w:val="-10"/>
                <w:sz w:val="24"/>
                <w:szCs w:val="24"/>
                <w:highlight w:val="none"/>
                <w:lang w:val="en-US" w:eastAsia="zh-CN"/>
              </w:rPr>
              <w:t>废水</w:t>
            </w:r>
            <w:r>
              <w:rPr>
                <w:rFonts w:hint="default" w:ascii="Times New Roman" w:hAnsi="Times New Roman" w:eastAsia="宋体" w:cs="Times New Roman"/>
                <w:bCs/>
                <w:color w:val="auto"/>
                <w:spacing w:val="-10"/>
                <w:sz w:val="24"/>
                <w:szCs w:val="24"/>
                <w:highlight w:val="none"/>
                <w:lang w:val="en-US" w:eastAsia="zh-CN"/>
              </w:rPr>
              <w:t>经沉淀后回用，对地表水影响较小。</w:t>
            </w:r>
          </w:p>
          <w:p w14:paraId="0909EB42">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在采取以上措施后，施工期污水对周围的水环境不会造成污染影响。</w:t>
            </w:r>
          </w:p>
          <w:p w14:paraId="5EC9AF24">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（2）生活污水</w:t>
            </w:r>
            <w:bookmarkEnd w:id="55"/>
            <w:bookmarkEnd w:id="56"/>
          </w:p>
          <w:p w14:paraId="2682EC37">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项目施工期施工人员所产生的生活污水</w:t>
            </w:r>
            <w:r>
              <w:rPr>
                <w:rFonts w:hint="eastAsia" w:cs="Times New Roman"/>
                <w:bCs/>
                <w:color w:val="auto"/>
                <w:spacing w:val="-10"/>
                <w:sz w:val="24"/>
                <w:szCs w:val="24"/>
                <w:highlight w:val="none"/>
                <w:lang w:val="en-US" w:eastAsia="zh-CN"/>
              </w:rPr>
              <w:t>经</w:t>
            </w:r>
            <w:r>
              <w:rPr>
                <w:rFonts w:hint="default" w:ascii="Times New Roman" w:hAnsi="Times New Roman" w:eastAsia="宋体" w:cs="Times New Roman"/>
                <w:bCs/>
                <w:color w:val="auto"/>
                <w:spacing w:val="-10"/>
                <w:sz w:val="24"/>
                <w:szCs w:val="24"/>
                <w:highlight w:val="none"/>
                <w:lang w:val="en-US" w:eastAsia="zh-CN"/>
              </w:rPr>
              <w:t>化粪池处理后综合利用。</w:t>
            </w:r>
          </w:p>
          <w:p w14:paraId="2A8AE58B">
            <w:pPr>
              <w:snapToGrid w:val="0"/>
              <w:spacing w:line="360" w:lineRule="auto"/>
              <w:ind w:firstLine="442"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三、声环境</w:t>
            </w:r>
          </w:p>
          <w:p w14:paraId="41C287E1">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为有效减小施工噪声对环境的影响，保证施工噪声符合国家相关标准，评价要求施工期采用以下噪声防治措施：</w:t>
            </w:r>
          </w:p>
          <w:p w14:paraId="4400BC10">
            <w:pPr>
              <w:numPr>
                <w:ilvl w:val="0"/>
                <w:numId w:val="4"/>
              </w:num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合理布局施工现场</w:t>
            </w:r>
            <w:r>
              <w:rPr>
                <w:rFonts w:hint="eastAsia"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避免在同一地点同时安排大量机械设备，以免局部声级过高</w:t>
            </w:r>
            <w:r>
              <w:rPr>
                <w:rFonts w:hint="eastAsia" w:cs="Times New Roman"/>
                <w:bCs/>
                <w:color w:val="auto"/>
                <w:spacing w:val="-10"/>
                <w:sz w:val="24"/>
                <w:szCs w:val="24"/>
                <w:highlight w:val="none"/>
                <w:lang w:val="en-US" w:eastAsia="zh-CN"/>
              </w:rPr>
              <w:t>；</w:t>
            </w:r>
          </w:p>
          <w:p w14:paraId="4E464B93">
            <w:pPr>
              <w:numPr>
                <w:ilvl w:val="0"/>
                <w:numId w:val="4"/>
              </w:num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加强施工现场的环境管理，严格执</w:t>
            </w:r>
            <w:r>
              <w:rPr>
                <w:rFonts w:hint="default" w:ascii="Times New Roman" w:hAnsi="Times New Roman" w:eastAsia="宋体" w:cs="Times New Roman"/>
                <w:bCs/>
                <w:color w:val="auto"/>
                <w:spacing w:val="-10"/>
                <w:sz w:val="24"/>
                <w:szCs w:val="24"/>
                <w:highlight w:val="none"/>
                <w:lang w:val="en-US" w:eastAsia="zh-CN"/>
              </w:rPr>
              <w:t>行《建筑施工噪声排放标准》（GB 12523-2025）</w:t>
            </w:r>
            <w:r>
              <w:rPr>
                <w:rFonts w:hint="default" w:ascii="Times New Roman" w:hAnsi="Times New Roman" w:eastAsia="宋体" w:cs="Times New Roman"/>
                <w:bCs/>
                <w:color w:val="auto"/>
                <w:spacing w:val="-10"/>
                <w:sz w:val="24"/>
                <w:szCs w:val="24"/>
                <w:highlight w:val="none"/>
                <w:lang w:val="en-US" w:eastAsia="zh-CN"/>
              </w:rPr>
              <w:t>规定，严格禁止高噪声设备在夜间22:00至凌晨6:00施工</w:t>
            </w:r>
            <w:r>
              <w:rPr>
                <w:rFonts w:hint="eastAsia" w:cs="Times New Roman"/>
                <w:bCs/>
                <w:color w:val="auto"/>
                <w:spacing w:val="-10"/>
                <w:sz w:val="24"/>
                <w:szCs w:val="24"/>
                <w:highlight w:val="none"/>
                <w:lang w:val="en-US" w:eastAsia="zh-CN"/>
              </w:rPr>
              <w:t>；</w:t>
            </w:r>
          </w:p>
          <w:p w14:paraId="1AC5BF2C">
            <w:pPr>
              <w:numPr>
                <w:ilvl w:val="0"/>
                <w:numId w:val="4"/>
              </w:num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施工设备优选低噪声设备，合理安排施工时间，尽可能避免大量高噪声设备同时施工；</w:t>
            </w:r>
          </w:p>
          <w:p w14:paraId="33264D51">
            <w:pPr>
              <w:snapToGrid w:val="0"/>
              <w:spacing w:line="360" w:lineRule="auto"/>
              <w:ind w:firstLine="480" w:firstLineChars="200"/>
              <w:jc w:val="left"/>
              <w:rPr>
                <w:rFonts w:hint="eastAsia" w:eastAsia="宋体" w:cs="Times New Roman"/>
                <w:bCs/>
                <w:color w:val="auto"/>
                <w:spacing w:val="-10"/>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对难以避免的交通噪声，可采用限速、合理安排运行时间和线路等办法将噪声危害降至最低</w:t>
            </w:r>
            <w:r>
              <w:rPr>
                <w:rFonts w:hint="eastAsia"/>
                <w:color w:val="auto"/>
                <w:sz w:val="24"/>
                <w:szCs w:val="24"/>
                <w:highlight w:val="none"/>
                <w:lang w:eastAsia="zh-CN"/>
              </w:rPr>
              <w:t>；</w:t>
            </w:r>
          </w:p>
          <w:p w14:paraId="48373175">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eastAsia" w:cs="Times New Roman"/>
                <w:bCs/>
                <w:color w:val="auto"/>
                <w:spacing w:val="-10"/>
                <w:sz w:val="24"/>
                <w:szCs w:val="24"/>
                <w:highlight w:val="none"/>
                <w:lang w:val="en-US" w:eastAsia="zh-CN"/>
              </w:rPr>
              <w:t>综上，</w:t>
            </w:r>
            <w:r>
              <w:rPr>
                <w:rFonts w:hint="default" w:ascii="Times New Roman" w:hAnsi="Times New Roman" w:eastAsia="宋体" w:cs="Times New Roman"/>
                <w:bCs/>
                <w:color w:val="auto"/>
                <w:spacing w:val="-10"/>
                <w:sz w:val="24"/>
                <w:szCs w:val="24"/>
                <w:highlight w:val="none"/>
                <w:lang w:val="en-US" w:eastAsia="zh-CN"/>
              </w:rPr>
              <w:t>通过采取上述措施后，项目施工期产生的噪声影响能够降到可接受的程度。</w:t>
            </w:r>
          </w:p>
          <w:p w14:paraId="6192BFFF">
            <w:pPr>
              <w:snapToGrid w:val="0"/>
              <w:spacing w:line="360" w:lineRule="auto"/>
              <w:ind w:firstLine="442" w:firstLineChars="200"/>
              <w:jc w:val="left"/>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四、固体废物</w:t>
            </w:r>
          </w:p>
          <w:p w14:paraId="6DDA2474">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本</w:t>
            </w:r>
            <w:r>
              <w:rPr>
                <w:rFonts w:hint="eastAsia" w:cs="Times New Roman"/>
                <w:bCs/>
                <w:color w:val="auto"/>
                <w:spacing w:val="-10"/>
                <w:sz w:val="24"/>
                <w:szCs w:val="24"/>
                <w:highlight w:val="none"/>
                <w:lang w:val="en-US" w:eastAsia="zh-CN"/>
              </w:rPr>
              <w:t>项目部分池体为地下或半地上结构，修建过程会涉及土方开挖，产生的少量弃方</w:t>
            </w:r>
            <w:r>
              <w:rPr>
                <w:rFonts w:hint="eastAsia" w:cs="宋体"/>
                <w:color w:val="auto"/>
                <w:sz w:val="24"/>
                <w:highlight w:val="none"/>
                <w:lang w:eastAsia="zh-CN"/>
              </w:rPr>
              <w:t>全部用于</w:t>
            </w:r>
            <w:r>
              <w:rPr>
                <w:rFonts w:ascii="宋体" w:hAnsi="宋体" w:eastAsia="宋体" w:cs="宋体"/>
                <w:color w:val="auto"/>
                <w:sz w:val="24"/>
                <w:szCs w:val="24"/>
                <w:highlight w:val="none"/>
              </w:rPr>
              <w:t>低洼区域</w:t>
            </w:r>
            <w:r>
              <w:rPr>
                <w:rFonts w:hint="eastAsia" w:cs="宋体"/>
                <w:color w:val="auto"/>
                <w:sz w:val="24"/>
                <w:highlight w:val="none"/>
                <w:lang w:eastAsia="zh-CN"/>
              </w:rPr>
              <w:t>平整、管线沟槽回填、绿化区域利用等，施工结束后无剩余弃方</w:t>
            </w:r>
            <w:r>
              <w:rPr>
                <w:rFonts w:hint="eastAsia"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因此</w:t>
            </w:r>
            <w:r>
              <w:rPr>
                <w:rFonts w:hint="default" w:ascii="Times New Roman" w:hAnsi="Times New Roman" w:eastAsia="宋体" w:cs="Times New Roman"/>
                <w:bCs/>
                <w:color w:val="auto"/>
                <w:spacing w:val="-10"/>
                <w:sz w:val="24"/>
                <w:szCs w:val="24"/>
                <w:highlight w:val="none"/>
                <w:lang w:val="en-US" w:eastAsia="zh-CN"/>
              </w:rPr>
              <w:t>施工期固废主要为</w:t>
            </w:r>
            <w:r>
              <w:rPr>
                <w:rFonts w:hint="eastAsia" w:cs="宋体"/>
                <w:color w:val="auto"/>
                <w:sz w:val="24"/>
                <w:highlight w:val="none"/>
                <w:lang w:eastAsia="zh-CN"/>
              </w:rPr>
              <w:t>拆除废弃物（砖块、木材等）、</w:t>
            </w:r>
            <w:r>
              <w:rPr>
                <w:rFonts w:hint="default" w:ascii="Times New Roman" w:hAnsi="Times New Roman" w:eastAsia="宋体" w:cs="Times New Roman"/>
                <w:bCs/>
                <w:color w:val="auto"/>
                <w:spacing w:val="-10"/>
                <w:sz w:val="24"/>
                <w:szCs w:val="24"/>
                <w:highlight w:val="none"/>
                <w:lang w:val="en-US" w:eastAsia="zh-CN"/>
              </w:rPr>
              <w:t>建筑垃圾</w:t>
            </w:r>
            <w:r>
              <w:rPr>
                <w:rFonts w:hint="eastAsia" w:ascii="Times New Roman" w:hAnsi="Times New Roman" w:eastAsia="宋体" w:cs="Times New Roman"/>
                <w:bCs/>
                <w:color w:val="auto"/>
                <w:spacing w:val="-10"/>
                <w:sz w:val="24"/>
                <w:szCs w:val="24"/>
                <w:highlight w:val="none"/>
                <w:lang w:val="en-US" w:eastAsia="zh-CN"/>
              </w:rPr>
              <w:t>、装修废物和</w:t>
            </w:r>
            <w:r>
              <w:rPr>
                <w:rFonts w:hint="default" w:ascii="Times New Roman" w:hAnsi="Times New Roman" w:eastAsia="宋体" w:cs="Times New Roman"/>
                <w:bCs/>
                <w:color w:val="auto"/>
                <w:spacing w:val="-10"/>
                <w:sz w:val="24"/>
                <w:szCs w:val="24"/>
                <w:highlight w:val="none"/>
                <w:lang w:val="en-US" w:eastAsia="zh-CN"/>
              </w:rPr>
              <w:t>生活垃圾。</w:t>
            </w:r>
          </w:p>
          <w:p w14:paraId="63DB0953">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（1）</w:t>
            </w:r>
            <w:r>
              <w:rPr>
                <w:rFonts w:hint="eastAsia" w:cs="宋体"/>
                <w:color w:val="auto"/>
                <w:sz w:val="24"/>
                <w:highlight w:val="none"/>
                <w:lang w:eastAsia="zh-CN"/>
              </w:rPr>
              <w:t>拆除废弃物及建筑垃圾</w:t>
            </w:r>
          </w:p>
          <w:p w14:paraId="28693C9E">
            <w:pPr>
              <w:snapToGrid w:val="0"/>
              <w:spacing w:line="360" w:lineRule="auto"/>
              <w:ind w:firstLine="440" w:firstLineChars="200"/>
              <w:jc w:val="left"/>
              <w:rPr>
                <w:rFonts w:hint="eastAsia" w:eastAsia="宋体" w:cs="宋体"/>
                <w:color w:val="auto"/>
                <w:sz w:val="24"/>
                <w:highlight w:val="none"/>
                <w:lang w:eastAsia="zh-CN"/>
              </w:rPr>
            </w:pPr>
            <w:r>
              <w:rPr>
                <w:rFonts w:hint="eastAsia" w:cs="Times New Roman"/>
                <w:bCs/>
                <w:color w:val="auto"/>
                <w:spacing w:val="-10"/>
                <w:sz w:val="24"/>
                <w:szCs w:val="24"/>
                <w:highlight w:val="none"/>
                <w:lang w:val="en-US" w:eastAsia="zh-CN"/>
              </w:rPr>
              <w:t>本项目施工期拆除过程会产生一定量</w:t>
            </w:r>
            <w:r>
              <w:rPr>
                <w:rFonts w:hint="eastAsia" w:cs="宋体"/>
                <w:color w:val="auto"/>
                <w:sz w:val="24"/>
                <w:highlight w:val="none"/>
                <w:lang w:eastAsia="zh-CN"/>
              </w:rPr>
              <w:t>废弃物，主要为砖块、木材等，同时厂区建设过程也会产生一定量建筑垃圾（主要为废建材，</w:t>
            </w:r>
            <w:r>
              <w:rPr>
                <w:rFonts w:hint="default" w:ascii="Times New Roman" w:hAnsi="Times New Roman" w:cs="Times New Roman"/>
                <w:color w:val="auto"/>
                <w:sz w:val="24"/>
                <w:highlight w:val="none"/>
              </w:rPr>
              <w:t>包括砖块、钢筋、混凝土块、玻璃、板材、废包装材料等</w:t>
            </w:r>
            <w:r>
              <w:rPr>
                <w:rFonts w:hint="eastAsia" w:cs="宋体"/>
                <w:color w:val="auto"/>
                <w:sz w:val="24"/>
                <w:highlight w:val="none"/>
                <w:lang w:eastAsia="zh-CN"/>
              </w:rPr>
              <w:t>）。</w:t>
            </w:r>
            <w:r>
              <w:rPr>
                <w:rFonts w:hint="default" w:ascii="Times New Roman" w:hAnsi="Times New Roman" w:cs="Times New Roman"/>
                <w:color w:val="auto"/>
                <w:sz w:val="24"/>
                <w:highlight w:val="none"/>
              </w:rPr>
              <w:t>其中能够回收部分应尽量交由回收单位回收利用，</w:t>
            </w:r>
            <w:r>
              <w:rPr>
                <w:rFonts w:hint="eastAsia" w:cs="Times New Roman"/>
                <w:bCs/>
                <w:color w:val="auto"/>
                <w:spacing w:val="-10"/>
                <w:sz w:val="24"/>
                <w:szCs w:val="24"/>
                <w:highlight w:val="none"/>
                <w:lang w:val="en-US" w:eastAsia="zh-CN"/>
              </w:rPr>
              <w:t>不能回收的</w:t>
            </w:r>
            <w:r>
              <w:rPr>
                <w:rFonts w:hint="default" w:ascii="Times New Roman" w:hAnsi="Times New Roman" w:eastAsia="宋体" w:cs="Times New Roman"/>
                <w:bCs/>
                <w:color w:val="auto"/>
                <w:spacing w:val="-10"/>
                <w:sz w:val="24"/>
                <w:szCs w:val="24"/>
                <w:highlight w:val="none"/>
                <w:lang w:val="en-US" w:eastAsia="zh-CN"/>
              </w:rPr>
              <w:t>均外运至</w:t>
            </w:r>
            <w:r>
              <w:rPr>
                <w:rFonts w:hint="eastAsia" w:cs="Times New Roman"/>
                <w:bCs/>
                <w:color w:val="auto"/>
                <w:spacing w:val="-10"/>
                <w:sz w:val="24"/>
                <w:szCs w:val="24"/>
                <w:highlight w:val="none"/>
                <w:lang w:val="en-US" w:eastAsia="zh-CN"/>
              </w:rPr>
              <w:t>洋县建筑垃圾填埋场处理。</w:t>
            </w:r>
          </w:p>
          <w:p w14:paraId="5C3BF26E">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eastAsia" w:cs="Times New Roman"/>
                <w:bCs/>
                <w:color w:val="auto"/>
                <w:spacing w:val="-10"/>
                <w:sz w:val="24"/>
                <w:szCs w:val="24"/>
                <w:highlight w:val="none"/>
                <w:lang w:val="en-US" w:eastAsia="zh-CN"/>
              </w:rPr>
              <w:t>（2）</w:t>
            </w:r>
            <w:r>
              <w:rPr>
                <w:rFonts w:hint="default" w:ascii="Times New Roman" w:hAnsi="Times New Roman" w:eastAsia="宋体" w:cs="Times New Roman"/>
                <w:bCs/>
                <w:color w:val="auto"/>
                <w:spacing w:val="-10"/>
                <w:sz w:val="24"/>
                <w:szCs w:val="24"/>
                <w:highlight w:val="none"/>
                <w:lang w:val="en-US" w:eastAsia="zh-CN"/>
              </w:rPr>
              <w:t>生活垃圾</w:t>
            </w:r>
          </w:p>
          <w:p w14:paraId="5FD42459">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本项目施工人员主要为当地民工，不需要在施工场地集中安排食宿，故日常产生的生活垃圾较少，主要为烟头、香烟盒、果皮纸屑等，施工方应在场地设置垃圾桶进行分类收集，并运至附近生活垃圾收集点。</w:t>
            </w:r>
          </w:p>
          <w:p w14:paraId="574642C5">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3</w:t>
            </w:r>
            <w:r>
              <w:rPr>
                <w:rFonts w:hint="default" w:ascii="Times New Roman" w:hAnsi="Times New Roman" w:eastAsia="宋体"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装修废物</w:t>
            </w:r>
          </w:p>
          <w:p w14:paraId="7E1D9F60">
            <w:pPr>
              <w:snapToGrid w:val="0"/>
              <w:spacing w:line="360" w:lineRule="auto"/>
              <w:ind w:firstLine="48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cs="Times New Roman"/>
                <w:color w:val="auto"/>
                <w:sz w:val="24"/>
                <w:highlight w:val="none"/>
              </w:rPr>
              <w:t>目前我国市场上的装修材料中，化学建材占的比重相当大，油漆、乳胶漆、喷塑剂、</w:t>
            </w:r>
            <w:r>
              <w:rPr>
                <w:rFonts w:hint="default" w:ascii="Times New Roman" w:hAnsi="Times New Roman" w:cs="Times New Roman"/>
                <w:color w:val="auto"/>
                <w:sz w:val="24"/>
                <w:highlight w:val="none"/>
                <w:lang w:eastAsia="zh-CN"/>
              </w:rPr>
              <w:t>黏合剂</w:t>
            </w:r>
            <w:r>
              <w:rPr>
                <w:rFonts w:hint="default" w:ascii="Times New Roman" w:hAnsi="Times New Roman" w:cs="Times New Roman"/>
                <w:color w:val="auto"/>
                <w:sz w:val="24"/>
                <w:highlight w:val="none"/>
              </w:rPr>
              <w:t>、墙纸、屋顶石膏板等，一般都含有对人体有害的物质，其中油漆、乳胶漆、喷塑剂、</w:t>
            </w:r>
            <w:r>
              <w:rPr>
                <w:rFonts w:hint="default" w:ascii="Times New Roman" w:hAnsi="Times New Roman" w:cs="Times New Roman"/>
                <w:color w:val="auto"/>
                <w:sz w:val="24"/>
                <w:highlight w:val="none"/>
                <w:lang w:eastAsia="zh-CN"/>
              </w:rPr>
              <w:t>黏合剂</w:t>
            </w:r>
            <w:r>
              <w:rPr>
                <w:rFonts w:hint="default" w:ascii="Times New Roman" w:hAnsi="Times New Roman" w:cs="Times New Roman"/>
                <w:color w:val="auto"/>
                <w:sz w:val="24"/>
                <w:highlight w:val="none"/>
              </w:rPr>
              <w:t>等属于危险废物，应采用专用容器分类收集，定期交由有资质单位处理</w:t>
            </w:r>
            <w:r>
              <w:rPr>
                <w:rFonts w:hint="default" w:ascii="Times New Roman" w:hAnsi="Times New Roman" w:eastAsia="宋体" w:cs="Times New Roman"/>
                <w:bCs/>
                <w:color w:val="auto"/>
                <w:spacing w:val="-10"/>
                <w:sz w:val="24"/>
                <w:szCs w:val="24"/>
                <w:highlight w:val="none"/>
                <w:lang w:val="en-US" w:eastAsia="zh-CN"/>
              </w:rPr>
              <w:t>。</w:t>
            </w:r>
          </w:p>
          <w:p w14:paraId="529C8A2B">
            <w:pPr>
              <w:pStyle w:val="10"/>
              <w:rPr>
                <w:rFonts w:hint="default" w:ascii="Times New Roman" w:hAnsi="Times New Roman" w:eastAsia="宋体" w:cs="Times New Roman"/>
                <w:bCs/>
                <w:color w:val="auto"/>
                <w:spacing w:val="-10"/>
                <w:sz w:val="24"/>
                <w:szCs w:val="24"/>
                <w:highlight w:val="none"/>
                <w:lang w:val="en-US" w:eastAsia="zh-CN"/>
              </w:rPr>
            </w:pPr>
          </w:p>
          <w:p w14:paraId="67FEDE8B">
            <w:pPr>
              <w:rPr>
                <w:rFonts w:hint="default" w:ascii="Times New Roman" w:hAnsi="Times New Roman" w:eastAsia="宋体" w:cs="Times New Roman"/>
                <w:bCs/>
                <w:color w:val="auto"/>
                <w:spacing w:val="-10"/>
                <w:sz w:val="24"/>
                <w:szCs w:val="24"/>
                <w:highlight w:val="none"/>
                <w:lang w:val="en-US" w:eastAsia="zh-CN"/>
              </w:rPr>
            </w:pPr>
          </w:p>
          <w:p w14:paraId="5DE3DAB8">
            <w:pPr>
              <w:pStyle w:val="10"/>
              <w:rPr>
                <w:rFonts w:hint="default" w:ascii="Times New Roman" w:hAnsi="Times New Roman" w:eastAsia="宋体" w:cs="Times New Roman"/>
                <w:bCs/>
                <w:color w:val="auto"/>
                <w:spacing w:val="-10"/>
                <w:sz w:val="24"/>
                <w:szCs w:val="24"/>
                <w:highlight w:val="none"/>
                <w:lang w:val="en-US" w:eastAsia="zh-CN"/>
              </w:rPr>
            </w:pPr>
          </w:p>
          <w:p w14:paraId="1093EE78">
            <w:pPr>
              <w:rPr>
                <w:rFonts w:hint="default" w:ascii="Times New Roman" w:hAnsi="Times New Roman" w:eastAsia="宋体" w:cs="Times New Roman"/>
                <w:bCs/>
                <w:color w:val="auto"/>
                <w:spacing w:val="-10"/>
                <w:sz w:val="24"/>
                <w:szCs w:val="24"/>
                <w:highlight w:val="none"/>
                <w:lang w:val="en-US" w:eastAsia="zh-CN"/>
              </w:rPr>
            </w:pPr>
          </w:p>
          <w:p w14:paraId="45A7FCA5">
            <w:pPr>
              <w:pStyle w:val="45"/>
              <w:ind w:left="0" w:leftChars="0" w:firstLine="0" w:firstLineChars="0"/>
              <w:rPr>
                <w:rFonts w:hint="default"/>
                <w:color w:val="auto"/>
                <w:highlight w:val="none"/>
                <w:lang w:val="en-US" w:eastAsia="zh-CN"/>
              </w:rPr>
            </w:pPr>
          </w:p>
        </w:tc>
      </w:tr>
      <w:tr w14:paraId="5E99D5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72" w:hRule="atLeast"/>
        </w:trPr>
        <w:tc>
          <w:tcPr>
            <w:tcW w:w="746" w:type="dxa"/>
            <w:noWrap w:val="0"/>
            <w:tcMar>
              <w:left w:w="28" w:type="dxa"/>
              <w:right w:w="28" w:type="dxa"/>
            </w:tcMar>
            <w:vAlign w:val="center"/>
          </w:tcPr>
          <w:p w14:paraId="5DC2D430">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运营</w:t>
            </w:r>
          </w:p>
          <w:p w14:paraId="7DB6F187">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期环</w:t>
            </w:r>
          </w:p>
          <w:p w14:paraId="4C3FB257">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境影</w:t>
            </w:r>
          </w:p>
          <w:p w14:paraId="7A29ED1C">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响和</w:t>
            </w:r>
          </w:p>
          <w:p w14:paraId="7843A399">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保护</w:t>
            </w:r>
          </w:p>
          <w:p w14:paraId="4F7C50A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 w:val="24"/>
                <w:szCs w:val="24"/>
                <w:highlight w:val="none"/>
              </w:rPr>
              <w:t>措施</w:t>
            </w:r>
          </w:p>
        </w:tc>
        <w:tc>
          <w:tcPr>
            <w:tcW w:w="8107" w:type="dxa"/>
            <w:noWrap w:val="0"/>
            <w:vAlign w:val="center"/>
          </w:tcPr>
          <w:p w14:paraId="77B562B9">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一、</w:t>
            </w:r>
            <w:r>
              <w:rPr>
                <w:rFonts w:hint="default" w:ascii="Times New Roman" w:hAnsi="Times New Roman" w:cs="Times New Roman"/>
                <w:b/>
                <w:bCs/>
                <w:color w:val="auto"/>
                <w:sz w:val="24"/>
                <w:szCs w:val="24"/>
                <w:highlight w:val="none"/>
                <w:lang w:val="en-US" w:eastAsia="zh-CN"/>
              </w:rPr>
              <w:t>废气</w:t>
            </w:r>
          </w:p>
          <w:p w14:paraId="5AF232B7">
            <w:pPr>
              <w:pStyle w:val="3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b w:val="0"/>
                <w:bCs w:val="0"/>
                <w:color w:val="auto"/>
                <w:sz w:val="24"/>
                <w:highlight w:val="none"/>
                <w:lang w:eastAsia="zh-CN"/>
              </w:rPr>
            </w:pPr>
            <w:r>
              <w:rPr>
                <w:rFonts w:hint="default" w:ascii="Times New Roman" w:hAnsi="Times New Roman" w:cs="Times New Roman"/>
                <w:b w:val="0"/>
                <w:bCs w:val="0"/>
                <w:color w:val="auto"/>
                <w:sz w:val="24"/>
                <w:highlight w:val="none"/>
                <w:lang w:eastAsia="zh-CN"/>
              </w:rPr>
              <w:t>根据工程分析，</w:t>
            </w:r>
            <w:r>
              <w:rPr>
                <w:rFonts w:hint="eastAsia" w:ascii="Times New Roman" w:hAnsi="Times New Roman" w:cs="Times New Roman"/>
                <w:b w:val="0"/>
                <w:bCs w:val="0"/>
                <w:color w:val="auto"/>
                <w:sz w:val="24"/>
                <w:highlight w:val="none"/>
                <w:lang w:eastAsia="zh-CN"/>
              </w:rPr>
              <w:t>本项目</w:t>
            </w:r>
            <w:r>
              <w:rPr>
                <w:rFonts w:hint="default" w:ascii="Times New Roman" w:hAnsi="Times New Roman" w:cs="Times New Roman"/>
                <w:b w:val="0"/>
                <w:bCs w:val="0"/>
                <w:color w:val="auto"/>
                <w:sz w:val="24"/>
                <w:highlight w:val="none"/>
                <w:lang w:eastAsia="zh-CN"/>
              </w:rPr>
              <w:t>运营期废气</w:t>
            </w:r>
            <w:r>
              <w:rPr>
                <w:rFonts w:hint="eastAsia" w:ascii="Times New Roman" w:hAnsi="Times New Roman" w:cs="Times New Roman"/>
                <w:b w:val="0"/>
                <w:bCs w:val="0"/>
                <w:color w:val="auto"/>
                <w:sz w:val="24"/>
                <w:highlight w:val="none"/>
                <w:lang w:eastAsia="zh-CN"/>
              </w:rPr>
              <w:t>为恶臭、食堂油烟及</w:t>
            </w:r>
            <w:r>
              <w:rPr>
                <w:rFonts w:hint="default" w:ascii="Times New Roman" w:hAnsi="Times New Roman" w:cs="Times New Roman"/>
                <w:b w:val="0"/>
                <w:bCs w:val="0"/>
                <w:color w:val="auto"/>
                <w:sz w:val="24"/>
                <w:highlight w:val="none"/>
                <w:lang w:eastAsia="zh-CN"/>
              </w:rPr>
              <w:t>发电机燃油废气</w:t>
            </w:r>
            <w:r>
              <w:rPr>
                <w:rFonts w:hint="eastAsia" w:ascii="Times New Roman" w:hAnsi="Times New Roman" w:cs="Times New Roman"/>
                <w:b w:val="0"/>
                <w:bCs w:val="0"/>
                <w:color w:val="auto"/>
                <w:sz w:val="24"/>
                <w:highlight w:val="none"/>
                <w:lang w:eastAsia="zh-CN"/>
              </w:rPr>
              <w:t>。</w:t>
            </w:r>
          </w:p>
          <w:p w14:paraId="45320D93">
            <w:pPr>
              <w:pStyle w:val="3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1、恶臭</w:t>
            </w:r>
          </w:p>
          <w:p w14:paraId="48D27457">
            <w:pPr>
              <w:pStyle w:val="3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cs="Times New Roman"/>
                <w:b w:val="0"/>
                <w:bCs w:val="0"/>
                <w:color w:val="auto"/>
                <w:sz w:val="24"/>
                <w:highlight w:val="none"/>
                <w:lang w:eastAsia="zh-CN"/>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1</w:t>
            </w:r>
            <w:r>
              <w:rPr>
                <w:rFonts w:hint="default" w:ascii="Times New Roman" w:hAnsi="Times New Roman" w:cs="Times New Roman"/>
                <w:b w:val="0"/>
                <w:bCs w:val="0"/>
                <w:color w:val="auto"/>
                <w:sz w:val="24"/>
                <w:highlight w:val="none"/>
                <w:lang w:eastAsia="zh-CN"/>
              </w:rPr>
              <w:t>）源强核算</w:t>
            </w:r>
          </w:p>
          <w:p w14:paraId="72B3F427">
            <w:pPr>
              <w:pStyle w:val="3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本项目污水处理</w:t>
            </w:r>
            <w:r>
              <w:rPr>
                <w:rFonts w:hint="eastAsia" w:ascii="Times New Roman" w:hAnsi="Times New Roman" w:cs="Times New Roman"/>
                <w:color w:val="auto"/>
                <w:sz w:val="24"/>
                <w:highlight w:val="none"/>
                <w:lang w:eastAsia="zh-CN"/>
              </w:rPr>
              <w:t>厂</w:t>
            </w:r>
            <w:r>
              <w:rPr>
                <w:rFonts w:hint="default" w:ascii="Times New Roman" w:hAnsi="Times New Roman" w:cs="Times New Roman"/>
                <w:color w:val="auto"/>
                <w:sz w:val="24"/>
                <w:highlight w:val="none"/>
              </w:rPr>
              <w:t>运行时会产生少量恶臭气体，主要来自调节池、生化池、沉淀池、消毒池等装置，产生的恶臭气体主要成分为H</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S、NH</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w:t>
            </w:r>
          </w:p>
          <w:p w14:paraId="1CFB776A">
            <w:pPr>
              <w:adjustRightInd w:val="0"/>
              <w:snapToGrid w:val="0"/>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eastAsia="zh-CN"/>
              </w:rPr>
              <w:t>根据美国EPA对污水处理恶臭污染物产生情况的研究，每处理1gBOD</w:t>
            </w:r>
            <w:r>
              <w:rPr>
                <w:rFonts w:hint="default" w:ascii="Times New Roman" w:hAnsi="Times New Roman" w:cs="Times New Roman"/>
                <w:color w:val="auto"/>
                <w:sz w:val="24"/>
                <w:highlight w:val="none"/>
                <w:vertAlign w:val="subscript"/>
                <w:lang w:eastAsia="zh-CN"/>
              </w:rPr>
              <w:t>5</w:t>
            </w:r>
            <w:r>
              <w:rPr>
                <w:rFonts w:hint="default" w:ascii="Times New Roman" w:hAnsi="Times New Roman" w:cs="Times New Roman"/>
                <w:color w:val="auto"/>
                <w:sz w:val="24"/>
                <w:highlight w:val="none"/>
                <w:lang w:eastAsia="zh-CN"/>
              </w:rPr>
              <w:t>可产生0.0031g的NH</w:t>
            </w:r>
            <w:r>
              <w:rPr>
                <w:rFonts w:hint="default" w:ascii="Times New Roman" w:hAnsi="Times New Roman" w:cs="Times New Roman"/>
                <w:color w:val="auto"/>
                <w:sz w:val="24"/>
                <w:highlight w:val="none"/>
                <w:vertAlign w:val="subscript"/>
                <w:lang w:eastAsia="zh-CN"/>
              </w:rPr>
              <w:t>3</w:t>
            </w:r>
            <w:r>
              <w:rPr>
                <w:rFonts w:hint="default" w:ascii="Times New Roman" w:hAnsi="Times New Roman" w:cs="Times New Roman"/>
                <w:color w:val="auto"/>
                <w:sz w:val="24"/>
                <w:highlight w:val="none"/>
                <w:lang w:eastAsia="zh-CN"/>
              </w:rPr>
              <w:t>、0.00012g的H</w:t>
            </w:r>
            <w:r>
              <w:rPr>
                <w:rFonts w:hint="default" w:ascii="Times New Roman" w:hAnsi="Times New Roman" w:cs="Times New Roman"/>
                <w:color w:val="auto"/>
                <w:sz w:val="24"/>
                <w:highlight w:val="none"/>
                <w:vertAlign w:val="subscript"/>
                <w:lang w:eastAsia="zh-CN"/>
              </w:rPr>
              <w:t>2</w:t>
            </w:r>
            <w:r>
              <w:rPr>
                <w:rFonts w:hint="default" w:ascii="Times New Roman" w:hAnsi="Times New Roman" w:cs="Times New Roman"/>
                <w:color w:val="auto"/>
                <w:sz w:val="24"/>
                <w:highlight w:val="none"/>
                <w:lang w:eastAsia="zh-CN"/>
              </w:rPr>
              <w:t>S。根据表4-1可知，BOD</w:t>
            </w:r>
            <w:r>
              <w:rPr>
                <w:rFonts w:hint="default" w:ascii="Times New Roman" w:hAnsi="Times New Roman" w:cs="Times New Roman"/>
                <w:color w:val="auto"/>
                <w:sz w:val="24"/>
                <w:highlight w:val="none"/>
                <w:vertAlign w:val="subscript"/>
                <w:lang w:eastAsia="zh-CN"/>
              </w:rPr>
              <w:t>5</w:t>
            </w:r>
            <w:r>
              <w:rPr>
                <w:rFonts w:hint="default" w:ascii="Times New Roman" w:hAnsi="Times New Roman" w:cs="Times New Roman"/>
                <w:color w:val="auto"/>
                <w:sz w:val="24"/>
                <w:highlight w:val="none"/>
                <w:lang w:eastAsia="zh-CN"/>
              </w:rPr>
              <w:t>进水浓度</w:t>
            </w:r>
            <w:r>
              <w:rPr>
                <w:rFonts w:hint="eastAsia" w:cs="Times New Roman"/>
                <w:color w:val="auto"/>
                <w:sz w:val="24"/>
                <w:highlight w:val="none"/>
                <w:lang w:eastAsia="zh-CN"/>
              </w:rPr>
              <w:t>为</w:t>
            </w:r>
            <w:r>
              <w:rPr>
                <w:rFonts w:hint="eastAsia" w:cs="Times New Roman"/>
                <w:color w:val="auto"/>
                <w:sz w:val="24"/>
                <w:highlight w:val="none"/>
                <w:lang w:val="en-US" w:eastAsia="zh-CN"/>
              </w:rPr>
              <w:t>250</w:t>
            </w:r>
            <w:r>
              <w:rPr>
                <w:rFonts w:hint="default" w:ascii="Times New Roman" w:hAnsi="Times New Roman" w:cs="Times New Roman"/>
                <w:color w:val="auto"/>
                <w:sz w:val="24"/>
                <w:highlight w:val="none"/>
                <w:lang w:eastAsia="zh-CN"/>
              </w:rPr>
              <w:t>mg/L、BOD</w:t>
            </w:r>
            <w:r>
              <w:rPr>
                <w:rFonts w:hint="default" w:ascii="Times New Roman" w:hAnsi="Times New Roman" w:cs="Times New Roman"/>
                <w:color w:val="auto"/>
                <w:sz w:val="24"/>
                <w:highlight w:val="none"/>
                <w:vertAlign w:val="subscript"/>
                <w:lang w:eastAsia="zh-CN"/>
              </w:rPr>
              <w:t>5</w:t>
            </w:r>
            <w:r>
              <w:rPr>
                <w:rFonts w:hint="default" w:ascii="Times New Roman" w:hAnsi="Times New Roman" w:cs="Times New Roman"/>
                <w:color w:val="auto"/>
                <w:sz w:val="24"/>
                <w:highlight w:val="none"/>
                <w:lang w:eastAsia="zh-CN"/>
              </w:rPr>
              <w:t>出水浓度</w:t>
            </w:r>
            <w:r>
              <w:rPr>
                <w:rFonts w:hint="eastAsia" w:cs="Times New Roman"/>
                <w:color w:val="auto"/>
                <w:sz w:val="24"/>
                <w:highlight w:val="none"/>
                <w:lang w:eastAsia="zh-CN"/>
              </w:rPr>
              <w:t>为</w:t>
            </w:r>
            <w:r>
              <w:rPr>
                <w:rFonts w:hint="default" w:ascii="Times New Roman" w:hAnsi="Times New Roman" w:cs="Times New Roman"/>
                <w:color w:val="auto"/>
                <w:sz w:val="24"/>
                <w:highlight w:val="none"/>
                <w:lang w:eastAsia="zh-CN"/>
              </w:rPr>
              <w:t>10mg/L，</w:t>
            </w:r>
            <w:r>
              <w:rPr>
                <w:rFonts w:hint="eastAsia" w:cs="Times New Roman"/>
                <w:color w:val="auto"/>
                <w:sz w:val="24"/>
                <w:highlight w:val="none"/>
                <w:lang w:eastAsia="zh-CN"/>
              </w:rPr>
              <w:t>则削减量为</w:t>
            </w:r>
            <w:r>
              <w:rPr>
                <w:rFonts w:hint="eastAsia" w:cs="Times New Roman"/>
                <w:color w:val="auto"/>
                <w:sz w:val="24"/>
                <w:highlight w:val="none"/>
                <w:lang w:val="en-US" w:eastAsia="zh-CN"/>
              </w:rPr>
              <w:t>240</w:t>
            </w:r>
            <w:r>
              <w:rPr>
                <w:rFonts w:hint="default" w:ascii="Times New Roman" w:hAnsi="Times New Roman" w:cs="Times New Roman"/>
                <w:color w:val="auto"/>
                <w:sz w:val="24"/>
                <w:highlight w:val="none"/>
                <w:lang w:eastAsia="zh-CN"/>
              </w:rPr>
              <w:t>mg/L</w:t>
            </w:r>
            <w:r>
              <w:rPr>
                <w:rFonts w:hint="eastAsia" w:ascii="Times New Roman" w:hAnsi="Times New Roman" w:cs="Times New Roman"/>
                <w:color w:val="auto"/>
                <w:sz w:val="24"/>
                <w:highlight w:val="none"/>
                <w:lang w:eastAsia="zh-CN"/>
              </w:rPr>
              <w:t>，结合处理规模</w:t>
            </w:r>
            <w:r>
              <w:rPr>
                <w:rFonts w:hint="eastAsia" w:ascii="Times New Roman" w:hAnsi="Times New Roman" w:cs="Times New Roman"/>
                <w:color w:val="auto"/>
                <w:sz w:val="24"/>
                <w:highlight w:val="none"/>
                <w:lang w:val="en-US" w:eastAsia="zh-CN"/>
              </w:rPr>
              <w:t>1500m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/d综合计算可知，</w:t>
            </w:r>
            <w:r>
              <w:rPr>
                <w:rFonts w:hint="default" w:ascii="Times New Roman" w:hAnsi="Times New Roman" w:cs="Times New Roman"/>
                <w:color w:val="auto"/>
                <w:sz w:val="24"/>
                <w:highlight w:val="none"/>
                <w:lang w:eastAsia="zh-CN"/>
              </w:rPr>
              <w:t>NH</w:t>
            </w:r>
            <w:r>
              <w:rPr>
                <w:rFonts w:hint="default" w:ascii="Times New Roman" w:hAnsi="Times New Roman" w:cs="Times New Roman"/>
                <w:color w:val="auto"/>
                <w:sz w:val="24"/>
                <w:highlight w:val="none"/>
                <w:vertAlign w:val="subscript"/>
                <w:lang w:eastAsia="zh-CN"/>
              </w:rPr>
              <w:t>3</w:t>
            </w:r>
            <w:r>
              <w:rPr>
                <w:rFonts w:hint="default" w:ascii="Times New Roman" w:hAnsi="Times New Roman" w:cs="Times New Roman"/>
                <w:color w:val="auto"/>
                <w:sz w:val="24"/>
                <w:highlight w:val="none"/>
                <w:lang w:eastAsia="zh-CN"/>
              </w:rPr>
              <w:t>产生量为</w:t>
            </w:r>
            <w:r>
              <w:rPr>
                <w:rFonts w:hint="eastAsia" w:ascii="Times New Roman" w:hAnsi="Times New Roman" w:cs="Times New Roman"/>
                <w:color w:val="auto"/>
                <w:sz w:val="24"/>
                <w:highlight w:val="none"/>
                <w:lang w:val="en-US" w:eastAsia="zh-CN"/>
              </w:rPr>
              <w:t>1.116</w:t>
            </w:r>
            <w:r>
              <w:rPr>
                <w:rFonts w:hint="default" w:ascii="Times New Roman" w:hAnsi="Times New Roman" w:cs="Times New Roman"/>
                <w:color w:val="auto"/>
                <w:sz w:val="24"/>
                <w:highlight w:val="none"/>
                <w:lang w:eastAsia="zh-CN"/>
              </w:rPr>
              <w:t>kg/</w:t>
            </w:r>
            <w:r>
              <w:rPr>
                <w:rFonts w:hint="eastAsia" w:ascii="Times New Roman" w:hAnsi="Times New Roman" w:cs="Times New Roman"/>
                <w:color w:val="auto"/>
                <w:sz w:val="24"/>
                <w:highlight w:val="none"/>
                <w:lang w:val="en-US" w:eastAsia="zh-CN"/>
              </w:rPr>
              <w:t>d（0.407t/a）</w:t>
            </w:r>
            <w:r>
              <w:rPr>
                <w:rFonts w:hint="default" w:ascii="Times New Roman" w:hAnsi="Times New Roman" w:cs="Times New Roman"/>
                <w:color w:val="auto"/>
                <w:sz w:val="24"/>
                <w:highlight w:val="none"/>
                <w:lang w:eastAsia="zh-CN"/>
              </w:rPr>
              <w:t>、H</w:t>
            </w:r>
            <w:r>
              <w:rPr>
                <w:rFonts w:hint="default" w:ascii="Times New Roman" w:hAnsi="Times New Roman" w:cs="Times New Roman"/>
                <w:color w:val="auto"/>
                <w:sz w:val="24"/>
                <w:highlight w:val="none"/>
                <w:vertAlign w:val="subscript"/>
                <w:lang w:eastAsia="zh-CN"/>
              </w:rPr>
              <w:t>2</w:t>
            </w:r>
            <w:r>
              <w:rPr>
                <w:rFonts w:hint="default" w:ascii="Times New Roman" w:hAnsi="Times New Roman" w:cs="Times New Roman"/>
                <w:color w:val="auto"/>
                <w:sz w:val="24"/>
                <w:highlight w:val="none"/>
                <w:lang w:eastAsia="zh-CN"/>
              </w:rPr>
              <w:t>S产生量为</w:t>
            </w:r>
            <w:r>
              <w:rPr>
                <w:rFonts w:hint="eastAsia" w:ascii="Times New Roman" w:hAnsi="Times New Roman" w:cs="Times New Roman"/>
                <w:color w:val="auto"/>
                <w:sz w:val="24"/>
                <w:highlight w:val="none"/>
                <w:lang w:val="en-US" w:eastAsia="zh-CN"/>
              </w:rPr>
              <w:t>0.043</w:t>
            </w:r>
            <w:r>
              <w:rPr>
                <w:rFonts w:hint="default" w:ascii="Times New Roman" w:hAnsi="Times New Roman" w:cs="Times New Roman"/>
                <w:color w:val="auto"/>
                <w:sz w:val="24"/>
                <w:highlight w:val="none"/>
                <w:lang w:eastAsia="zh-CN"/>
              </w:rPr>
              <w:t>kg/</w:t>
            </w:r>
            <w:r>
              <w:rPr>
                <w:rFonts w:hint="eastAsia" w:ascii="Times New Roman" w:hAnsi="Times New Roman" w:cs="Times New Roman"/>
                <w:color w:val="auto"/>
                <w:sz w:val="24"/>
                <w:highlight w:val="none"/>
                <w:lang w:val="en-US" w:eastAsia="zh-CN"/>
              </w:rPr>
              <w:t>d（0.0157t/a）</w:t>
            </w:r>
            <w:r>
              <w:rPr>
                <w:rFonts w:hint="default" w:ascii="Times New Roman" w:hAnsi="Times New Roman" w:cs="Times New Roman"/>
                <w:color w:val="auto"/>
                <w:sz w:val="24"/>
                <w:highlight w:val="none"/>
                <w:lang w:eastAsia="zh-CN"/>
              </w:rPr>
              <w:t>。</w:t>
            </w:r>
          </w:p>
          <w:p w14:paraId="5FD41F56">
            <w:pPr>
              <w:adjustRightInd w:val="0"/>
              <w:snapToGrid w:val="0"/>
              <w:spacing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2</w:t>
            </w: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治理措施及排放情况</w:t>
            </w:r>
          </w:p>
          <w:p w14:paraId="0088CEF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根据项目设计资料，</w:t>
            </w:r>
            <w:r>
              <w:rPr>
                <w:rFonts w:hint="eastAsia" w:cs="Times New Roman"/>
                <w:color w:val="auto"/>
                <w:sz w:val="24"/>
                <w:highlight w:val="none"/>
                <w:lang w:val="en-US" w:eastAsia="zh-CN"/>
              </w:rPr>
              <w:t>本项目恶臭</w:t>
            </w:r>
            <w:r>
              <w:rPr>
                <w:rFonts w:hint="default" w:ascii="Times New Roman" w:hAnsi="Times New Roman" w:cs="Times New Roman"/>
                <w:color w:val="auto"/>
                <w:sz w:val="24"/>
                <w:highlight w:val="none"/>
                <w:lang w:val="en-US" w:eastAsia="zh-CN"/>
              </w:rPr>
              <w:t>收集范围包括预处理间、厌氧池、缺氧池、污泥处理系统</w:t>
            </w:r>
            <w:r>
              <w:rPr>
                <w:rFonts w:hint="eastAsia" w:cs="Times New Roman"/>
                <w:color w:val="auto"/>
                <w:sz w:val="24"/>
                <w:highlight w:val="none"/>
                <w:lang w:val="en-US" w:eastAsia="zh-CN"/>
              </w:rPr>
              <w:t>等产臭单元，</w:t>
            </w:r>
            <w:r>
              <w:rPr>
                <w:rFonts w:hint="default" w:ascii="Times New Roman" w:hAnsi="Times New Roman" w:cs="Times New Roman"/>
                <w:color w:val="auto"/>
                <w:sz w:val="24"/>
                <w:highlight w:val="none"/>
                <w:lang w:val="en-US" w:eastAsia="zh-CN"/>
              </w:rPr>
              <w:t>收集方式采用玻璃钢密封+管道负压收集</w:t>
            </w:r>
            <w:r>
              <w:rPr>
                <w:rFonts w:hint="eastAsia" w:cs="Times New Roman"/>
                <w:color w:val="auto"/>
                <w:sz w:val="24"/>
                <w:highlight w:val="none"/>
                <w:lang w:val="en-US" w:eastAsia="zh-CN"/>
              </w:rPr>
              <w:t>，收集后的恶臭经活性氧离子法处理后经15m高排气筒排放。</w:t>
            </w:r>
            <w:r>
              <w:rPr>
                <w:rFonts w:hint="eastAsia" w:cs="Times New Roman"/>
                <w:color w:val="auto"/>
                <w:sz w:val="24"/>
                <w:highlight w:val="none"/>
                <w:lang w:val="en-US" w:eastAsia="zh-CN"/>
              </w:rPr>
              <w:t>根据《活性氧离子除臭技术在黄石市慈湖污水处理厂中的应用》（中国市政工程中南设计研究总院，湖北武汉，李国洪）、《污水处理厂恶臭污染物控制技术》（中国船舶重工集团公司第七一八研究所，河北邯郸，王彬林，刘家勇）</w:t>
            </w:r>
            <w:r>
              <w:rPr>
                <w:rFonts w:hint="eastAsia"/>
                <w:color w:val="auto"/>
                <w:sz w:val="24"/>
                <w:highlight w:val="none"/>
                <w:lang w:eastAsia="zh-CN"/>
              </w:rPr>
              <w:t>研究成果，并</w:t>
            </w:r>
            <w:r>
              <w:rPr>
                <w:rFonts w:hint="eastAsia" w:cs="Times New Roman"/>
                <w:color w:val="auto"/>
                <w:sz w:val="24"/>
                <w:highlight w:val="none"/>
                <w:lang w:val="en-US" w:eastAsia="zh-CN"/>
              </w:rPr>
              <w:t>与设计及设备供货方核实，</w:t>
            </w:r>
            <w:r>
              <w:rPr>
                <w:rFonts w:hint="eastAsia" w:cs="Times New Roman"/>
                <w:color w:val="auto"/>
                <w:sz w:val="24"/>
                <w:highlight w:val="none"/>
                <w:lang w:val="en-US" w:eastAsia="zh-CN"/>
              </w:rPr>
              <w:t>本次采用的恶臭处理措施效率为85%，收集率为90%，恶臭产生及排放情况见下表：</w:t>
            </w:r>
          </w:p>
          <w:p w14:paraId="259CF902">
            <w:pPr>
              <w:pStyle w:val="102"/>
              <w:spacing w:before="0" w:line="240" w:lineRule="auto"/>
              <w:ind w:firstLine="420"/>
              <w:rPr>
                <w:rFonts w:ascii="Times New Roman"/>
                <w:b/>
                <w:bCs/>
                <w:color w:val="auto"/>
                <w:sz w:val="21"/>
                <w:szCs w:val="21"/>
                <w:highlight w:val="none"/>
              </w:rPr>
            </w:pPr>
            <w:r>
              <w:rPr>
                <w:rFonts w:ascii="Times New Roman"/>
                <w:b/>
                <w:bCs/>
                <w:color w:val="auto"/>
                <w:sz w:val="21"/>
                <w:szCs w:val="21"/>
                <w:highlight w:val="none"/>
              </w:rPr>
              <w:t>表4-</w:t>
            </w:r>
            <w:r>
              <w:rPr>
                <w:rFonts w:hint="eastAsia" w:ascii="Times New Roman"/>
                <w:b/>
                <w:bCs/>
                <w:color w:val="auto"/>
                <w:sz w:val="21"/>
                <w:szCs w:val="21"/>
                <w:highlight w:val="none"/>
                <w:lang w:val="en-US" w:eastAsia="zh-CN"/>
              </w:rPr>
              <w:t>1</w:t>
            </w:r>
            <w:r>
              <w:rPr>
                <w:rFonts w:ascii="Times New Roman"/>
                <w:b/>
                <w:bCs/>
                <w:color w:val="auto"/>
                <w:sz w:val="21"/>
                <w:szCs w:val="21"/>
                <w:highlight w:val="none"/>
              </w:rPr>
              <w:t xml:space="preserve">  </w:t>
            </w:r>
            <w:r>
              <w:rPr>
                <w:rFonts w:hint="eastAsia" w:ascii="Times New Roman"/>
                <w:b/>
                <w:bCs/>
                <w:color w:val="auto"/>
                <w:sz w:val="21"/>
                <w:szCs w:val="21"/>
                <w:highlight w:val="none"/>
                <w:lang w:eastAsia="zh-CN"/>
              </w:rPr>
              <w:t>恶臭产排情况</w:t>
            </w:r>
            <w:r>
              <w:rPr>
                <w:rFonts w:ascii="Times New Roman"/>
                <w:b/>
                <w:bCs/>
                <w:color w:val="auto"/>
                <w:sz w:val="21"/>
                <w:szCs w:val="21"/>
                <w:highlight w:val="none"/>
              </w:rPr>
              <w:t>一览表</w:t>
            </w:r>
          </w:p>
          <w:tbl>
            <w:tblPr>
              <w:tblStyle w:val="31"/>
              <w:tblW w:w="800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40"/>
              <w:gridCol w:w="940"/>
              <w:gridCol w:w="1026"/>
              <w:gridCol w:w="1084"/>
              <w:gridCol w:w="1277"/>
              <w:gridCol w:w="1367"/>
              <w:gridCol w:w="1372"/>
            </w:tblGrid>
            <w:tr w14:paraId="191070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3" w:hRule="atLeast"/>
                <w:jc w:val="center"/>
              </w:trPr>
              <w:tc>
                <w:tcPr>
                  <w:tcW w:w="940" w:type="dxa"/>
                  <w:noWrap w:val="0"/>
                  <w:vAlign w:val="center"/>
                </w:tcPr>
                <w:p w14:paraId="5D4D9A6F">
                  <w:pPr>
                    <w:pStyle w:val="68"/>
                    <w:snapToGrid w:val="0"/>
                    <w:jc w:val="center"/>
                    <w:rPr>
                      <w:rFonts w:hint="eastAsia" w:ascii="Times New Roman" w:hAnsi="Calibri" w:cs="Times New Roman"/>
                      <w:b w:val="0"/>
                      <w:bCs/>
                      <w:color w:val="auto"/>
                      <w:sz w:val="21"/>
                      <w:szCs w:val="21"/>
                      <w:highlight w:val="none"/>
                    </w:rPr>
                  </w:pPr>
                  <w:r>
                    <w:rPr>
                      <w:rFonts w:hint="eastAsia" w:ascii="Times New Roman" w:hAnsi="Calibri" w:cs="Times New Roman"/>
                      <w:b w:val="0"/>
                      <w:bCs/>
                      <w:color w:val="auto"/>
                      <w:sz w:val="21"/>
                      <w:szCs w:val="21"/>
                      <w:highlight w:val="none"/>
                    </w:rPr>
                    <w:t>污染物</w:t>
                  </w:r>
                </w:p>
              </w:tc>
              <w:tc>
                <w:tcPr>
                  <w:tcW w:w="940" w:type="dxa"/>
                  <w:noWrap w:val="0"/>
                  <w:vAlign w:val="center"/>
                </w:tcPr>
                <w:p w14:paraId="0CEB740D">
                  <w:pPr>
                    <w:pStyle w:val="68"/>
                    <w:snapToGrid w:val="0"/>
                    <w:jc w:val="center"/>
                    <w:rPr>
                      <w:rFonts w:ascii="Times New Roman" w:hAnsi="Calibri" w:cs="Times New Roman"/>
                      <w:b w:val="0"/>
                      <w:bCs/>
                      <w:color w:val="auto"/>
                      <w:sz w:val="21"/>
                      <w:szCs w:val="21"/>
                      <w:highlight w:val="none"/>
                    </w:rPr>
                  </w:pPr>
                  <w:r>
                    <w:rPr>
                      <w:rFonts w:hint="eastAsia" w:ascii="Times New Roman" w:hAnsi="Calibri" w:cs="Times New Roman"/>
                      <w:b w:val="0"/>
                      <w:bCs/>
                      <w:color w:val="auto"/>
                      <w:sz w:val="21"/>
                      <w:szCs w:val="21"/>
                      <w:highlight w:val="none"/>
                    </w:rPr>
                    <w:t>产生量（</w:t>
                  </w:r>
                  <w:r>
                    <w:rPr>
                      <w:rFonts w:hint="eastAsia" w:ascii="Times New Roman" w:hAnsi="Calibri" w:cs="Times New Roman"/>
                      <w:b w:val="0"/>
                      <w:bCs/>
                      <w:color w:val="auto"/>
                      <w:sz w:val="21"/>
                      <w:szCs w:val="21"/>
                      <w:highlight w:val="none"/>
                      <w:lang w:val="en-US" w:eastAsia="zh-CN"/>
                    </w:rPr>
                    <w:t>t</w:t>
                  </w:r>
                  <w:r>
                    <w:rPr>
                      <w:rFonts w:hint="eastAsia" w:ascii="Times New Roman" w:hAnsi="Calibri" w:cs="Times New Roman"/>
                      <w:b w:val="0"/>
                      <w:bCs/>
                      <w:color w:val="auto"/>
                      <w:sz w:val="21"/>
                      <w:szCs w:val="21"/>
                      <w:highlight w:val="none"/>
                    </w:rPr>
                    <w:t>/a）</w:t>
                  </w:r>
                </w:p>
              </w:tc>
              <w:tc>
                <w:tcPr>
                  <w:tcW w:w="1026" w:type="dxa"/>
                  <w:noWrap w:val="0"/>
                  <w:vAlign w:val="center"/>
                </w:tcPr>
                <w:p w14:paraId="505A6C4A">
                  <w:pPr>
                    <w:pStyle w:val="68"/>
                    <w:snapToGrid w:val="0"/>
                    <w:jc w:val="center"/>
                    <w:rPr>
                      <w:rFonts w:hint="eastAsia" w:ascii="Times New Roman" w:hAnsi="Calibri" w:cs="Times New Roman"/>
                      <w:b w:val="0"/>
                      <w:bCs/>
                      <w:color w:val="auto"/>
                      <w:sz w:val="21"/>
                      <w:szCs w:val="21"/>
                      <w:highlight w:val="none"/>
                    </w:rPr>
                  </w:pPr>
                  <w:r>
                    <w:rPr>
                      <w:rFonts w:hint="eastAsia" w:ascii="Times New Roman" w:hAnsi="Calibri" w:cs="Times New Roman"/>
                      <w:b w:val="0"/>
                      <w:bCs/>
                      <w:color w:val="auto"/>
                      <w:sz w:val="21"/>
                      <w:szCs w:val="21"/>
                      <w:highlight w:val="none"/>
                    </w:rPr>
                    <w:t>收集效率（%）</w:t>
                  </w:r>
                </w:p>
              </w:tc>
              <w:tc>
                <w:tcPr>
                  <w:tcW w:w="1084" w:type="dxa"/>
                  <w:noWrap w:val="0"/>
                  <w:vAlign w:val="center"/>
                </w:tcPr>
                <w:p w14:paraId="6D59EF84">
                  <w:pPr>
                    <w:pStyle w:val="68"/>
                    <w:snapToGrid w:val="0"/>
                    <w:jc w:val="center"/>
                    <w:rPr>
                      <w:rFonts w:ascii="Times New Roman" w:hAnsi="Calibri" w:cs="Times New Roman"/>
                      <w:b w:val="0"/>
                      <w:bCs/>
                      <w:color w:val="auto"/>
                      <w:sz w:val="21"/>
                      <w:szCs w:val="21"/>
                      <w:highlight w:val="none"/>
                    </w:rPr>
                  </w:pPr>
                  <w:r>
                    <w:rPr>
                      <w:rFonts w:hint="eastAsia" w:ascii="Times New Roman" w:hAnsi="Calibri" w:cs="Times New Roman"/>
                      <w:b w:val="0"/>
                      <w:bCs/>
                      <w:color w:val="auto"/>
                      <w:sz w:val="21"/>
                      <w:szCs w:val="21"/>
                      <w:highlight w:val="none"/>
                    </w:rPr>
                    <w:t>处理效率（%）</w:t>
                  </w:r>
                </w:p>
              </w:tc>
              <w:tc>
                <w:tcPr>
                  <w:tcW w:w="1277" w:type="dxa"/>
                  <w:tcBorders>
                    <w:right w:val="single" w:color="auto" w:sz="4" w:space="0"/>
                  </w:tcBorders>
                  <w:noWrap w:val="0"/>
                  <w:vAlign w:val="center"/>
                </w:tcPr>
                <w:p w14:paraId="16849C73">
                  <w:pPr>
                    <w:pStyle w:val="68"/>
                    <w:snapToGrid w:val="0"/>
                    <w:jc w:val="center"/>
                    <w:rPr>
                      <w:rFonts w:hint="eastAsia" w:ascii="Times New Roman" w:hAnsi="Calibri" w:cs="Times New Roman"/>
                      <w:b w:val="0"/>
                      <w:bCs/>
                      <w:color w:val="auto"/>
                      <w:sz w:val="21"/>
                      <w:szCs w:val="21"/>
                      <w:highlight w:val="none"/>
                    </w:rPr>
                  </w:pPr>
                  <w:r>
                    <w:rPr>
                      <w:rFonts w:hint="eastAsia" w:ascii="Times New Roman" w:hAnsi="Calibri" w:cs="Times New Roman"/>
                      <w:b w:val="0"/>
                      <w:bCs/>
                      <w:color w:val="auto"/>
                      <w:sz w:val="21"/>
                      <w:szCs w:val="21"/>
                      <w:highlight w:val="none"/>
                    </w:rPr>
                    <w:t>排放浓度（</w:t>
                  </w:r>
                  <w:r>
                    <w:rPr>
                      <w:rFonts w:hint="eastAsia" w:ascii="Times New Roman" w:hAnsi="Calibri" w:cs="Times New Roman"/>
                      <w:b w:val="0"/>
                      <w:bCs/>
                      <w:color w:val="auto"/>
                      <w:sz w:val="21"/>
                      <w:szCs w:val="21"/>
                      <w:highlight w:val="none"/>
                      <w:lang w:val="en-US" w:eastAsia="zh-CN"/>
                    </w:rPr>
                    <w:t>t</w:t>
                  </w:r>
                  <w:r>
                    <w:rPr>
                      <w:rFonts w:hint="eastAsia" w:ascii="Times New Roman" w:hAnsi="Calibri" w:cs="Times New Roman"/>
                      <w:b w:val="0"/>
                      <w:bCs/>
                      <w:color w:val="auto"/>
                      <w:sz w:val="21"/>
                      <w:szCs w:val="21"/>
                      <w:highlight w:val="none"/>
                    </w:rPr>
                    <w:t>/a）</w:t>
                  </w:r>
                </w:p>
              </w:tc>
              <w:tc>
                <w:tcPr>
                  <w:tcW w:w="1367" w:type="dxa"/>
                  <w:tcBorders>
                    <w:left w:val="single" w:color="auto" w:sz="4" w:space="0"/>
                    <w:right w:val="single" w:color="auto" w:sz="4" w:space="0"/>
                  </w:tcBorders>
                  <w:noWrap w:val="0"/>
                  <w:vAlign w:val="center"/>
                </w:tcPr>
                <w:p w14:paraId="3A74DFF3">
                  <w:pPr>
                    <w:pStyle w:val="68"/>
                    <w:snapToGrid w:val="0"/>
                    <w:jc w:val="center"/>
                    <w:rPr>
                      <w:rFonts w:hint="eastAsia" w:ascii="Times New Roman" w:hAnsi="Calibri" w:eastAsia="宋体" w:cs="Times New Roman"/>
                      <w:b w:val="0"/>
                      <w:bCs/>
                      <w:color w:val="auto"/>
                      <w:sz w:val="21"/>
                      <w:szCs w:val="21"/>
                      <w:highlight w:val="none"/>
                      <w:lang w:eastAsia="zh-CN"/>
                    </w:rPr>
                  </w:pPr>
                  <w:r>
                    <w:rPr>
                      <w:rFonts w:hint="eastAsia" w:ascii="Times New Roman" w:hAnsi="Calibri" w:cs="Times New Roman"/>
                      <w:b w:val="0"/>
                      <w:bCs/>
                      <w:color w:val="auto"/>
                      <w:sz w:val="21"/>
                      <w:szCs w:val="21"/>
                      <w:highlight w:val="none"/>
                    </w:rPr>
                    <w:t>排放量（kg/h</w:t>
                  </w:r>
                  <w:r>
                    <w:rPr>
                      <w:rFonts w:hint="eastAsia" w:ascii="Times New Roman" w:hAnsi="Calibri" w:cs="Times New Roman"/>
                      <w:b w:val="0"/>
                      <w:bCs/>
                      <w:color w:val="auto"/>
                      <w:sz w:val="21"/>
                      <w:szCs w:val="21"/>
                      <w:highlight w:val="none"/>
                      <w:lang w:eastAsia="zh-CN"/>
                    </w:rPr>
                    <w:t>）</w:t>
                  </w:r>
                </w:p>
              </w:tc>
              <w:tc>
                <w:tcPr>
                  <w:tcW w:w="1372" w:type="dxa"/>
                  <w:tcBorders>
                    <w:left w:val="single" w:color="auto" w:sz="4" w:space="0"/>
                  </w:tcBorders>
                  <w:noWrap w:val="0"/>
                  <w:vAlign w:val="center"/>
                </w:tcPr>
                <w:p w14:paraId="4A4C8040">
                  <w:pPr>
                    <w:pStyle w:val="68"/>
                    <w:snapToGrid w:val="0"/>
                    <w:jc w:val="center"/>
                    <w:rPr>
                      <w:rFonts w:hint="eastAsia" w:ascii="Times New Roman" w:hAnsi="Calibri" w:cs="Times New Roman"/>
                      <w:b w:val="0"/>
                      <w:bCs/>
                      <w:color w:val="auto"/>
                      <w:sz w:val="21"/>
                      <w:szCs w:val="21"/>
                      <w:highlight w:val="none"/>
                    </w:rPr>
                  </w:pPr>
                  <w:r>
                    <w:rPr>
                      <w:rFonts w:hint="eastAsia" w:ascii="Times New Roman" w:hAnsi="Calibri" w:cs="Times New Roman"/>
                      <w:b w:val="0"/>
                      <w:bCs/>
                      <w:color w:val="auto"/>
                      <w:sz w:val="21"/>
                      <w:szCs w:val="21"/>
                      <w:highlight w:val="none"/>
                    </w:rPr>
                    <w:t>排放速率（mg/m</w:t>
                  </w:r>
                  <w:r>
                    <w:rPr>
                      <w:rFonts w:hint="eastAsia" w:ascii="Times New Roman" w:hAnsi="Calibri" w:cs="Times New Roman"/>
                      <w:b w:val="0"/>
                      <w:bCs/>
                      <w:color w:val="auto"/>
                      <w:sz w:val="21"/>
                      <w:szCs w:val="21"/>
                      <w:highlight w:val="none"/>
                      <w:vertAlign w:val="superscript"/>
                    </w:rPr>
                    <w:t>3</w:t>
                  </w:r>
                  <w:r>
                    <w:rPr>
                      <w:rFonts w:hint="eastAsia" w:ascii="Times New Roman" w:hAnsi="Calibri" w:cs="Times New Roman"/>
                      <w:b w:val="0"/>
                      <w:bCs/>
                      <w:color w:val="auto"/>
                      <w:sz w:val="21"/>
                      <w:szCs w:val="21"/>
                      <w:highlight w:val="none"/>
                    </w:rPr>
                    <w:t>）</w:t>
                  </w:r>
                </w:p>
              </w:tc>
            </w:tr>
            <w:tr w14:paraId="1661E9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6" w:hRule="atLeast"/>
                <w:jc w:val="center"/>
              </w:trPr>
              <w:tc>
                <w:tcPr>
                  <w:tcW w:w="940" w:type="dxa"/>
                  <w:vMerge w:val="restart"/>
                  <w:noWrap w:val="0"/>
                  <w:vAlign w:val="center"/>
                </w:tcPr>
                <w:p w14:paraId="41E17551">
                  <w:pPr>
                    <w:pStyle w:val="68"/>
                    <w:snapToGrid w:val="0"/>
                    <w:jc w:val="center"/>
                    <w:rPr>
                      <w:rFonts w:ascii="Times New Roman" w:cs="Times New Roman"/>
                      <w:b w:val="0"/>
                      <w:bCs/>
                      <w:color w:val="auto"/>
                      <w:sz w:val="21"/>
                      <w:szCs w:val="21"/>
                      <w:highlight w:val="none"/>
                    </w:rPr>
                  </w:pPr>
                  <w:r>
                    <w:rPr>
                      <w:rFonts w:ascii="Times New Roman" w:cs="Times New Roman"/>
                      <w:b w:val="0"/>
                      <w:bCs/>
                      <w:color w:val="auto"/>
                      <w:sz w:val="21"/>
                      <w:szCs w:val="21"/>
                      <w:highlight w:val="none"/>
                    </w:rPr>
                    <w:t>NH</w:t>
                  </w:r>
                  <w:r>
                    <w:rPr>
                      <w:rFonts w:ascii="Times New Roman" w:cs="Times New Roman"/>
                      <w:b w:val="0"/>
                      <w:bCs/>
                      <w:color w:val="auto"/>
                      <w:sz w:val="21"/>
                      <w:szCs w:val="21"/>
                      <w:highlight w:val="none"/>
                      <w:vertAlign w:val="subscript"/>
                    </w:rPr>
                    <w:t>3</w:t>
                  </w:r>
                </w:p>
              </w:tc>
              <w:tc>
                <w:tcPr>
                  <w:tcW w:w="940" w:type="dxa"/>
                  <w:vMerge w:val="restart"/>
                  <w:noWrap w:val="0"/>
                  <w:vAlign w:val="center"/>
                </w:tcPr>
                <w:p w14:paraId="1146F810">
                  <w:pPr>
                    <w:pStyle w:val="68"/>
                    <w:snapToGrid w:val="0"/>
                    <w:jc w:val="center"/>
                    <w:rPr>
                      <w:rFonts w:hint="eastAsia"/>
                      <w:b w:val="0"/>
                      <w:bCs/>
                      <w:color w:val="auto"/>
                      <w:szCs w:val="21"/>
                      <w:highlight w:val="none"/>
                      <w:lang w:val="en-US" w:eastAsia="zh-CN"/>
                    </w:rPr>
                  </w:pPr>
                  <w:r>
                    <w:rPr>
                      <w:rFonts w:hint="eastAsia" w:ascii="Times New Roman" w:cs="Times New Roman"/>
                      <w:b w:val="0"/>
                      <w:bCs/>
                      <w:color w:val="auto"/>
                      <w:kern w:val="2"/>
                      <w:sz w:val="21"/>
                      <w:szCs w:val="21"/>
                      <w:highlight w:val="none"/>
                      <w:lang w:val="en-US" w:eastAsia="zh-CN"/>
                    </w:rPr>
                    <w:t>0.407</w:t>
                  </w:r>
                </w:p>
              </w:tc>
              <w:tc>
                <w:tcPr>
                  <w:tcW w:w="1026" w:type="dxa"/>
                  <w:vMerge w:val="restart"/>
                  <w:noWrap w:val="0"/>
                  <w:vAlign w:val="center"/>
                </w:tcPr>
                <w:p w14:paraId="15273700">
                  <w:pPr>
                    <w:jc w:val="center"/>
                    <w:rPr>
                      <w:rFonts w:hint="default" w:ascii="Times New Roman" w:eastAsia="宋体" w:cs="Times New Roman"/>
                      <w:b w:val="0"/>
                      <w:bCs/>
                      <w:color w:val="auto"/>
                      <w:sz w:val="21"/>
                      <w:szCs w:val="21"/>
                      <w:highlight w:val="none"/>
                      <w:lang w:val="en-US" w:eastAsia="zh-CN"/>
                    </w:rPr>
                  </w:pPr>
                  <w:r>
                    <w:rPr>
                      <w:rFonts w:hint="eastAsia"/>
                      <w:b w:val="0"/>
                      <w:bCs/>
                      <w:color w:val="auto"/>
                      <w:szCs w:val="21"/>
                      <w:highlight w:val="none"/>
                      <w:lang w:val="en-US" w:eastAsia="zh-CN"/>
                    </w:rPr>
                    <w:t>90</w:t>
                  </w:r>
                </w:p>
              </w:tc>
              <w:tc>
                <w:tcPr>
                  <w:tcW w:w="1084" w:type="dxa"/>
                  <w:vMerge w:val="restart"/>
                  <w:noWrap w:val="0"/>
                  <w:vAlign w:val="center"/>
                </w:tcPr>
                <w:p w14:paraId="32C67E35">
                  <w:pPr>
                    <w:jc w:val="center"/>
                    <w:rPr>
                      <w:rFonts w:hint="eastAsia" w:cs="Times New Roman"/>
                      <w:b w:val="0"/>
                      <w:bCs/>
                      <w:color w:val="auto"/>
                      <w:sz w:val="21"/>
                      <w:szCs w:val="21"/>
                      <w:highlight w:val="none"/>
                      <w:lang w:val="en-US" w:eastAsia="zh-CN"/>
                    </w:rPr>
                  </w:pPr>
                  <w:r>
                    <w:rPr>
                      <w:rFonts w:hint="eastAsia"/>
                      <w:b w:val="0"/>
                      <w:bCs/>
                      <w:color w:val="auto"/>
                      <w:szCs w:val="21"/>
                      <w:highlight w:val="none"/>
                      <w:lang w:val="en-US" w:eastAsia="zh-CN"/>
                    </w:rPr>
                    <w:t>85</w:t>
                  </w:r>
                </w:p>
              </w:tc>
              <w:tc>
                <w:tcPr>
                  <w:tcW w:w="4016" w:type="dxa"/>
                  <w:gridSpan w:val="3"/>
                  <w:noWrap w:val="0"/>
                  <w:vAlign w:val="center"/>
                </w:tcPr>
                <w:p w14:paraId="61ED1234">
                  <w:pPr>
                    <w:pStyle w:val="68"/>
                    <w:snapToGrid w:val="0"/>
                    <w:jc w:val="center"/>
                    <w:rPr>
                      <w:rFonts w:hint="eastAsia" w:ascii="Times New Roman" w:hAnsi="Calibri" w:cs="Times New Roman"/>
                      <w:b w:val="0"/>
                      <w:bCs/>
                      <w:color w:val="auto"/>
                      <w:sz w:val="21"/>
                      <w:szCs w:val="21"/>
                      <w:highlight w:val="none"/>
                    </w:rPr>
                  </w:pPr>
                  <w:r>
                    <w:rPr>
                      <w:rFonts w:hint="eastAsia" w:hAnsi="Calibri" w:cs="Times New Roman"/>
                      <w:b w:val="0"/>
                      <w:bCs/>
                      <w:color w:val="auto"/>
                      <w:sz w:val="21"/>
                      <w:szCs w:val="21"/>
                      <w:highlight w:val="none"/>
                      <w:lang w:eastAsia="zh-CN"/>
                    </w:rPr>
                    <w:t>有组织排放情况</w:t>
                  </w:r>
                </w:p>
              </w:tc>
            </w:tr>
            <w:tr w14:paraId="56B3F6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continue"/>
                  <w:noWrap w:val="0"/>
                  <w:vAlign w:val="center"/>
                </w:tcPr>
                <w:p w14:paraId="23DEDA93">
                  <w:pPr>
                    <w:pStyle w:val="68"/>
                    <w:snapToGrid w:val="0"/>
                    <w:jc w:val="center"/>
                    <w:rPr>
                      <w:rFonts w:ascii="Times New Roman" w:cs="Times New Roman"/>
                      <w:b w:val="0"/>
                      <w:bCs/>
                      <w:color w:val="auto"/>
                      <w:sz w:val="21"/>
                      <w:szCs w:val="21"/>
                      <w:highlight w:val="none"/>
                    </w:rPr>
                  </w:pPr>
                </w:p>
              </w:tc>
              <w:tc>
                <w:tcPr>
                  <w:tcW w:w="940" w:type="dxa"/>
                  <w:vMerge w:val="continue"/>
                  <w:noWrap w:val="0"/>
                  <w:vAlign w:val="center"/>
                </w:tcPr>
                <w:p w14:paraId="5DD7C1F5">
                  <w:pPr>
                    <w:pStyle w:val="68"/>
                    <w:snapToGrid w:val="0"/>
                    <w:jc w:val="center"/>
                    <w:rPr>
                      <w:rFonts w:hint="eastAsia"/>
                      <w:b w:val="0"/>
                      <w:bCs/>
                      <w:color w:val="auto"/>
                      <w:szCs w:val="21"/>
                      <w:highlight w:val="none"/>
                      <w:lang w:val="en-US" w:eastAsia="zh-CN"/>
                    </w:rPr>
                  </w:pPr>
                </w:p>
              </w:tc>
              <w:tc>
                <w:tcPr>
                  <w:tcW w:w="1026" w:type="dxa"/>
                  <w:vMerge w:val="continue"/>
                  <w:noWrap w:val="0"/>
                  <w:vAlign w:val="center"/>
                </w:tcPr>
                <w:p w14:paraId="4095F091">
                  <w:pPr>
                    <w:jc w:val="center"/>
                    <w:rPr>
                      <w:rFonts w:hint="default" w:ascii="Times New Roman" w:eastAsia="宋体" w:cs="Times New Roman"/>
                      <w:b w:val="0"/>
                      <w:bCs/>
                      <w:color w:val="auto"/>
                      <w:sz w:val="21"/>
                      <w:szCs w:val="21"/>
                      <w:highlight w:val="none"/>
                      <w:lang w:val="en-US" w:eastAsia="zh-CN"/>
                    </w:rPr>
                  </w:pPr>
                </w:p>
              </w:tc>
              <w:tc>
                <w:tcPr>
                  <w:tcW w:w="1084" w:type="dxa"/>
                  <w:vMerge w:val="continue"/>
                  <w:noWrap w:val="0"/>
                  <w:vAlign w:val="center"/>
                </w:tcPr>
                <w:p w14:paraId="2B7A1310">
                  <w:pPr>
                    <w:jc w:val="center"/>
                    <w:rPr>
                      <w:rFonts w:hint="eastAsia" w:cs="Times New Roman"/>
                      <w:b w:val="0"/>
                      <w:bCs/>
                      <w:color w:val="auto"/>
                      <w:sz w:val="21"/>
                      <w:szCs w:val="21"/>
                      <w:highlight w:val="none"/>
                      <w:lang w:val="en-US" w:eastAsia="zh-CN"/>
                    </w:rPr>
                  </w:pPr>
                </w:p>
              </w:tc>
              <w:tc>
                <w:tcPr>
                  <w:tcW w:w="1277" w:type="dxa"/>
                  <w:noWrap w:val="0"/>
                  <w:vAlign w:val="center"/>
                </w:tcPr>
                <w:p w14:paraId="467D6032">
                  <w:pPr>
                    <w:jc w:val="center"/>
                    <w:rPr>
                      <w:rFonts w:hint="default"/>
                      <w:b w:val="0"/>
                      <w:bCs/>
                      <w:color w:val="auto"/>
                      <w:kern w:val="0"/>
                      <w:szCs w:val="21"/>
                      <w:highlight w:val="none"/>
                      <w:lang w:val="en-US" w:eastAsia="zh-CN"/>
                    </w:rPr>
                  </w:pPr>
                  <w:r>
                    <w:rPr>
                      <w:rFonts w:hint="eastAsia"/>
                      <w:b w:val="0"/>
                      <w:bCs/>
                      <w:color w:val="auto"/>
                      <w:kern w:val="0"/>
                      <w:szCs w:val="21"/>
                      <w:highlight w:val="none"/>
                      <w:lang w:val="en-US" w:eastAsia="zh-CN"/>
                    </w:rPr>
                    <w:t>0.055</w:t>
                  </w:r>
                </w:p>
              </w:tc>
              <w:tc>
                <w:tcPr>
                  <w:tcW w:w="1367" w:type="dxa"/>
                  <w:noWrap w:val="0"/>
                  <w:vAlign w:val="center"/>
                </w:tcPr>
                <w:p w14:paraId="37112F7A">
                  <w:pPr>
                    <w:jc w:val="center"/>
                    <w:rPr>
                      <w:rFonts w:hint="default"/>
                      <w:b w:val="0"/>
                      <w:bCs/>
                      <w:color w:val="auto"/>
                      <w:kern w:val="0"/>
                      <w:szCs w:val="21"/>
                      <w:highlight w:val="none"/>
                      <w:lang w:val="en-US" w:eastAsia="zh-CN"/>
                    </w:rPr>
                  </w:pPr>
                  <w:r>
                    <w:rPr>
                      <w:rFonts w:hint="eastAsia"/>
                      <w:b w:val="0"/>
                      <w:bCs/>
                      <w:color w:val="auto"/>
                      <w:kern w:val="0"/>
                      <w:szCs w:val="21"/>
                      <w:highlight w:val="none"/>
                      <w:lang w:val="en-US" w:eastAsia="zh-CN"/>
                    </w:rPr>
                    <w:t>0.00628</w:t>
                  </w:r>
                </w:p>
              </w:tc>
              <w:tc>
                <w:tcPr>
                  <w:tcW w:w="1372" w:type="dxa"/>
                  <w:noWrap w:val="0"/>
                  <w:vAlign w:val="center"/>
                </w:tcPr>
                <w:p w14:paraId="6A3A2270">
                  <w:pPr>
                    <w:jc w:val="center"/>
                    <w:rPr>
                      <w:rFonts w:hint="default"/>
                      <w:b w:val="0"/>
                      <w:bCs/>
                      <w:color w:val="auto"/>
                      <w:kern w:val="0"/>
                      <w:szCs w:val="21"/>
                      <w:highlight w:val="none"/>
                      <w:lang w:val="en-US" w:eastAsia="zh-CN"/>
                    </w:rPr>
                  </w:pPr>
                  <w:r>
                    <w:rPr>
                      <w:rFonts w:hint="eastAsia"/>
                      <w:b w:val="0"/>
                      <w:bCs/>
                      <w:color w:val="auto"/>
                      <w:kern w:val="0"/>
                      <w:szCs w:val="21"/>
                      <w:highlight w:val="none"/>
                      <w:lang w:val="en-US" w:eastAsia="zh-CN"/>
                    </w:rPr>
                    <w:t>0.523</w:t>
                  </w:r>
                </w:p>
              </w:tc>
            </w:tr>
            <w:tr w14:paraId="59D0CE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continue"/>
                  <w:noWrap w:val="0"/>
                  <w:vAlign w:val="center"/>
                </w:tcPr>
                <w:p w14:paraId="56D69C67">
                  <w:pPr>
                    <w:pStyle w:val="68"/>
                    <w:snapToGrid w:val="0"/>
                    <w:jc w:val="center"/>
                    <w:rPr>
                      <w:rFonts w:ascii="Times New Roman" w:cs="Times New Roman"/>
                      <w:b w:val="0"/>
                      <w:bCs/>
                      <w:color w:val="auto"/>
                      <w:sz w:val="21"/>
                      <w:szCs w:val="21"/>
                      <w:highlight w:val="none"/>
                    </w:rPr>
                  </w:pPr>
                </w:p>
              </w:tc>
              <w:tc>
                <w:tcPr>
                  <w:tcW w:w="940" w:type="dxa"/>
                  <w:vMerge w:val="continue"/>
                  <w:noWrap w:val="0"/>
                  <w:vAlign w:val="center"/>
                </w:tcPr>
                <w:p w14:paraId="4E887546">
                  <w:pPr>
                    <w:jc w:val="center"/>
                    <w:rPr>
                      <w:rFonts w:hint="default" w:eastAsia="宋体"/>
                      <w:b w:val="0"/>
                      <w:bCs/>
                      <w:color w:val="auto"/>
                      <w:szCs w:val="21"/>
                      <w:highlight w:val="none"/>
                      <w:lang w:val="en-US" w:eastAsia="zh-CN"/>
                    </w:rPr>
                  </w:pPr>
                </w:p>
              </w:tc>
              <w:tc>
                <w:tcPr>
                  <w:tcW w:w="1026" w:type="dxa"/>
                  <w:vMerge w:val="continue"/>
                  <w:noWrap w:val="0"/>
                  <w:vAlign w:val="center"/>
                </w:tcPr>
                <w:p w14:paraId="597F3F35">
                  <w:pPr>
                    <w:pStyle w:val="68"/>
                    <w:snapToGrid w:val="0"/>
                    <w:jc w:val="center"/>
                    <w:rPr>
                      <w:rFonts w:hint="default" w:ascii="Times New Roman" w:eastAsia="宋体" w:cs="Times New Roman"/>
                      <w:b w:val="0"/>
                      <w:bCs/>
                      <w:color w:val="auto"/>
                      <w:sz w:val="21"/>
                      <w:szCs w:val="21"/>
                      <w:highlight w:val="none"/>
                      <w:lang w:val="en-US" w:eastAsia="zh-CN"/>
                    </w:rPr>
                  </w:pPr>
                </w:p>
              </w:tc>
              <w:tc>
                <w:tcPr>
                  <w:tcW w:w="1084" w:type="dxa"/>
                  <w:vMerge w:val="continue"/>
                  <w:noWrap w:val="0"/>
                  <w:vAlign w:val="center"/>
                </w:tcPr>
                <w:p w14:paraId="22A8C836">
                  <w:pPr>
                    <w:pStyle w:val="68"/>
                    <w:snapToGrid w:val="0"/>
                    <w:jc w:val="center"/>
                    <w:rPr>
                      <w:rFonts w:hint="default" w:ascii="Times New Roman" w:eastAsia="宋体" w:cs="Times New Roman"/>
                      <w:b w:val="0"/>
                      <w:bCs/>
                      <w:color w:val="auto"/>
                      <w:sz w:val="21"/>
                      <w:szCs w:val="21"/>
                      <w:highlight w:val="none"/>
                      <w:lang w:val="en-US" w:eastAsia="zh-CN"/>
                    </w:rPr>
                  </w:pPr>
                </w:p>
              </w:tc>
              <w:tc>
                <w:tcPr>
                  <w:tcW w:w="4016" w:type="dxa"/>
                  <w:gridSpan w:val="3"/>
                  <w:tcBorders>
                    <w:left w:val="single" w:color="auto" w:sz="4" w:space="0"/>
                  </w:tcBorders>
                  <w:noWrap w:val="0"/>
                  <w:vAlign w:val="center"/>
                </w:tcPr>
                <w:p w14:paraId="63FCF62A">
                  <w:pPr>
                    <w:widowControl/>
                    <w:jc w:val="center"/>
                    <w:rPr>
                      <w:rFonts w:hint="default"/>
                      <w:b w:val="0"/>
                      <w:bCs/>
                      <w:color w:val="auto"/>
                      <w:kern w:val="0"/>
                      <w:szCs w:val="21"/>
                      <w:highlight w:val="none"/>
                      <w:lang w:val="en-US"/>
                    </w:rPr>
                  </w:pPr>
                  <w:r>
                    <w:rPr>
                      <w:rFonts w:hint="eastAsia" w:hAnsi="Calibri" w:cs="Times New Roman"/>
                      <w:b w:val="0"/>
                      <w:bCs/>
                      <w:color w:val="auto"/>
                      <w:sz w:val="21"/>
                      <w:szCs w:val="21"/>
                      <w:highlight w:val="none"/>
                      <w:lang w:eastAsia="zh-CN"/>
                    </w:rPr>
                    <w:t>无组织排放情况</w:t>
                  </w:r>
                </w:p>
              </w:tc>
            </w:tr>
            <w:tr w14:paraId="6853A9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continue"/>
                  <w:noWrap w:val="0"/>
                  <w:vAlign w:val="center"/>
                </w:tcPr>
                <w:p w14:paraId="3C4AFAB5">
                  <w:pPr>
                    <w:pStyle w:val="68"/>
                    <w:snapToGrid w:val="0"/>
                    <w:jc w:val="center"/>
                    <w:rPr>
                      <w:rFonts w:ascii="Times New Roman" w:cs="Times New Roman"/>
                      <w:b w:val="0"/>
                      <w:bCs/>
                      <w:color w:val="auto"/>
                      <w:sz w:val="21"/>
                      <w:szCs w:val="21"/>
                      <w:highlight w:val="none"/>
                    </w:rPr>
                  </w:pPr>
                </w:p>
              </w:tc>
              <w:tc>
                <w:tcPr>
                  <w:tcW w:w="940" w:type="dxa"/>
                  <w:vMerge w:val="continue"/>
                  <w:noWrap w:val="0"/>
                  <w:vAlign w:val="center"/>
                </w:tcPr>
                <w:p w14:paraId="4974BF19">
                  <w:pPr>
                    <w:jc w:val="center"/>
                    <w:rPr>
                      <w:rFonts w:hint="eastAsia"/>
                      <w:b w:val="0"/>
                      <w:bCs/>
                      <w:color w:val="auto"/>
                      <w:szCs w:val="21"/>
                      <w:highlight w:val="none"/>
                      <w:lang w:val="en-US" w:eastAsia="zh-CN"/>
                    </w:rPr>
                  </w:pPr>
                </w:p>
              </w:tc>
              <w:tc>
                <w:tcPr>
                  <w:tcW w:w="1026" w:type="dxa"/>
                  <w:vMerge w:val="continue"/>
                  <w:noWrap w:val="0"/>
                  <w:vAlign w:val="center"/>
                </w:tcPr>
                <w:p w14:paraId="5C06959D">
                  <w:pPr>
                    <w:pStyle w:val="68"/>
                    <w:snapToGrid w:val="0"/>
                    <w:jc w:val="center"/>
                    <w:rPr>
                      <w:rFonts w:hint="eastAsia" w:cs="Times New Roman"/>
                      <w:b w:val="0"/>
                      <w:bCs/>
                      <w:color w:val="auto"/>
                      <w:sz w:val="21"/>
                      <w:szCs w:val="21"/>
                      <w:highlight w:val="none"/>
                      <w:lang w:val="en-US" w:eastAsia="zh-CN"/>
                    </w:rPr>
                  </w:pPr>
                </w:p>
              </w:tc>
              <w:tc>
                <w:tcPr>
                  <w:tcW w:w="1084" w:type="dxa"/>
                  <w:vMerge w:val="continue"/>
                  <w:noWrap w:val="0"/>
                  <w:vAlign w:val="center"/>
                </w:tcPr>
                <w:p w14:paraId="11CF6B2A">
                  <w:pPr>
                    <w:pStyle w:val="68"/>
                    <w:snapToGrid w:val="0"/>
                    <w:jc w:val="center"/>
                    <w:rPr>
                      <w:rFonts w:hint="eastAsia" w:cs="Times New Roman"/>
                      <w:b w:val="0"/>
                      <w:bCs/>
                      <w:color w:val="auto"/>
                      <w:sz w:val="21"/>
                      <w:szCs w:val="21"/>
                      <w:highlight w:val="none"/>
                      <w:lang w:val="en-US" w:eastAsia="zh-CN"/>
                    </w:rPr>
                  </w:pPr>
                </w:p>
              </w:tc>
              <w:tc>
                <w:tcPr>
                  <w:tcW w:w="1277" w:type="dxa"/>
                  <w:tcBorders>
                    <w:left w:val="single" w:color="auto" w:sz="4" w:space="0"/>
                  </w:tcBorders>
                  <w:noWrap w:val="0"/>
                  <w:vAlign w:val="center"/>
                </w:tcPr>
                <w:p w14:paraId="2C144CDF">
                  <w:pPr>
                    <w:widowControl/>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0.0407</w:t>
                  </w:r>
                </w:p>
              </w:tc>
              <w:tc>
                <w:tcPr>
                  <w:tcW w:w="1367" w:type="dxa"/>
                  <w:noWrap w:val="0"/>
                  <w:vAlign w:val="center"/>
                </w:tcPr>
                <w:p w14:paraId="71F612AD">
                  <w:pPr>
                    <w:widowControl/>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0.0046</w:t>
                  </w:r>
                </w:p>
              </w:tc>
              <w:tc>
                <w:tcPr>
                  <w:tcW w:w="1372" w:type="dxa"/>
                  <w:noWrap w:val="0"/>
                  <w:vAlign w:val="center"/>
                </w:tcPr>
                <w:p w14:paraId="42CE3C91">
                  <w:pPr>
                    <w:widowControl/>
                    <w:jc w:val="center"/>
                    <w:rPr>
                      <w:rFonts w:hint="eastAsia" w:eastAsia="宋体"/>
                      <w:b w:val="0"/>
                      <w:bCs/>
                      <w:color w:val="auto"/>
                      <w:kern w:val="0"/>
                      <w:szCs w:val="21"/>
                      <w:highlight w:val="none"/>
                      <w:lang w:val="en-US" w:eastAsia="zh-CN"/>
                    </w:rPr>
                  </w:pPr>
                  <w:r>
                    <w:rPr>
                      <w:rFonts w:hint="eastAsia"/>
                      <w:b w:val="0"/>
                      <w:bCs/>
                      <w:color w:val="auto"/>
                      <w:kern w:val="0"/>
                      <w:szCs w:val="21"/>
                      <w:highlight w:val="none"/>
                      <w:lang w:val="en-US" w:eastAsia="zh-CN"/>
                    </w:rPr>
                    <w:t>/</w:t>
                  </w:r>
                </w:p>
              </w:tc>
            </w:tr>
            <w:tr w14:paraId="164EA4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restart"/>
                  <w:noWrap w:val="0"/>
                  <w:vAlign w:val="center"/>
                </w:tcPr>
                <w:p w14:paraId="749FADBE">
                  <w:pPr>
                    <w:pStyle w:val="68"/>
                    <w:snapToGrid w:val="0"/>
                    <w:jc w:val="center"/>
                    <w:rPr>
                      <w:rFonts w:ascii="Times New Roman" w:cs="Times New Roman"/>
                      <w:b w:val="0"/>
                      <w:bCs/>
                      <w:color w:val="auto"/>
                      <w:sz w:val="21"/>
                      <w:szCs w:val="21"/>
                      <w:highlight w:val="none"/>
                    </w:rPr>
                  </w:pPr>
                  <w:r>
                    <w:rPr>
                      <w:rFonts w:ascii="Times New Roman" w:cs="Times New Roman"/>
                      <w:b w:val="0"/>
                      <w:bCs/>
                      <w:color w:val="auto"/>
                      <w:sz w:val="21"/>
                      <w:szCs w:val="21"/>
                      <w:highlight w:val="none"/>
                    </w:rPr>
                    <w:t>H</w:t>
                  </w:r>
                  <w:r>
                    <w:rPr>
                      <w:rFonts w:ascii="Times New Roman" w:cs="Times New Roman"/>
                      <w:b w:val="0"/>
                      <w:bCs/>
                      <w:color w:val="auto"/>
                      <w:sz w:val="21"/>
                      <w:szCs w:val="21"/>
                      <w:highlight w:val="none"/>
                      <w:vertAlign w:val="subscript"/>
                    </w:rPr>
                    <w:t>2</w:t>
                  </w:r>
                  <w:r>
                    <w:rPr>
                      <w:rFonts w:ascii="Times New Roman" w:cs="Times New Roman"/>
                      <w:b w:val="0"/>
                      <w:bCs/>
                      <w:color w:val="auto"/>
                      <w:sz w:val="21"/>
                      <w:szCs w:val="21"/>
                      <w:highlight w:val="none"/>
                    </w:rPr>
                    <w:t>S</w:t>
                  </w:r>
                </w:p>
              </w:tc>
              <w:tc>
                <w:tcPr>
                  <w:tcW w:w="940" w:type="dxa"/>
                  <w:vMerge w:val="restart"/>
                  <w:noWrap w:val="0"/>
                  <w:vAlign w:val="center"/>
                </w:tcPr>
                <w:p w14:paraId="4536AE64">
                  <w:pPr>
                    <w:jc w:val="center"/>
                    <w:rPr>
                      <w:rFonts w:hint="eastAsia"/>
                      <w:b w:val="0"/>
                      <w:bCs/>
                      <w:color w:val="auto"/>
                      <w:szCs w:val="21"/>
                      <w:highlight w:val="none"/>
                      <w:lang w:val="en-US" w:eastAsia="zh-CN"/>
                    </w:rPr>
                  </w:pPr>
                  <w:r>
                    <w:rPr>
                      <w:rFonts w:hint="eastAsia"/>
                      <w:b w:val="0"/>
                      <w:bCs/>
                      <w:color w:val="auto"/>
                      <w:szCs w:val="21"/>
                      <w:highlight w:val="none"/>
                      <w:lang w:val="en-US" w:eastAsia="zh-CN"/>
                    </w:rPr>
                    <w:t>0.0157</w:t>
                  </w:r>
                </w:p>
              </w:tc>
              <w:tc>
                <w:tcPr>
                  <w:tcW w:w="1026" w:type="dxa"/>
                  <w:vMerge w:val="restart"/>
                  <w:noWrap w:val="0"/>
                  <w:vAlign w:val="center"/>
                </w:tcPr>
                <w:p w14:paraId="6EAC6891">
                  <w:pPr>
                    <w:pStyle w:val="68"/>
                    <w:snapToGrid w:val="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90</w:t>
                  </w:r>
                </w:p>
              </w:tc>
              <w:tc>
                <w:tcPr>
                  <w:tcW w:w="1084" w:type="dxa"/>
                  <w:vMerge w:val="restart"/>
                  <w:noWrap w:val="0"/>
                  <w:vAlign w:val="center"/>
                </w:tcPr>
                <w:p w14:paraId="0619941B">
                  <w:pPr>
                    <w:pStyle w:val="68"/>
                    <w:snapToGrid w:val="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85</w:t>
                  </w:r>
                </w:p>
              </w:tc>
              <w:tc>
                <w:tcPr>
                  <w:tcW w:w="4016" w:type="dxa"/>
                  <w:gridSpan w:val="3"/>
                  <w:tcBorders>
                    <w:left w:val="single" w:color="auto" w:sz="4" w:space="0"/>
                  </w:tcBorders>
                  <w:noWrap w:val="0"/>
                  <w:vAlign w:val="center"/>
                </w:tcPr>
                <w:p w14:paraId="0213064A">
                  <w:pPr>
                    <w:pStyle w:val="68"/>
                    <w:snapToGrid w:val="0"/>
                    <w:jc w:val="center"/>
                    <w:rPr>
                      <w:rFonts w:hint="default"/>
                      <w:b w:val="0"/>
                      <w:bCs/>
                      <w:color w:val="auto"/>
                      <w:kern w:val="0"/>
                      <w:szCs w:val="21"/>
                      <w:highlight w:val="none"/>
                      <w:lang w:val="en-US"/>
                    </w:rPr>
                  </w:pPr>
                  <w:r>
                    <w:rPr>
                      <w:rFonts w:hint="eastAsia" w:hAnsi="Calibri" w:cs="Times New Roman"/>
                      <w:b w:val="0"/>
                      <w:bCs/>
                      <w:color w:val="auto"/>
                      <w:sz w:val="21"/>
                      <w:szCs w:val="21"/>
                      <w:highlight w:val="none"/>
                      <w:lang w:eastAsia="zh-CN"/>
                    </w:rPr>
                    <w:t>有组织排放情况</w:t>
                  </w:r>
                </w:p>
              </w:tc>
            </w:tr>
            <w:tr w14:paraId="0AB058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continue"/>
                  <w:noWrap w:val="0"/>
                  <w:vAlign w:val="center"/>
                </w:tcPr>
                <w:p w14:paraId="0A535E50">
                  <w:pPr>
                    <w:pStyle w:val="68"/>
                    <w:snapToGrid w:val="0"/>
                    <w:jc w:val="center"/>
                    <w:rPr>
                      <w:rFonts w:ascii="Times New Roman" w:cs="Times New Roman"/>
                      <w:b w:val="0"/>
                      <w:bCs/>
                      <w:color w:val="auto"/>
                      <w:sz w:val="21"/>
                      <w:szCs w:val="21"/>
                      <w:highlight w:val="none"/>
                    </w:rPr>
                  </w:pPr>
                </w:p>
              </w:tc>
              <w:tc>
                <w:tcPr>
                  <w:tcW w:w="940" w:type="dxa"/>
                  <w:vMerge w:val="continue"/>
                  <w:noWrap w:val="0"/>
                  <w:vAlign w:val="center"/>
                </w:tcPr>
                <w:p w14:paraId="7798F4D6">
                  <w:pPr>
                    <w:jc w:val="center"/>
                    <w:rPr>
                      <w:rFonts w:hint="eastAsia"/>
                      <w:b w:val="0"/>
                      <w:bCs/>
                      <w:color w:val="auto"/>
                      <w:szCs w:val="21"/>
                      <w:highlight w:val="none"/>
                      <w:lang w:val="en-US" w:eastAsia="zh-CN"/>
                    </w:rPr>
                  </w:pPr>
                </w:p>
              </w:tc>
              <w:tc>
                <w:tcPr>
                  <w:tcW w:w="1026" w:type="dxa"/>
                  <w:vMerge w:val="continue"/>
                  <w:noWrap w:val="0"/>
                  <w:vAlign w:val="center"/>
                </w:tcPr>
                <w:p w14:paraId="0F6CAC84">
                  <w:pPr>
                    <w:pStyle w:val="68"/>
                    <w:snapToGrid w:val="0"/>
                    <w:jc w:val="center"/>
                    <w:rPr>
                      <w:rFonts w:hint="eastAsia" w:cs="Times New Roman"/>
                      <w:b w:val="0"/>
                      <w:bCs/>
                      <w:color w:val="auto"/>
                      <w:sz w:val="21"/>
                      <w:szCs w:val="21"/>
                      <w:highlight w:val="none"/>
                      <w:lang w:val="en-US" w:eastAsia="zh-CN"/>
                    </w:rPr>
                  </w:pPr>
                </w:p>
              </w:tc>
              <w:tc>
                <w:tcPr>
                  <w:tcW w:w="1084" w:type="dxa"/>
                  <w:vMerge w:val="continue"/>
                  <w:noWrap w:val="0"/>
                  <w:vAlign w:val="center"/>
                </w:tcPr>
                <w:p w14:paraId="001E4140">
                  <w:pPr>
                    <w:pStyle w:val="68"/>
                    <w:snapToGrid w:val="0"/>
                    <w:jc w:val="center"/>
                    <w:rPr>
                      <w:rFonts w:hint="eastAsia" w:cs="Times New Roman"/>
                      <w:b w:val="0"/>
                      <w:bCs/>
                      <w:color w:val="auto"/>
                      <w:sz w:val="21"/>
                      <w:szCs w:val="21"/>
                      <w:highlight w:val="none"/>
                      <w:lang w:val="en-US" w:eastAsia="zh-CN"/>
                    </w:rPr>
                  </w:pPr>
                </w:p>
              </w:tc>
              <w:tc>
                <w:tcPr>
                  <w:tcW w:w="1277" w:type="dxa"/>
                  <w:tcBorders>
                    <w:left w:val="single" w:color="auto" w:sz="4" w:space="0"/>
                  </w:tcBorders>
                  <w:noWrap w:val="0"/>
                  <w:vAlign w:val="center"/>
                </w:tcPr>
                <w:p w14:paraId="11E0B299">
                  <w:pPr>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0.00213</w:t>
                  </w:r>
                </w:p>
              </w:tc>
              <w:tc>
                <w:tcPr>
                  <w:tcW w:w="1367" w:type="dxa"/>
                  <w:noWrap w:val="0"/>
                  <w:vAlign w:val="center"/>
                </w:tcPr>
                <w:p w14:paraId="006E7404">
                  <w:pPr>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0.00024</w:t>
                  </w:r>
                </w:p>
              </w:tc>
              <w:tc>
                <w:tcPr>
                  <w:tcW w:w="1372" w:type="dxa"/>
                  <w:noWrap w:val="0"/>
                  <w:vAlign w:val="center"/>
                </w:tcPr>
                <w:p w14:paraId="2BFB08FD">
                  <w:pPr>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0.02</w:t>
                  </w:r>
                </w:p>
              </w:tc>
            </w:tr>
            <w:tr w14:paraId="4CE67F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continue"/>
                  <w:noWrap w:val="0"/>
                  <w:vAlign w:val="center"/>
                </w:tcPr>
                <w:p w14:paraId="29894E50">
                  <w:pPr>
                    <w:pStyle w:val="68"/>
                    <w:snapToGrid w:val="0"/>
                    <w:jc w:val="center"/>
                    <w:rPr>
                      <w:rFonts w:ascii="Times New Roman" w:cs="Times New Roman"/>
                      <w:b w:val="0"/>
                      <w:bCs/>
                      <w:color w:val="auto"/>
                      <w:sz w:val="21"/>
                      <w:szCs w:val="21"/>
                      <w:highlight w:val="none"/>
                    </w:rPr>
                  </w:pPr>
                </w:p>
              </w:tc>
              <w:tc>
                <w:tcPr>
                  <w:tcW w:w="940" w:type="dxa"/>
                  <w:vMerge w:val="continue"/>
                  <w:noWrap w:val="0"/>
                  <w:vAlign w:val="center"/>
                </w:tcPr>
                <w:p w14:paraId="1FF1123C">
                  <w:pPr>
                    <w:jc w:val="center"/>
                    <w:rPr>
                      <w:rFonts w:hint="eastAsia"/>
                      <w:b w:val="0"/>
                      <w:bCs/>
                      <w:color w:val="auto"/>
                      <w:szCs w:val="21"/>
                      <w:highlight w:val="none"/>
                      <w:lang w:val="en-US" w:eastAsia="zh-CN"/>
                    </w:rPr>
                  </w:pPr>
                </w:p>
              </w:tc>
              <w:tc>
                <w:tcPr>
                  <w:tcW w:w="1026" w:type="dxa"/>
                  <w:vMerge w:val="continue"/>
                  <w:noWrap w:val="0"/>
                  <w:vAlign w:val="center"/>
                </w:tcPr>
                <w:p w14:paraId="4B1A21DA">
                  <w:pPr>
                    <w:pStyle w:val="68"/>
                    <w:snapToGrid w:val="0"/>
                    <w:jc w:val="center"/>
                    <w:rPr>
                      <w:rFonts w:hint="eastAsia" w:cs="Times New Roman"/>
                      <w:b w:val="0"/>
                      <w:bCs/>
                      <w:color w:val="auto"/>
                      <w:sz w:val="21"/>
                      <w:szCs w:val="21"/>
                      <w:highlight w:val="none"/>
                      <w:lang w:val="en-US" w:eastAsia="zh-CN"/>
                    </w:rPr>
                  </w:pPr>
                </w:p>
              </w:tc>
              <w:tc>
                <w:tcPr>
                  <w:tcW w:w="1084" w:type="dxa"/>
                  <w:vMerge w:val="continue"/>
                  <w:noWrap w:val="0"/>
                  <w:vAlign w:val="center"/>
                </w:tcPr>
                <w:p w14:paraId="73DC8FDC">
                  <w:pPr>
                    <w:pStyle w:val="68"/>
                    <w:snapToGrid w:val="0"/>
                    <w:jc w:val="center"/>
                    <w:rPr>
                      <w:rFonts w:hint="eastAsia" w:cs="Times New Roman"/>
                      <w:b w:val="0"/>
                      <w:bCs/>
                      <w:color w:val="auto"/>
                      <w:sz w:val="21"/>
                      <w:szCs w:val="21"/>
                      <w:highlight w:val="none"/>
                      <w:lang w:val="en-US" w:eastAsia="zh-CN"/>
                    </w:rPr>
                  </w:pPr>
                </w:p>
              </w:tc>
              <w:tc>
                <w:tcPr>
                  <w:tcW w:w="4016" w:type="dxa"/>
                  <w:gridSpan w:val="3"/>
                  <w:tcBorders>
                    <w:left w:val="single" w:color="auto" w:sz="4" w:space="0"/>
                  </w:tcBorders>
                  <w:noWrap w:val="0"/>
                  <w:vAlign w:val="center"/>
                </w:tcPr>
                <w:p w14:paraId="71CDD60F">
                  <w:pPr>
                    <w:widowControl/>
                    <w:jc w:val="center"/>
                    <w:rPr>
                      <w:rFonts w:hint="default"/>
                      <w:b w:val="0"/>
                      <w:bCs/>
                      <w:color w:val="auto"/>
                      <w:kern w:val="0"/>
                      <w:szCs w:val="21"/>
                      <w:highlight w:val="none"/>
                      <w:lang w:val="en-US"/>
                    </w:rPr>
                  </w:pPr>
                  <w:r>
                    <w:rPr>
                      <w:rFonts w:hint="eastAsia" w:hAnsi="Calibri" w:cs="Times New Roman"/>
                      <w:b w:val="0"/>
                      <w:bCs/>
                      <w:color w:val="auto"/>
                      <w:sz w:val="21"/>
                      <w:szCs w:val="21"/>
                      <w:highlight w:val="none"/>
                      <w:lang w:eastAsia="zh-CN"/>
                    </w:rPr>
                    <w:t>无组织排放情况</w:t>
                  </w:r>
                </w:p>
              </w:tc>
            </w:tr>
            <w:tr w14:paraId="5B6716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0" w:type="dxa"/>
                  <w:vMerge w:val="continue"/>
                  <w:noWrap w:val="0"/>
                  <w:vAlign w:val="center"/>
                </w:tcPr>
                <w:p w14:paraId="75EAB67C">
                  <w:pPr>
                    <w:pStyle w:val="68"/>
                    <w:snapToGrid w:val="0"/>
                    <w:jc w:val="center"/>
                    <w:rPr>
                      <w:rFonts w:ascii="Times New Roman" w:cs="Times New Roman"/>
                      <w:b w:val="0"/>
                      <w:bCs/>
                      <w:color w:val="auto"/>
                      <w:sz w:val="21"/>
                      <w:szCs w:val="21"/>
                      <w:highlight w:val="none"/>
                    </w:rPr>
                  </w:pPr>
                </w:p>
              </w:tc>
              <w:tc>
                <w:tcPr>
                  <w:tcW w:w="940" w:type="dxa"/>
                  <w:vMerge w:val="continue"/>
                  <w:noWrap w:val="0"/>
                  <w:vAlign w:val="center"/>
                </w:tcPr>
                <w:p w14:paraId="25BE31F1">
                  <w:pPr>
                    <w:jc w:val="center"/>
                    <w:rPr>
                      <w:rFonts w:hint="eastAsia"/>
                      <w:b w:val="0"/>
                      <w:bCs/>
                      <w:color w:val="auto"/>
                      <w:szCs w:val="21"/>
                      <w:highlight w:val="none"/>
                      <w:lang w:val="en-US" w:eastAsia="zh-CN"/>
                    </w:rPr>
                  </w:pPr>
                </w:p>
              </w:tc>
              <w:tc>
                <w:tcPr>
                  <w:tcW w:w="1026" w:type="dxa"/>
                  <w:vMerge w:val="continue"/>
                  <w:noWrap w:val="0"/>
                  <w:vAlign w:val="center"/>
                </w:tcPr>
                <w:p w14:paraId="5042538B">
                  <w:pPr>
                    <w:pStyle w:val="68"/>
                    <w:snapToGrid w:val="0"/>
                    <w:jc w:val="center"/>
                    <w:rPr>
                      <w:rFonts w:hint="eastAsia" w:cs="Times New Roman"/>
                      <w:b w:val="0"/>
                      <w:bCs/>
                      <w:color w:val="auto"/>
                      <w:sz w:val="21"/>
                      <w:szCs w:val="21"/>
                      <w:highlight w:val="none"/>
                      <w:lang w:val="en-US" w:eastAsia="zh-CN"/>
                    </w:rPr>
                  </w:pPr>
                </w:p>
              </w:tc>
              <w:tc>
                <w:tcPr>
                  <w:tcW w:w="1084" w:type="dxa"/>
                  <w:vMerge w:val="continue"/>
                  <w:noWrap w:val="0"/>
                  <w:vAlign w:val="center"/>
                </w:tcPr>
                <w:p w14:paraId="1D42A7FD">
                  <w:pPr>
                    <w:pStyle w:val="68"/>
                    <w:snapToGrid w:val="0"/>
                    <w:jc w:val="center"/>
                    <w:rPr>
                      <w:rFonts w:hint="eastAsia" w:cs="Times New Roman"/>
                      <w:b w:val="0"/>
                      <w:bCs/>
                      <w:color w:val="auto"/>
                      <w:sz w:val="21"/>
                      <w:szCs w:val="21"/>
                      <w:highlight w:val="none"/>
                      <w:lang w:val="en-US" w:eastAsia="zh-CN"/>
                    </w:rPr>
                  </w:pPr>
                </w:p>
              </w:tc>
              <w:tc>
                <w:tcPr>
                  <w:tcW w:w="1277" w:type="dxa"/>
                  <w:tcBorders>
                    <w:left w:val="single" w:color="auto" w:sz="4" w:space="0"/>
                  </w:tcBorders>
                  <w:noWrap w:val="0"/>
                  <w:vAlign w:val="center"/>
                </w:tcPr>
                <w:p w14:paraId="0F20DCC3">
                  <w:pPr>
                    <w:widowControl/>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0.00157</w:t>
                  </w:r>
                </w:p>
              </w:tc>
              <w:tc>
                <w:tcPr>
                  <w:tcW w:w="1367" w:type="dxa"/>
                  <w:noWrap w:val="0"/>
                  <w:vAlign w:val="center"/>
                </w:tcPr>
                <w:p w14:paraId="1B851395">
                  <w:pPr>
                    <w:widowControl/>
                    <w:jc w:val="center"/>
                    <w:rPr>
                      <w:rFonts w:hint="default" w:eastAsia="宋体"/>
                      <w:b w:val="0"/>
                      <w:bCs/>
                      <w:color w:val="auto"/>
                      <w:kern w:val="0"/>
                      <w:szCs w:val="21"/>
                      <w:highlight w:val="none"/>
                      <w:lang w:val="en-US" w:eastAsia="zh-CN"/>
                    </w:rPr>
                  </w:pPr>
                  <w:r>
                    <w:rPr>
                      <w:rFonts w:hint="eastAsia"/>
                      <w:b w:val="0"/>
                      <w:bCs/>
                      <w:color w:val="auto"/>
                      <w:kern w:val="0"/>
                      <w:szCs w:val="21"/>
                      <w:highlight w:val="none"/>
                      <w:lang w:val="en-US" w:eastAsia="zh-CN"/>
                    </w:rPr>
                    <w:t>0.00018</w:t>
                  </w:r>
                </w:p>
              </w:tc>
              <w:tc>
                <w:tcPr>
                  <w:tcW w:w="1372" w:type="dxa"/>
                  <w:noWrap w:val="0"/>
                  <w:vAlign w:val="center"/>
                </w:tcPr>
                <w:p w14:paraId="0D4620BF">
                  <w:pPr>
                    <w:widowControl/>
                    <w:jc w:val="center"/>
                    <w:rPr>
                      <w:rFonts w:hint="default"/>
                      <w:b w:val="0"/>
                      <w:bCs/>
                      <w:color w:val="auto"/>
                      <w:kern w:val="0"/>
                      <w:szCs w:val="21"/>
                      <w:highlight w:val="none"/>
                      <w:lang w:val="en-US"/>
                    </w:rPr>
                  </w:pPr>
                  <w:r>
                    <w:rPr>
                      <w:rFonts w:hint="eastAsia"/>
                      <w:b w:val="0"/>
                      <w:bCs/>
                      <w:color w:val="auto"/>
                      <w:kern w:val="0"/>
                      <w:szCs w:val="21"/>
                      <w:highlight w:val="none"/>
                      <w:lang w:val="en-US" w:eastAsia="zh-CN"/>
                    </w:rPr>
                    <w:t>/</w:t>
                  </w:r>
                </w:p>
              </w:tc>
            </w:tr>
            <w:tr w14:paraId="221816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06" w:type="dxa"/>
                  <w:gridSpan w:val="7"/>
                  <w:noWrap w:val="0"/>
                  <w:vAlign w:val="center"/>
                </w:tcPr>
                <w:p w14:paraId="1DD48284">
                  <w:pPr>
                    <w:widowControl/>
                    <w:jc w:val="both"/>
                    <w:rPr>
                      <w:rFonts w:hint="eastAsia"/>
                      <w:b w:val="0"/>
                      <w:bCs/>
                      <w:color w:val="auto"/>
                      <w:kern w:val="0"/>
                      <w:szCs w:val="21"/>
                      <w:highlight w:val="none"/>
                      <w:lang w:val="en-US" w:eastAsia="zh-CN"/>
                    </w:rPr>
                  </w:pPr>
                  <w:r>
                    <w:rPr>
                      <w:rFonts w:hint="eastAsia"/>
                      <w:b w:val="0"/>
                      <w:bCs/>
                      <w:color w:val="auto"/>
                      <w:kern w:val="0"/>
                      <w:szCs w:val="21"/>
                      <w:highlight w:val="none"/>
                      <w:lang w:val="en-US" w:eastAsia="zh-CN"/>
                    </w:rPr>
                    <w:t>注：经与设计方核实，风机风量为12000</w:t>
                  </w:r>
                  <w:r>
                    <w:rPr>
                      <w:rFonts w:hint="eastAsia" w:ascii="Times New Roman" w:hAnsi="Calibri" w:cs="Times New Roman"/>
                      <w:b w:val="0"/>
                      <w:bCs/>
                      <w:color w:val="auto"/>
                      <w:sz w:val="21"/>
                      <w:szCs w:val="21"/>
                      <w:highlight w:val="none"/>
                    </w:rPr>
                    <w:t>m</w:t>
                  </w:r>
                  <w:r>
                    <w:rPr>
                      <w:rFonts w:ascii="Times New Roman" w:hAnsi="Calibri" w:cs="Times New Roman"/>
                      <w:b w:val="0"/>
                      <w:bCs/>
                      <w:color w:val="auto"/>
                      <w:sz w:val="21"/>
                      <w:szCs w:val="21"/>
                      <w:highlight w:val="none"/>
                      <w:vertAlign w:val="superscript"/>
                    </w:rPr>
                    <w:t>3</w:t>
                  </w:r>
                  <w:r>
                    <w:rPr>
                      <w:rFonts w:hint="eastAsia" w:ascii="Times New Roman" w:hAnsi="Calibri" w:cs="Times New Roman"/>
                      <w:b w:val="0"/>
                      <w:bCs/>
                      <w:color w:val="auto"/>
                      <w:sz w:val="21"/>
                      <w:szCs w:val="21"/>
                      <w:highlight w:val="none"/>
                    </w:rPr>
                    <w:t>/h</w:t>
                  </w:r>
                  <w:r>
                    <w:rPr>
                      <w:rFonts w:hint="eastAsia" w:ascii="Times New Roman" w:hAnsi="Calibri" w:cs="Times New Roman"/>
                      <w:b w:val="0"/>
                      <w:bCs/>
                      <w:color w:val="auto"/>
                      <w:sz w:val="21"/>
                      <w:szCs w:val="21"/>
                      <w:highlight w:val="none"/>
                      <w:lang w:eastAsia="zh-CN"/>
                    </w:rPr>
                    <w:t>。</w:t>
                  </w:r>
                </w:p>
              </w:tc>
            </w:tr>
          </w:tbl>
          <w:p w14:paraId="66E6D7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color w:val="auto"/>
                <w:sz w:val="24"/>
                <w:highlight w:val="none"/>
                <w:lang w:val="en-US" w:eastAsia="zh-CN"/>
              </w:rPr>
            </w:pPr>
            <w:r>
              <w:rPr>
                <w:rFonts w:hint="default"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lang w:val="en-US" w:eastAsia="zh-CN"/>
              </w:rPr>
              <w:t>3</w:t>
            </w:r>
            <w:r>
              <w:rPr>
                <w:rFonts w:hint="default" w:ascii="Times New Roman" w:hAnsi="Times New Roman" w:cs="Times New Roman"/>
                <w:b w:val="0"/>
                <w:bCs/>
                <w:color w:val="auto"/>
                <w:sz w:val="24"/>
                <w:highlight w:val="none"/>
                <w:lang w:eastAsia="zh-CN"/>
              </w:rPr>
              <w:t>）</w:t>
            </w:r>
            <w:r>
              <w:rPr>
                <w:rFonts w:hint="default" w:ascii="Times New Roman" w:hAnsi="Times New Roman" w:eastAsia="宋体" w:cs="Times New Roman"/>
                <w:b w:val="0"/>
                <w:bCs/>
                <w:color w:val="auto"/>
                <w:sz w:val="24"/>
                <w:highlight w:val="none"/>
                <w:lang w:val="en-US" w:eastAsia="zh-CN"/>
              </w:rPr>
              <w:t>达标性分析</w:t>
            </w:r>
          </w:p>
          <w:p w14:paraId="6AECC27C">
            <w:pPr>
              <w:pStyle w:val="43"/>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cs="Times New Roman"/>
                <w:color w:val="auto"/>
                <w:kern w:val="0"/>
                <w:sz w:val="24"/>
                <w:highlight w:val="none"/>
                <w:lang w:eastAsia="zh-CN"/>
              </w:rPr>
            </w:pPr>
            <w:r>
              <w:rPr>
                <w:rFonts w:hint="eastAsia" w:ascii="宋体" w:hAnsi="宋体" w:eastAsia="宋体" w:cs="宋体"/>
                <w:color w:val="auto"/>
                <w:kern w:val="0"/>
                <w:sz w:val="24"/>
                <w:highlight w:val="none"/>
                <w:lang w:eastAsia="zh-CN"/>
              </w:rPr>
              <w:t>①</w:t>
            </w:r>
            <w:r>
              <w:rPr>
                <w:rFonts w:hint="eastAsia" w:ascii="Times New Roman" w:cs="Times New Roman"/>
                <w:color w:val="auto"/>
                <w:kern w:val="0"/>
                <w:sz w:val="24"/>
                <w:highlight w:val="none"/>
                <w:lang w:eastAsia="zh-CN"/>
              </w:rPr>
              <w:t>有组织废气达标性分析</w:t>
            </w:r>
          </w:p>
          <w:p w14:paraId="4BD4BEC4">
            <w:pPr>
              <w:pStyle w:val="43"/>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highlight w:val="none"/>
              </w:rPr>
            </w:pPr>
            <w:r>
              <w:rPr>
                <w:rFonts w:hint="eastAsia" w:ascii="Times New Roman" w:cs="Times New Roman"/>
                <w:color w:val="auto"/>
                <w:kern w:val="0"/>
                <w:sz w:val="24"/>
                <w:highlight w:val="none"/>
                <w:lang w:eastAsia="zh-CN"/>
              </w:rPr>
              <w:t>根据</w:t>
            </w:r>
            <w:r>
              <w:rPr>
                <w:rFonts w:hint="default" w:ascii="Times New Roman" w:hAnsi="Times New Roman" w:cs="Times New Roman"/>
                <w:color w:val="auto"/>
                <w:kern w:val="0"/>
                <w:sz w:val="24"/>
                <w:highlight w:val="none"/>
              </w:rPr>
              <w:t>计算结果可知，本项目</w:t>
            </w:r>
            <w:r>
              <w:rPr>
                <w:rFonts w:hint="eastAsia" w:ascii="Times New Roman" w:cs="Times New Roman"/>
                <w:color w:val="auto"/>
                <w:kern w:val="0"/>
                <w:sz w:val="24"/>
                <w:highlight w:val="none"/>
                <w:lang w:eastAsia="zh-CN"/>
              </w:rPr>
              <w:t>污水处理厂</w:t>
            </w:r>
            <w:r>
              <w:rPr>
                <w:rFonts w:hint="default" w:ascii="Times New Roman" w:hAnsi="Times New Roman" w:cs="Times New Roman"/>
                <w:color w:val="auto"/>
                <w:kern w:val="0"/>
                <w:sz w:val="24"/>
                <w:highlight w:val="none"/>
              </w:rPr>
              <w:t>在采取以上除臭措施处理后，恶臭有组织排放</w:t>
            </w:r>
            <w:r>
              <w:rPr>
                <w:rFonts w:hint="eastAsia" w:ascii="Times New Roman" w:cs="Times New Roman"/>
                <w:color w:val="auto"/>
                <w:kern w:val="0"/>
                <w:sz w:val="24"/>
                <w:highlight w:val="none"/>
                <w:lang w:eastAsia="zh-CN"/>
              </w:rPr>
              <w:t>速率</w:t>
            </w:r>
            <w:r>
              <w:rPr>
                <w:rFonts w:hint="default" w:ascii="Times New Roman" w:hAnsi="Times New Roman" w:cs="Times New Roman"/>
                <w:color w:val="auto"/>
                <w:kern w:val="0"/>
                <w:sz w:val="24"/>
                <w:highlight w:val="none"/>
              </w:rPr>
              <w:t>可以满足《恶臭污染物排放标准》（GB14554-93）表2中的排放标准值（H</w:t>
            </w:r>
            <w:r>
              <w:rPr>
                <w:rFonts w:hint="default" w:ascii="Times New Roman" w:hAnsi="Times New Roman" w:cs="Times New Roman"/>
                <w:color w:val="auto"/>
                <w:kern w:val="0"/>
                <w:sz w:val="24"/>
                <w:highlight w:val="none"/>
                <w:vertAlign w:val="subscript"/>
              </w:rPr>
              <w:t>2</w:t>
            </w:r>
            <w:r>
              <w:rPr>
                <w:rFonts w:hint="default" w:ascii="Times New Roman" w:hAnsi="Times New Roman" w:cs="Times New Roman"/>
                <w:color w:val="auto"/>
                <w:kern w:val="0"/>
                <w:sz w:val="24"/>
                <w:highlight w:val="none"/>
              </w:rPr>
              <w:t>S：0.33kg/h、NH</w:t>
            </w:r>
            <w:r>
              <w:rPr>
                <w:rFonts w:hint="default" w:ascii="Times New Roman" w:hAnsi="Times New Roman" w:cs="Times New Roman"/>
                <w:color w:val="auto"/>
                <w:kern w:val="0"/>
                <w:sz w:val="24"/>
                <w:highlight w:val="none"/>
                <w:vertAlign w:val="subscript"/>
              </w:rPr>
              <w:t>3</w:t>
            </w:r>
            <w:r>
              <w:rPr>
                <w:rFonts w:hint="default" w:ascii="Times New Roman" w:hAnsi="Times New Roman" w:cs="Times New Roman"/>
                <w:color w:val="auto"/>
                <w:kern w:val="0"/>
                <w:sz w:val="24"/>
                <w:highlight w:val="none"/>
              </w:rPr>
              <w:t>：4.9kg/h）</w:t>
            </w:r>
            <w:r>
              <w:rPr>
                <w:rFonts w:hint="eastAsia" w:asci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因此恶臭可达标排放，对外环境影响不大。</w:t>
            </w:r>
          </w:p>
          <w:p w14:paraId="07B3831B">
            <w:pPr>
              <w:pStyle w:val="43"/>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②</w:t>
            </w:r>
            <w:r>
              <w:rPr>
                <w:rFonts w:hint="eastAsia" w:ascii="Times New Roman" w:cs="Times New Roman"/>
                <w:b w:val="0"/>
                <w:bCs w:val="0"/>
                <w:color w:val="auto"/>
                <w:sz w:val="24"/>
                <w:highlight w:val="none"/>
                <w:lang w:val="en-US" w:eastAsia="zh-CN"/>
              </w:rPr>
              <w:t>无组织废气达标性分析</w:t>
            </w:r>
          </w:p>
          <w:p w14:paraId="2D041A40">
            <w:pPr>
              <w:spacing w:line="360" w:lineRule="auto"/>
              <w:ind w:firstLine="476"/>
              <w:rPr>
                <w:color w:val="auto"/>
                <w:sz w:val="24"/>
                <w:highlight w:val="none"/>
              </w:rPr>
            </w:pPr>
            <w:r>
              <w:rPr>
                <w:rFonts w:hint="eastAsia" w:hAnsi="宋体"/>
                <w:color w:val="auto"/>
                <w:sz w:val="24"/>
                <w:highlight w:val="none"/>
              </w:rPr>
              <w:t>本次预测采取《环境影响评价技术导则  大气环境》（HJ2.2-2018）中推荐的AERSCREEN模型进行估算</w:t>
            </w:r>
            <w:r>
              <w:rPr>
                <w:color w:val="auto"/>
                <w:sz w:val="24"/>
                <w:highlight w:val="none"/>
              </w:rPr>
              <w:t>，污水</w:t>
            </w:r>
            <w:r>
              <w:rPr>
                <w:rFonts w:hint="eastAsia"/>
                <w:color w:val="auto"/>
                <w:sz w:val="24"/>
                <w:highlight w:val="none"/>
              </w:rPr>
              <w:t>处理</w:t>
            </w:r>
            <w:r>
              <w:rPr>
                <w:color w:val="auto"/>
                <w:sz w:val="24"/>
                <w:highlight w:val="none"/>
              </w:rPr>
              <w:t>厂</w:t>
            </w:r>
            <w:r>
              <w:rPr>
                <w:rFonts w:hint="eastAsia"/>
                <w:color w:val="auto"/>
                <w:sz w:val="24"/>
                <w:highlight w:val="none"/>
                <w:lang w:eastAsia="zh-CN"/>
              </w:rPr>
              <w:t>无</w:t>
            </w:r>
            <w:r>
              <w:rPr>
                <w:color w:val="auto"/>
                <w:sz w:val="24"/>
                <w:highlight w:val="none"/>
              </w:rPr>
              <w:t>组织</w:t>
            </w:r>
            <w:r>
              <w:rPr>
                <w:rFonts w:hint="eastAsia"/>
                <w:color w:val="auto"/>
                <w:sz w:val="24"/>
                <w:highlight w:val="none"/>
                <w:lang w:eastAsia="zh-CN"/>
              </w:rPr>
              <w:t>恶臭污染源强计算参数见表</w:t>
            </w:r>
            <w:r>
              <w:rPr>
                <w:rFonts w:hint="eastAsia"/>
                <w:color w:val="auto"/>
                <w:sz w:val="24"/>
                <w:highlight w:val="none"/>
                <w:lang w:val="en-US" w:eastAsia="zh-CN"/>
              </w:rPr>
              <w:t>4-2，</w:t>
            </w:r>
            <w:r>
              <w:rPr>
                <w:color w:val="auto"/>
                <w:sz w:val="24"/>
                <w:highlight w:val="none"/>
              </w:rPr>
              <w:t>预测结果见</w:t>
            </w:r>
            <w:r>
              <w:rPr>
                <w:rFonts w:hint="eastAsia"/>
                <w:color w:val="auto"/>
                <w:sz w:val="24"/>
                <w:highlight w:val="none"/>
                <w:lang w:eastAsia="zh-CN"/>
              </w:rPr>
              <w:t>表</w:t>
            </w:r>
            <w:r>
              <w:rPr>
                <w:rFonts w:hint="eastAsia"/>
                <w:color w:val="auto"/>
                <w:sz w:val="24"/>
                <w:highlight w:val="none"/>
                <w:lang w:val="en-US" w:eastAsia="zh-CN"/>
              </w:rPr>
              <w:t>4-3。</w:t>
            </w:r>
          </w:p>
          <w:p w14:paraId="7198D7F0">
            <w:pPr>
              <w:snapToGrid w:val="0"/>
              <w:jc w:val="center"/>
              <w:rPr>
                <w:b/>
                <w:color w:val="auto"/>
                <w:szCs w:val="21"/>
                <w:highlight w:val="none"/>
              </w:rPr>
            </w:pPr>
            <w:r>
              <w:rPr>
                <w:b/>
                <w:color w:val="auto"/>
                <w:szCs w:val="21"/>
                <w:highlight w:val="none"/>
              </w:rPr>
              <w:t>表</w:t>
            </w:r>
            <w:r>
              <w:rPr>
                <w:rFonts w:hint="eastAsia"/>
                <w:b/>
                <w:color w:val="auto"/>
                <w:szCs w:val="21"/>
                <w:highlight w:val="none"/>
                <w:lang w:val="en-US" w:eastAsia="zh-CN"/>
              </w:rPr>
              <w:t>4-2</w:t>
            </w:r>
            <w:r>
              <w:rPr>
                <w:b/>
                <w:color w:val="auto"/>
                <w:szCs w:val="21"/>
                <w:highlight w:val="none"/>
              </w:rPr>
              <w:t xml:space="preserve">  </w:t>
            </w:r>
            <w:r>
              <w:rPr>
                <w:rFonts w:hint="eastAsia"/>
                <w:b/>
                <w:color w:val="auto"/>
                <w:szCs w:val="21"/>
                <w:highlight w:val="none"/>
                <w:lang w:eastAsia="zh-CN"/>
              </w:rPr>
              <w:t>污水处理厂</w:t>
            </w:r>
            <w:r>
              <w:rPr>
                <w:b/>
                <w:color w:val="auto"/>
                <w:szCs w:val="21"/>
                <w:highlight w:val="none"/>
              </w:rPr>
              <w:t>无组织</w:t>
            </w:r>
            <w:r>
              <w:rPr>
                <w:rFonts w:hint="eastAsia"/>
                <w:b/>
                <w:color w:val="auto"/>
                <w:szCs w:val="21"/>
                <w:highlight w:val="none"/>
                <w:lang w:eastAsia="zh-CN"/>
              </w:rPr>
              <w:t>恶臭</w:t>
            </w:r>
            <w:r>
              <w:rPr>
                <w:b/>
                <w:color w:val="auto"/>
                <w:szCs w:val="21"/>
                <w:highlight w:val="none"/>
              </w:rPr>
              <w:t>污染物排放参数</w:t>
            </w:r>
          </w:p>
          <w:tbl>
            <w:tblPr>
              <w:tblStyle w:val="31"/>
              <w:tblW w:w="800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726"/>
              <w:gridCol w:w="719"/>
              <w:gridCol w:w="796"/>
              <w:gridCol w:w="652"/>
              <w:gridCol w:w="638"/>
              <w:gridCol w:w="579"/>
              <w:gridCol w:w="609"/>
              <w:gridCol w:w="652"/>
              <w:gridCol w:w="623"/>
              <w:gridCol w:w="565"/>
              <w:gridCol w:w="623"/>
              <w:gridCol w:w="827"/>
            </w:tblGrid>
            <w:tr w14:paraId="69FACD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702" w:hRule="atLeast"/>
                <w:jc w:val="center"/>
              </w:trPr>
              <w:tc>
                <w:tcPr>
                  <w:tcW w:w="726" w:type="dxa"/>
                  <w:vMerge w:val="restart"/>
                  <w:noWrap w:val="0"/>
                  <w:vAlign w:val="center"/>
                </w:tcPr>
                <w:p w14:paraId="124F9558">
                  <w:pPr>
                    <w:widowControl/>
                    <w:adjustRightInd w:val="0"/>
                    <w:snapToGrid w:val="0"/>
                    <w:spacing w:before="48" w:beforeLines="20" w:after="48" w:afterLines="20"/>
                    <w:jc w:val="center"/>
                    <w:rPr>
                      <w:color w:val="auto"/>
                      <w:kern w:val="0"/>
                      <w:szCs w:val="21"/>
                      <w:highlight w:val="none"/>
                    </w:rPr>
                  </w:pPr>
                  <w:r>
                    <w:rPr>
                      <w:rFonts w:hint="eastAsia"/>
                      <w:color w:val="auto"/>
                      <w:kern w:val="0"/>
                      <w:szCs w:val="21"/>
                      <w:highlight w:val="none"/>
                    </w:rPr>
                    <w:t>面源</w:t>
                  </w:r>
                </w:p>
              </w:tc>
              <w:tc>
                <w:tcPr>
                  <w:tcW w:w="1515" w:type="dxa"/>
                  <w:gridSpan w:val="2"/>
                  <w:noWrap w:val="0"/>
                  <w:vAlign w:val="center"/>
                </w:tcPr>
                <w:p w14:paraId="6F59F2CF">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面源起点坐标/m</w:t>
                  </w:r>
                </w:p>
              </w:tc>
              <w:tc>
                <w:tcPr>
                  <w:tcW w:w="652" w:type="dxa"/>
                  <w:vMerge w:val="restart"/>
                  <w:noWrap w:val="0"/>
                  <w:vAlign w:val="center"/>
                </w:tcPr>
                <w:p w14:paraId="2CAD2CBC">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面源</w:t>
                  </w:r>
                  <w:r>
                    <w:rPr>
                      <w:rFonts w:hint="eastAsia"/>
                      <w:color w:val="auto"/>
                      <w:kern w:val="0"/>
                      <w:szCs w:val="21"/>
                      <w:highlight w:val="none"/>
                    </w:rPr>
                    <w:t>海拔</w:t>
                  </w:r>
                  <w:r>
                    <w:rPr>
                      <w:color w:val="auto"/>
                      <w:kern w:val="0"/>
                      <w:szCs w:val="21"/>
                      <w:highlight w:val="none"/>
                    </w:rPr>
                    <w:t>/m</w:t>
                  </w:r>
                </w:p>
              </w:tc>
              <w:tc>
                <w:tcPr>
                  <w:tcW w:w="638" w:type="dxa"/>
                  <w:vMerge w:val="restart"/>
                  <w:noWrap w:val="0"/>
                  <w:vAlign w:val="center"/>
                </w:tcPr>
                <w:p w14:paraId="62BC9C6C">
                  <w:pPr>
                    <w:widowControl/>
                    <w:adjustRightInd w:val="0"/>
                    <w:snapToGrid w:val="0"/>
                    <w:spacing w:before="48" w:beforeLines="20" w:after="48" w:afterLines="20"/>
                    <w:jc w:val="center"/>
                    <w:rPr>
                      <w:color w:val="auto"/>
                      <w:kern w:val="0"/>
                      <w:szCs w:val="21"/>
                      <w:highlight w:val="none"/>
                    </w:rPr>
                  </w:pPr>
                  <w:r>
                    <w:rPr>
                      <w:rFonts w:hint="eastAsia"/>
                      <w:color w:val="auto"/>
                      <w:kern w:val="0"/>
                      <w:szCs w:val="21"/>
                      <w:highlight w:val="none"/>
                    </w:rPr>
                    <w:t>与正北方向夹角</w:t>
                  </w:r>
                </w:p>
              </w:tc>
              <w:tc>
                <w:tcPr>
                  <w:tcW w:w="579" w:type="dxa"/>
                  <w:vMerge w:val="restart"/>
                  <w:noWrap w:val="0"/>
                  <w:vAlign w:val="center"/>
                </w:tcPr>
                <w:p w14:paraId="57878B39">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面源长度/m</w:t>
                  </w:r>
                </w:p>
              </w:tc>
              <w:tc>
                <w:tcPr>
                  <w:tcW w:w="609" w:type="dxa"/>
                  <w:vMerge w:val="restart"/>
                  <w:noWrap w:val="0"/>
                  <w:vAlign w:val="center"/>
                </w:tcPr>
                <w:p w14:paraId="1A291471">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面源宽度/m</w:t>
                  </w:r>
                </w:p>
              </w:tc>
              <w:tc>
                <w:tcPr>
                  <w:tcW w:w="652" w:type="dxa"/>
                  <w:vMerge w:val="restart"/>
                  <w:noWrap w:val="0"/>
                  <w:vAlign w:val="center"/>
                </w:tcPr>
                <w:p w14:paraId="59E13065">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面源有效排放高度/m</w:t>
                  </w:r>
                </w:p>
              </w:tc>
              <w:tc>
                <w:tcPr>
                  <w:tcW w:w="623" w:type="dxa"/>
                  <w:vMerge w:val="restart"/>
                  <w:noWrap w:val="0"/>
                  <w:vAlign w:val="center"/>
                </w:tcPr>
                <w:p w14:paraId="3C0F81E1">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年排放小时数/h</w:t>
                  </w:r>
                </w:p>
              </w:tc>
              <w:tc>
                <w:tcPr>
                  <w:tcW w:w="565" w:type="dxa"/>
                  <w:vMerge w:val="restart"/>
                  <w:noWrap w:val="0"/>
                  <w:vAlign w:val="center"/>
                </w:tcPr>
                <w:p w14:paraId="3D83D451">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排放</w:t>
                  </w:r>
                </w:p>
                <w:p w14:paraId="71C98BC5">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工况</w:t>
                  </w:r>
                </w:p>
              </w:tc>
              <w:tc>
                <w:tcPr>
                  <w:tcW w:w="1450" w:type="dxa"/>
                  <w:gridSpan w:val="2"/>
                  <w:noWrap w:val="0"/>
                  <w:vAlign w:val="center"/>
                </w:tcPr>
                <w:p w14:paraId="316E2CB3">
                  <w:pPr>
                    <w:widowControl/>
                    <w:adjustRightInd w:val="0"/>
                    <w:snapToGrid w:val="0"/>
                    <w:spacing w:before="48" w:beforeLines="20" w:after="48" w:afterLines="20"/>
                    <w:jc w:val="center"/>
                    <w:rPr>
                      <w:rFonts w:hint="eastAsia" w:eastAsia="宋体"/>
                      <w:color w:val="auto"/>
                      <w:kern w:val="0"/>
                      <w:szCs w:val="21"/>
                      <w:highlight w:val="none"/>
                      <w:lang w:val="en-US" w:eastAsia="zh-CN"/>
                    </w:rPr>
                  </w:pPr>
                  <w:r>
                    <w:rPr>
                      <w:color w:val="auto"/>
                      <w:kern w:val="0"/>
                      <w:szCs w:val="21"/>
                      <w:highlight w:val="none"/>
                    </w:rPr>
                    <w:t>污染物排放速率/（kg/h</w:t>
                  </w:r>
                  <w:r>
                    <w:rPr>
                      <w:rFonts w:hint="eastAsia"/>
                      <w:color w:val="auto"/>
                      <w:kern w:val="0"/>
                      <w:szCs w:val="21"/>
                      <w:highlight w:val="none"/>
                      <w:lang w:eastAsia="zh-CN"/>
                    </w:rPr>
                    <w:t>）</w:t>
                  </w:r>
                </w:p>
              </w:tc>
            </w:tr>
            <w:tr w14:paraId="7A5DFF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426" w:hRule="atLeast"/>
                <w:jc w:val="center"/>
              </w:trPr>
              <w:tc>
                <w:tcPr>
                  <w:tcW w:w="726" w:type="dxa"/>
                  <w:vMerge w:val="continue"/>
                  <w:noWrap w:val="0"/>
                  <w:vAlign w:val="center"/>
                </w:tcPr>
                <w:p w14:paraId="5AEC3097">
                  <w:pPr>
                    <w:widowControl/>
                    <w:adjustRightInd w:val="0"/>
                    <w:snapToGrid w:val="0"/>
                    <w:spacing w:before="48" w:beforeLines="20" w:after="48" w:afterLines="20"/>
                    <w:jc w:val="center"/>
                    <w:rPr>
                      <w:color w:val="auto"/>
                      <w:kern w:val="0"/>
                      <w:szCs w:val="21"/>
                      <w:highlight w:val="none"/>
                    </w:rPr>
                  </w:pPr>
                </w:p>
              </w:tc>
              <w:tc>
                <w:tcPr>
                  <w:tcW w:w="719" w:type="dxa"/>
                  <w:noWrap w:val="0"/>
                  <w:vAlign w:val="center"/>
                </w:tcPr>
                <w:p w14:paraId="5DEB3DC9">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X</w:t>
                  </w:r>
                </w:p>
              </w:tc>
              <w:tc>
                <w:tcPr>
                  <w:tcW w:w="796" w:type="dxa"/>
                  <w:noWrap w:val="0"/>
                  <w:vAlign w:val="center"/>
                </w:tcPr>
                <w:p w14:paraId="328A2F42">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Y</w:t>
                  </w:r>
                </w:p>
              </w:tc>
              <w:tc>
                <w:tcPr>
                  <w:tcW w:w="652" w:type="dxa"/>
                  <w:vMerge w:val="continue"/>
                  <w:noWrap w:val="0"/>
                  <w:vAlign w:val="center"/>
                </w:tcPr>
                <w:p w14:paraId="109798CC">
                  <w:pPr>
                    <w:widowControl/>
                    <w:adjustRightInd w:val="0"/>
                    <w:snapToGrid w:val="0"/>
                    <w:spacing w:before="48" w:beforeLines="20" w:after="48" w:afterLines="20"/>
                    <w:jc w:val="left"/>
                    <w:rPr>
                      <w:color w:val="auto"/>
                      <w:kern w:val="0"/>
                      <w:szCs w:val="21"/>
                      <w:highlight w:val="none"/>
                    </w:rPr>
                  </w:pPr>
                </w:p>
              </w:tc>
              <w:tc>
                <w:tcPr>
                  <w:tcW w:w="638" w:type="dxa"/>
                  <w:vMerge w:val="continue"/>
                  <w:noWrap w:val="0"/>
                  <w:vAlign w:val="center"/>
                </w:tcPr>
                <w:p w14:paraId="4BE7FED8">
                  <w:pPr>
                    <w:widowControl/>
                    <w:adjustRightInd w:val="0"/>
                    <w:snapToGrid w:val="0"/>
                    <w:spacing w:before="48" w:beforeLines="20" w:after="48" w:afterLines="20"/>
                    <w:jc w:val="left"/>
                    <w:rPr>
                      <w:color w:val="auto"/>
                      <w:kern w:val="0"/>
                      <w:szCs w:val="21"/>
                      <w:highlight w:val="none"/>
                    </w:rPr>
                  </w:pPr>
                </w:p>
              </w:tc>
              <w:tc>
                <w:tcPr>
                  <w:tcW w:w="579" w:type="dxa"/>
                  <w:vMerge w:val="continue"/>
                  <w:noWrap w:val="0"/>
                  <w:vAlign w:val="center"/>
                </w:tcPr>
                <w:p w14:paraId="4DB54975">
                  <w:pPr>
                    <w:widowControl/>
                    <w:adjustRightInd w:val="0"/>
                    <w:snapToGrid w:val="0"/>
                    <w:spacing w:before="48" w:beforeLines="20" w:after="48" w:afterLines="20"/>
                    <w:jc w:val="left"/>
                    <w:rPr>
                      <w:color w:val="auto"/>
                      <w:kern w:val="0"/>
                      <w:szCs w:val="21"/>
                      <w:highlight w:val="none"/>
                    </w:rPr>
                  </w:pPr>
                </w:p>
              </w:tc>
              <w:tc>
                <w:tcPr>
                  <w:tcW w:w="609" w:type="dxa"/>
                  <w:vMerge w:val="continue"/>
                  <w:noWrap w:val="0"/>
                  <w:vAlign w:val="center"/>
                </w:tcPr>
                <w:p w14:paraId="6CD1B860">
                  <w:pPr>
                    <w:widowControl/>
                    <w:adjustRightInd w:val="0"/>
                    <w:snapToGrid w:val="0"/>
                    <w:spacing w:before="48" w:beforeLines="20" w:after="48" w:afterLines="20"/>
                    <w:jc w:val="left"/>
                    <w:rPr>
                      <w:color w:val="auto"/>
                      <w:kern w:val="0"/>
                      <w:szCs w:val="21"/>
                      <w:highlight w:val="none"/>
                    </w:rPr>
                  </w:pPr>
                </w:p>
              </w:tc>
              <w:tc>
                <w:tcPr>
                  <w:tcW w:w="652" w:type="dxa"/>
                  <w:vMerge w:val="continue"/>
                  <w:noWrap w:val="0"/>
                  <w:vAlign w:val="center"/>
                </w:tcPr>
                <w:p w14:paraId="0B380B61">
                  <w:pPr>
                    <w:widowControl/>
                    <w:adjustRightInd w:val="0"/>
                    <w:snapToGrid w:val="0"/>
                    <w:spacing w:before="48" w:beforeLines="20" w:after="48" w:afterLines="20"/>
                    <w:jc w:val="left"/>
                    <w:rPr>
                      <w:color w:val="auto"/>
                      <w:kern w:val="0"/>
                      <w:szCs w:val="21"/>
                      <w:highlight w:val="none"/>
                    </w:rPr>
                  </w:pPr>
                </w:p>
              </w:tc>
              <w:tc>
                <w:tcPr>
                  <w:tcW w:w="623" w:type="dxa"/>
                  <w:vMerge w:val="continue"/>
                  <w:noWrap w:val="0"/>
                  <w:vAlign w:val="center"/>
                </w:tcPr>
                <w:p w14:paraId="1DEEFDC1">
                  <w:pPr>
                    <w:widowControl/>
                    <w:adjustRightInd w:val="0"/>
                    <w:snapToGrid w:val="0"/>
                    <w:spacing w:before="48" w:beforeLines="20" w:after="48" w:afterLines="20"/>
                    <w:jc w:val="left"/>
                    <w:rPr>
                      <w:color w:val="auto"/>
                      <w:kern w:val="0"/>
                      <w:szCs w:val="21"/>
                      <w:highlight w:val="none"/>
                    </w:rPr>
                  </w:pPr>
                </w:p>
              </w:tc>
              <w:tc>
                <w:tcPr>
                  <w:tcW w:w="565" w:type="dxa"/>
                  <w:vMerge w:val="continue"/>
                  <w:noWrap w:val="0"/>
                  <w:vAlign w:val="center"/>
                </w:tcPr>
                <w:p w14:paraId="096E4A53">
                  <w:pPr>
                    <w:widowControl/>
                    <w:adjustRightInd w:val="0"/>
                    <w:snapToGrid w:val="0"/>
                    <w:spacing w:before="48" w:beforeLines="20" w:after="48" w:afterLines="20"/>
                    <w:jc w:val="left"/>
                    <w:rPr>
                      <w:color w:val="auto"/>
                      <w:kern w:val="0"/>
                      <w:szCs w:val="21"/>
                      <w:highlight w:val="none"/>
                    </w:rPr>
                  </w:pPr>
                </w:p>
              </w:tc>
              <w:tc>
                <w:tcPr>
                  <w:tcW w:w="623" w:type="dxa"/>
                  <w:tcBorders>
                    <w:right w:val="single" w:color="auto" w:sz="4" w:space="0"/>
                  </w:tcBorders>
                  <w:noWrap w:val="0"/>
                  <w:vAlign w:val="center"/>
                </w:tcPr>
                <w:p w14:paraId="3EA3F28D">
                  <w:pPr>
                    <w:widowControl/>
                    <w:adjustRightInd w:val="0"/>
                    <w:snapToGrid w:val="0"/>
                    <w:spacing w:before="48" w:beforeLines="20" w:after="48" w:afterLines="20"/>
                    <w:jc w:val="center"/>
                    <w:rPr>
                      <w:color w:val="auto"/>
                      <w:kern w:val="0"/>
                      <w:szCs w:val="21"/>
                      <w:highlight w:val="none"/>
                    </w:rPr>
                  </w:pPr>
                  <w:r>
                    <w:rPr>
                      <w:rFonts w:hint="eastAsia"/>
                      <w:color w:val="auto"/>
                      <w:kern w:val="0"/>
                      <w:szCs w:val="21"/>
                      <w:highlight w:val="none"/>
                      <w:lang w:bidi="ar"/>
                    </w:rPr>
                    <w:t>NH</w:t>
                  </w:r>
                  <w:r>
                    <w:rPr>
                      <w:rFonts w:hint="eastAsia"/>
                      <w:color w:val="auto"/>
                      <w:kern w:val="0"/>
                      <w:szCs w:val="21"/>
                      <w:highlight w:val="none"/>
                      <w:vertAlign w:val="subscript"/>
                      <w:lang w:bidi="ar"/>
                    </w:rPr>
                    <w:t>3</w:t>
                  </w:r>
                </w:p>
              </w:tc>
              <w:tc>
                <w:tcPr>
                  <w:tcW w:w="827" w:type="dxa"/>
                  <w:tcBorders>
                    <w:left w:val="single" w:color="auto" w:sz="4" w:space="0"/>
                  </w:tcBorders>
                  <w:noWrap w:val="0"/>
                  <w:vAlign w:val="center"/>
                </w:tcPr>
                <w:p w14:paraId="523E50AE">
                  <w:pPr>
                    <w:widowControl/>
                    <w:adjustRightInd w:val="0"/>
                    <w:snapToGrid w:val="0"/>
                    <w:spacing w:before="48" w:beforeLines="20" w:after="48" w:afterLines="20"/>
                    <w:jc w:val="center"/>
                    <w:rPr>
                      <w:color w:val="auto"/>
                      <w:kern w:val="0"/>
                      <w:szCs w:val="21"/>
                      <w:highlight w:val="none"/>
                    </w:rPr>
                  </w:pPr>
                  <w:r>
                    <w:rPr>
                      <w:rFonts w:hint="eastAsia"/>
                      <w:color w:val="auto"/>
                      <w:kern w:val="0"/>
                      <w:szCs w:val="21"/>
                      <w:highlight w:val="none"/>
                      <w:lang w:bidi="ar"/>
                    </w:rPr>
                    <w:t>H</w:t>
                  </w:r>
                  <w:r>
                    <w:rPr>
                      <w:rFonts w:hint="eastAsia"/>
                      <w:color w:val="auto"/>
                      <w:kern w:val="0"/>
                      <w:szCs w:val="21"/>
                      <w:highlight w:val="none"/>
                      <w:vertAlign w:val="subscript"/>
                      <w:lang w:bidi="ar"/>
                    </w:rPr>
                    <w:t>2</w:t>
                  </w:r>
                  <w:r>
                    <w:rPr>
                      <w:rFonts w:hint="eastAsia"/>
                      <w:color w:val="auto"/>
                      <w:kern w:val="0"/>
                      <w:szCs w:val="21"/>
                      <w:highlight w:val="none"/>
                      <w:lang w:bidi="ar"/>
                    </w:rPr>
                    <w:t>S</w:t>
                  </w:r>
                </w:p>
              </w:tc>
            </w:tr>
            <w:tr w14:paraId="13B0FA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759" w:hRule="atLeast"/>
                <w:jc w:val="center"/>
              </w:trPr>
              <w:tc>
                <w:tcPr>
                  <w:tcW w:w="726" w:type="dxa"/>
                  <w:noWrap w:val="0"/>
                  <w:vAlign w:val="center"/>
                </w:tcPr>
                <w:p w14:paraId="5CAD75EA">
                  <w:pPr>
                    <w:pStyle w:val="68"/>
                    <w:snapToGrid w:val="0"/>
                    <w:spacing w:before="48" w:beforeLines="20" w:after="48" w:afterLines="20"/>
                    <w:jc w:val="center"/>
                    <w:rPr>
                      <w:rFonts w:hint="eastAsia" w:ascii="Times New Roman" w:cs="Times New Roman"/>
                      <w:b w:val="0"/>
                      <w:bCs/>
                      <w:color w:val="auto"/>
                      <w:sz w:val="21"/>
                      <w:szCs w:val="21"/>
                      <w:highlight w:val="none"/>
                      <w:lang w:eastAsia="zh-CN"/>
                    </w:rPr>
                  </w:pPr>
                  <w:r>
                    <w:rPr>
                      <w:rFonts w:hint="eastAsia" w:ascii="Times New Roman" w:cs="Times New Roman"/>
                      <w:b w:val="0"/>
                      <w:bCs/>
                      <w:color w:val="auto"/>
                      <w:sz w:val="21"/>
                      <w:szCs w:val="21"/>
                      <w:highlight w:val="none"/>
                      <w:lang w:eastAsia="zh-CN"/>
                    </w:rPr>
                    <w:t>污水</w:t>
                  </w:r>
                </w:p>
                <w:p w14:paraId="7242FEC0">
                  <w:pPr>
                    <w:pStyle w:val="68"/>
                    <w:snapToGrid w:val="0"/>
                    <w:spacing w:before="48" w:beforeLines="20" w:after="48" w:afterLines="20"/>
                    <w:jc w:val="center"/>
                    <w:rPr>
                      <w:rFonts w:hint="eastAsia" w:ascii="Times New Roman" w:eastAsia="宋体" w:cs="Times New Roman"/>
                      <w:b w:val="0"/>
                      <w:bCs/>
                      <w:color w:val="auto"/>
                      <w:sz w:val="21"/>
                      <w:szCs w:val="21"/>
                      <w:highlight w:val="none"/>
                      <w:lang w:eastAsia="zh-CN"/>
                    </w:rPr>
                  </w:pPr>
                  <w:r>
                    <w:rPr>
                      <w:rFonts w:hint="eastAsia" w:ascii="Times New Roman" w:cs="Times New Roman"/>
                      <w:b w:val="0"/>
                      <w:bCs/>
                      <w:color w:val="auto"/>
                      <w:sz w:val="21"/>
                      <w:szCs w:val="21"/>
                      <w:highlight w:val="none"/>
                      <w:lang w:eastAsia="zh-CN"/>
                    </w:rPr>
                    <w:t>处理厂</w:t>
                  </w:r>
                </w:p>
              </w:tc>
              <w:tc>
                <w:tcPr>
                  <w:tcW w:w="719" w:type="dxa"/>
                  <w:noWrap w:val="0"/>
                  <w:vAlign w:val="center"/>
                </w:tcPr>
                <w:p w14:paraId="2B527D0F">
                  <w:pPr>
                    <w:pStyle w:val="68"/>
                    <w:snapToGrid w:val="0"/>
                    <w:spacing w:before="48" w:beforeLines="20" w:after="48" w:afterLines="20"/>
                    <w:jc w:val="center"/>
                    <w:rPr>
                      <w:rFonts w:hint="default" w:asci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728169</w:t>
                  </w:r>
                </w:p>
              </w:tc>
              <w:tc>
                <w:tcPr>
                  <w:tcW w:w="796" w:type="dxa"/>
                  <w:noWrap w:val="0"/>
                  <w:vAlign w:val="center"/>
                </w:tcPr>
                <w:p w14:paraId="571112CC">
                  <w:pPr>
                    <w:pStyle w:val="68"/>
                    <w:snapToGrid w:val="0"/>
                    <w:spacing w:before="48" w:beforeLines="20" w:after="48" w:afterLines="20"/>
                    <w:jc w:val="center"/>
                    <w:rPr>
                      <w:rFonts w:hint="default" w:asci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3678586</w:t>
                  </w:r>
                </w:p>
              </w:tc>
              <w:tc>
                <w:tcPr>
                  <w:tcW w:w="652" w:type="dxa"/>
                  <w:noWrap w:val="0"/>
                  <w:vAlign w:val="center"/>
                </w:tcPr>
                <w:p w14:paraId="2E9F6A02">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480</w:t>
                  </w:r>
                </w:p>
              </w:tc>
              <w:tc>
                <w:tcPr>
                  <w:tcW w:w="638" w:type="dxa"/>
                  <w:noWrap w:val="0"/>
                  <w:vAlign w:val="center"/>
                </w:tcPr>
                <w:p w14:paraId="2E1D06EC">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90</w:t>
                  </w:r>
                </w:p>
              </w:tc>
              <w:tc>
                <w:tcPr>
                  <w:tcW w:w="579" w:type="dxa"/>
                  <w:noWrap w:val="0"/>
                  <w:vAlign w:val="center"/>
                </w:tcPr>
                <w:p w14:paraId="5E87EC95">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95</w:t>
                  </w:r>
                </w:p>
              </w:tc>
              <w:tc>
                <w:tcPr>
                  <w:tcW w:w="609" w:type="dxa"/>
                  <w:noWrap w:val="0"/>
                  <w:vAlign w:val="center"/>
                </w:tcPr>
                <w:p w14:paraId="44F62741">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50</w:t>
                  </w:r>
                </w:p>
              </w:tc>
              <w:tc>
                <w:tcPr>
                  <w:tcW w:w="652" w:type="dxa"/>
                  <w:noWrap w:val="0"/>
                  <w:vAlign w:val="center"/>
                </w:tcPr>
                <w:p w14:paraId="2D293766">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10</w:t>
                  </w:r>
                </w:p>
              </w:tc>
              <w:tc>
                <w:tcPr>
                  <w:tcW w:w="623" w:type="dxa"/>
                  <w:noWrap w:val="0"/>
                  <w:vAlign w:val="center"/>
                </w:tcPr>
                <w:p w14:paraId="5CF9C333">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8760</w:t>
                  </w:r>
                </w:p>
              </w:tc>
              <w:tc>
                <w:tcPr>
                  <w:tcW w:w="565" w:type="dxa"/>
                  <w:noWrap w:val="0"/>
                  <w:vAlign w:val="center"/>
                </w:tcPr>
                <w:p w14:paraId="1163C909">
                  <w:pPr>
                    <w:widowControl/>
                    <w:adjustRightInd w:val="0"/>
                    <w:snapToGrid w:val="0"/>
                    <w:spacing w:before="48" w:beforeLines="20" w:after="48" w:afterLines="20"/>
                    <w:jc w:val="center"/>
                    <w:rPr>
                      <w:color w:val="auto"/>
                      <w:kern w:val="0"/>
                      <w:szCs w:val="21"/>
                      <w:highlight w:val="none"/>
                    </w:rPr>
                  </w:pPr>
                  <w:r>
                    <w:rPr>
                      <w:color w:val="auto"/>
                      <w:kern w:val="0"/>
                      <w:szCs w:val="21"/>
                      <w:highlight w:val="none"/>
                    </w:rPr>
                    <w:t>正常</w:t>
                  </w:r>
                </w:p>
              </w:tc>
              <w:tc>
                <w:tcPr>
                  <w:tcW w:w="623" w:type="dxa"/>
                  <w:tcBorders>
                    <w:right w:val="single" w:color="auto" w:sz="4" w:space="0"/>
                  </w:tcBorders>
                  <w:noWrap w:val="0"/>
                  <w:vAlign w:val="center"/>
                </w:tcPr>
                <w:p w14:paraId="14D1B5AC">
                  <w:pPr>
                    <w:widowControl/>
                    <w:adjustRightInd w:val="0"/>
                    <w:snapToGrid w:val="0"/>
                    <w:spacing w:before="48" w:beforeLines="20" w:after="48" w:afterLines="20"/>
                    <w:jc w:val="center"/>
                    <w:rPr>
                      <w:rFonts w:hint="default" w:eastAsia="宋体"/>
                      <w:color w:val="auto"/>
                      <w:kern w:val="0"/>
                      <w:szCs w:val="21"/>
                      <w:highlight w:val="none"/>
                      <w:lang w:val="en-US" w:eastAsia="zh-CN"/>
                    </w:rPr>
                  </w:pPr>
                  <w:r>
                    <w:rPr>
                      <w:rFonts w:hint="eastAsia"/>
                      <w:b w:val="0"/>
                      <w:bCs/>
                      <w:color w:val="auto"/>
                      <w:kern w:val="0"/>
                      <w:szCs w:val="21"/>
                      <w:highlight w:val="none"/>
                      <w:lang w:val="en-US" w:eastAsia="zh-CN"/>
                    </w:rPr>
                    <w:t>0.0046</w:t>
                  </w:r>
                </w:p>
              </w:tc>
              <w:tc>
                <w:tcPr>
                  <w:tcW w:w="827" w:type="dxa"/>
                  <w:tcBorders>
                    <w:left w:val="single" w:color="auto" w:sz="4" w:space="0"/>
                  </w:tcBorders>
                  <w:noWrap w:val="0"/>
                  <w:vAlign w:val="center"/>
                </w:tcPr>
                <w:p w14:paraId="00879A3A">
                  <w:pPr>
                    <w:widowControl/>
                    <w:adjustRightInd w:val="0"/>
                    <w:snapToGrid w:val="0"/>
                    <w:spacing w:before="48" w:beforeLines="20" w:after="48" w:afterLines="20"/>
                    <w:jc w:val="center"/>
                    <w:rPr>
                      <w:rFonts w:hint="eastAsia"/>
                      <w:color w:val="auto"/>
                      <w:kern w:val="0"/>
                      <w:szCs w:val="21"/>
                      <w:highlight w:val="none"/>
                    </w:rPr>
                  </w:pPr>
                  <w:r>
                    <w:rPr>
                      <w:rFonts w:hint="eastAsia"/>
                      <w:b w:val="0"/>
                      <w:bCs/>
                      <w:color w:val="auto"/>
                      <w:kern w:val="0"/>
                      <w:szCs w:val="21"/>
                      <w:highlight w:val="none"/>
                      <w:lang w:val="en-US" w:eastAsia="zh-CN"/>
                    </w:rPr>
                    <w:t>0.00018</w:t>
                  </w:r>
                </w:p>
              </w:tc>
            </w:tr>
          </w:tbl>
          <w:p w14:paraId="1F8C2BDA">
            <w:pPr>
              <w:snapToGrid w:val="0"/>
              <w:jc w:val="center"/>
              <w:rPr>
                <w:b/>
                <w:color w:val="auto"/>
                <w:szCs w:val="21"/>
                <w:highlight w:val="none"/>
              </w:rPr>
            </w:pPr>
            <w:r>
              <w:rPr>
                <w:b/>
                <w:color w:val="auto"/>
                <w:szCs w:val="21"/>
                <w:highlight w:val="none"/>
              </w:rPr>
              <w:t>表</w:t>
            </w:r>
            <w:r>
              <w:rPr>
                <w:rFonts w:hint="eastAsia"/>
                <w:b/>
                <w:color w:val="auto"/>
                <w:szCs w:val="21"/>
                <w:highlight w:val="none"/>
                <w:lang w:val="en-US" w:eastAsia="zh-CN"/>
              </w:rPr>
              <w:t>4-3</w:t>
            </w:r>
            <w:r>
              <w:rPr>
                <w:b/>
                <w:color w:val="auto"/>
                <w:szCs w:val="21"/>
                <w:highlight w:val="none"/>
              </w:rPr>
              <w:t xml:space="preserve">  </w:t>
            </w:r>
            <w:r>
              <w:rPr>
                <w:rFonts w:hint="eastAsia"/>
                <w:b/>
                <w:color w:val="auto"/>
                <w:szCs w:val="21"/>
                <w:highlight w:val="none"/>
                <w:lang w:eastAsia="zh-CN"/>
              </w:rPr>
              <w:t>污水处理厂</w:t>
            </w:r>
            <w:r>
              <w:rPr>
                <w:b/>
                <w:color w:val="auto"/>
                <w:szCs w:val="21"/>
                <w:highlight w:val="none"/>
              </w:rPr>
              <w:t>无组织</w:t>
            </w:r>
            <w:r>
              <w:rPr>
                <w:rFonts w:hint="eastAsia"/>
                <w:b/>
                <w:color w:val="auto"/>
                <w:szCs w:val="21"/>
                <w:highlight w:val="none"/>
                <w:lang w:eastAsia="zh-CN"/>
              </w:rPr>
              <w:t>恶臭预测</w:t>
            </w:r>
            <w:r>
              <w:rPr>
                <w:b/>
                <w:color w:val="auto"/>
                <w:szCs w:val="21"/>
                <w:highlight w:val="none"/>
              </w:rPr>
              <w:t>结果表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 w:type="dxa"/>
                <w:bottom w:w="0" w:type="dxa"/>
                <w:right w:w="10" w:type="dxa"/>
              </w:tblCellMar>
            </w:tblPr>
            <w:tblGrid>
              <w:gridCol w:w="1452"/>
              <w:gridCol w:w="1450"/>
              <w:gridCol w:w="2466"/>
              <w:gridCol w:w="2520"/>
            </w:tblGrid>
            <w:tr w14:paraId="1B745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491" w:hRule="exact"/>
                <w:jc w:val="center"/>
              </w:trPr>
              <w:tc>
                <w:tcPr>
                  <w:tcW w:w="920" w:type="pct"/>
                  <w:vAlign w:val="center"/>
                </w:tcPr>
                <w:p w14:paraId="75B79BD8">
                  <w:pPr>
                    <w:snapToGrid w:val="0"/>
                    <w:jc w:val="center"/>
                    <w:rPr>
                      <w:color w:val="auto"/>
                      <w:highlight w:val="none"/>
                    </w:rPr>
                  </w:pPr>
                  <w:r>
                    <w:rPr>
                      <w:color w:val="auto"/>
                      <w:highlight w:val="none"/>
                    </w:rPr>
                    <w:t>污染源</w:t>
                  </w:r>
                </w:p>
              </w:tc>
              <w:tc>
                <w:tcPr>
                  <w:tcW w:w="919" w:type="pct"/>
                  <w:vAlign w:val="center"/>
                </w:tcPr>
                <w:p w14:paraId="1FE298D8">
                  <w:pPr>
                    <w:snapToGrid w:val="0"/>
                    <w:jc w:val="center"/>
                    <w:rPr>
                      <w:color w:val="auto"/>
                      <w:highlight w:val="none"/>
                    </w:rPr>
                  </w:pPr>
                  <w:r>
                    <w:rPr>
                      <w:color w:val="auto"/>
                      <w:highlight w:val="none"/>
                    </w:rPr>
                    <w:t>污染物</w:t>
                  </w:r>
                </w:p>
              </w:tc>
              <w:tc>
                <w:tcPr>
                  <w:tcW w:w="1563" w:type="pct"/>
                  <w:vAlign w:val="center"/>
                </w:tcPr>
                <w:p w14:paraId="530E552F">
                  <w:pPr>
                    <w:snapToGrid w:val="0"/>
                    <w:jc w:val="center"/>
                    <w:rPr>
                      <w:color w:val="auto"/>
                      <w:highlight w:val="none"/>
                    </w:rPr>
                  </w:pPr>
                  <w:r>
                    <w:rPr>
                      <w:rFonts w:hint="eastAsia"/>
                      <w:color w:val="auto"/>
                      <w:highlight w:val="none"/>
                    </w:rPr>
                    <w:t>最大落地浓度</w:t>
                  </w:r>
                  <w:r>
                    <w:rPr>
                      <w:color w:val="auto"/>
                      <w:highlight w:val="none"/>
                    </w:rPr>
                    <w:t>距离(</w:t>
                  </w:r>
                  <w:r>
                    <w:rPr>
                      <w:rFonts w:hint="eastAsia"/>
                      <w:color w:val="auto"/>
                      <w:highlight w:val="none"/>
                    </w:rPr>
                    <w:t>m</w:t>
                  </w:r>
                  <w:r>
                    <w:rPr>
                      <w:color w:val="auto"/>
                      <w:highlight w:val="none"/>
                    </w:rPr>
                    <w:t>)</w:t>
                  </w:r>
                </w:p>
              </w:tc>
              <w:tc>
                <w:tcPr>
                  <w:tcW w:w="1597" w:type="pct"/>
                  <w:vAlign w:val="center"/>
                </w:tcPr>
                <w:p w14:paraId="67E6C72F">
                  <w:pPr>
                    <w:snapToGrid w:val="0"/>
                    <w:jc w:val="center"/>
                    <w:rPr>
                      <w:color w:val="auto"/>
                      <w:highlight w:val="none"/>
                    </w:rPr>
                  </w:pPr>
                  <w:r>
                    <w:rPr>
                      <w:rFonts w:hint="eastAsia"/>
                      <w:color w:val="auto"/>
                      <w:highlight w:val="none"/>
                    </w:rPr>
                    <w:t>最大落地浓度</w:t>
                  </w:r>
                  <w:r>
                    <w:rPr>
                      <w:color w:val="auto"/>
                      <w:highlight w:val="none"/>
                    </w:rPr>
                    <w:t>(μ</w:t>
                  </w:r>
                  <w:r>
                    <w:rPr>
                      <w:rFonts w:hint="eastAsia"/>
                      <w:color w:val="auto"/>
                      <w:highlight w:val="none"/>
                    </w:rPr>
                    <w:t>g/m</w:t>
                  </w:r>
                  <w:r>
                    <w:rPr>
                      <w:rFonts w:hint="eastAsia"/>
                      <w:color w:val="auto"/>
                      <w:highlight w:val="none"/>
                      <w:vertAlign w:val="superscript"/>
                    </w:rPr>
                    <w:t>3</w:t>
                  </w:r>
                  <w:r>
                    <w:rPr>
                      <w:color w:val="auto"/>
                      <w:highlight w:val="none"/>
                    </w:rPr>
                    <w:t>)</w:t>
                  </w:r>
                </w:p>
              </w:tc>
            </w:tr>
            <w:tr w14:paraId="491D3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292" w:hRule="exact"/>
                <w:jc w:val="center"/>
              </w:trPr>
              <w:tc>
                <w:tcPr>
                  <w:tcW w:w="920" w:type="pct"/>
                  <w:vMerge w:val="restart"/>
                  <w:vAlign w:val="center"/>
                </w:tcPr>
                <w:p w14:paraId="5866BBBE">
                  <w:pPr>
                    <w:snapToGrid w:val="0"/>
                    <w:jc w:val="center"/>
                    <w:rPr>
                      <w:color w:val="auto"/>
                      <w:highlight w:val="none"/>
                    </w:rPr>
                  </w:pPr>
                  <w:r>
                    <w:rPr>
                      <w:rFonts w:hint="eastAsia"/>
                      <w:color w:val="auto"/>
                      <w:highlight w:val="none"/>
                    </w:rPr>
                    <w:t>无组织面源</w:t>
                  </w:r>
                </w:p>
              </w:tc>
              <w:tc>
                <w:tcPr>
                  <w:tcW w:w="919" w:type="pct"/>
                  <w:vAlign w:val="center"/>
                </w:tcPr>
                <w:p w14:paraId="783D3C9D">
                  <w:pPr>
                    <w:snapToGrid w:val="0"/>
                    <w:jc w:val="center"/>
                    <w:rPr>
                      <w:color w:val="auto"/>
                      <w:highlight w:val="none"/>
                    </w:rPr>
                  </w:pPr>
                  <w:r>
                    <w:rPr>
                      <w:rFonts w:hint="eastAsia"/>
                      <w:color w:val="auto"/>
                      <w:kern w:val="0"/>
                      <w:szCs w:val="21"/>
                      <w:highlight w:val="none"/>
                      <w:lang w:bidi="ar"/>
                    </w:rPr>
                    <w:t>NH</w:t>
                  </w:r>
                  <w:r>
                    <w:rPr>
                      <w:rFonts w:hint="eastAsia"/>
                      <w:color w:val="auto"/>
                      <w:kern w:val="0"/>
                      <w:szCs w:val="21"/>
                      <w:highlight w:val="none"/>
                      <w:vertAlign w:val="subscript"/>
                      <w:lang w:bidi="ar"/>
                    </w:rPr>
                    <w:t>3</w:t>
                  </w:r>
                </w:p>
              </w:tc>
              <w:tc>
                <w:tcPr>
                  <w:tcW w:w="1563" w:type="pct"/>
                  <w:vAlign w:val="center"/>
                </w:tcPr>
                <w:p w14:paraId="604B5602">
                  <w:pPr>
                    <w:widowControl/>
                    <w:jc w:val="center"/>
                    <w:textAlignment w:val="center"/>
                    <w:rPr>
                      <w:rFonts w:hint="default"/>
                      <w:color w:val="auto"/>
                      <w:highlight w:val="none"/>
                      <w:lang w:val="en-US"/>
                    </w:rPr>
                  </w:pPr>
                  <w:r>
                    <w:rPr>
                      <w:rFonts w:hint="eastAsia"/>
                      <w:color w:val="auto"/>
                      <w:highlight w:val="none"/>
                      <w:lang w:val="en-US" w:eastAsia="zh-CN"/>
                    </w:rPr>
                    <w:t>93</w:t>
                  </w:r>
                </w:p>
              </w:tc>
              <w:tc>
                <w:tcPr>
                  <w:tcW w:w="1597" w:type="pct"/>
                  <w:vAlign w:val="center"/>
                </w:tcPr>
                <w:p w14:paraId="452F780C">
                  <w:pPr>
                    <w:widowControl/>
                    <w:jc w:val="center"/>
                    <w:textAlignment w:val="center"/>
                    <w:rPr>
                      <w:rFonts w:hint="default" w:eastAsia="宋体"/>
                      <w:color w:val="auto"/>
                      <w:highlight w:val="none"/>
                      <w:lang w:val="en-US" w:eastAsia="zh-CN"/>
                    </w:rPr>
                  </w:pPr>
                  <w:r>
                    <w:rPr>
                      <w:rFonts w:hint="eastAsia"/>
                      <w:color w:val="auto"/>
                      <w:highlight w:val="none"/>
                      <w:lang w:val="en-US" w:eastAsia="zh-CN"/>
                    </w:rPr>
                    <w:t>2.34</w:t>
                  </w:r>
                </w:p>
              </w:tc>
            </w:tr>
            <w:tr w14:paraId="3F044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296" w:hRule="exact"/>
                <w:jc w:val="center"/>
              </w:trPr>
              <w:tc>
                <w:tcPr>
                  <w:tcW w:w="920" w:type="pct"/>
                  <w:vMerge w:val="continue"/>
                  <w:vAlign w:val="center"/>
                </w:tcPr>
                <w:p w14:paraId="01FC1B4C">
                  <w:pPr>
                    <w:snapToGrid w:val="0"/>
                    <w:jc w:val="center"/>
                    <w:rPr>
                      <w:color w:val="auto"/>
                      <w:highlight w:val="none"/>
                    </w:rPr>
                  </w:pPr>
                </w:p>
              </w:tc>
              <w:tc>
                <w:tcPr>
                  <w:tcW w:w="919" w:type="pct"/>
                  <w:vAlign w:val="center"/>
                </w:tcPr>
                <w:p w14:paraId="3FAFEF27">
                  <w:pPr>
                    <w:snapToGrid w:val="0"/>
                    <w:jc w:val="center"/>
                    <w:rPr>
                      <w:color w:val="auto"/>
                      <w:highlight w:val="none"/>
                    </w:rPr>
                  </w:pPr>
                  <w:r>
                    <w:rPr>
                      <w:rFonts w:hint="eastAsia"/>
                      <w:color w:val="auto"/>
                      <w:kern w:val="0"/>
                      <w:szCs w:val="21"/>
                      <w:highlight w:val="none"/>
                      <w:lang w:bidi="ar"/>
                    </w:rPr>
                    <w:t>H</w:t>
                  </w:r>
                  <w:r>
                    <w:rPr>
                      <w:rFonts w:hint="eastAsia"/>
                      <w:color w:val="auto"/>
                      <w:kern w:val="0"/>
                      <w:szCs w:val="21"/>
                      <w:highlight w:val="none"/>
                      <w:vertAlign w:val="subscript"/>
                      <w:lang w:bidi="ar"/>
                    </w:rPr>
                    <w:t>2</w:t>
                  </w:r>
                  <w:r>
                    <w:rPr>
                      <w:rFonts w:hint="eastAsia"/>
                      <w:color w:val="auto"/>
                      <w:kern w:val="0"/>
                      <w:szCs w:val="21"/>
                      <w:highlight w:val="none"/>
                      <w:lang w:bidi="ar"/>
                    </w:rPr>
                    <w:t>S</w:t>
                  </w:r>
                </w:p>
              </w:tc>
              <w:tc>
                <w:tcPr>
                  <w:tcW w:w="1563" w:type="pct"/>
                  <w:vAlign w:val="center"/>
                </w:tcPr>
                <w:p w14:paraId="5B767C04">
                  <w:pPr>
                    <w:widowControl/>
                    <w:jc w:val="center"/>
                    <w:textAlignment w:val="center"/>
                    <w:rPr>
                      <w:rFonts w:hint="default"/>
                      <w:color w:val="auto"/>
                      <w:highlight w:val="none"/>
                      <w:lang w:val="en-US"/>
                    </w:rPr>
                  </w:pPr>
                  <w:r>
                    <w:rPr>
                      <w:rFonts w:hint="eastAsia"/>
                      <w:color w:val="auto"/>
                      <w:highlight w:val="none"/>
                      <w:lang w:val="en-US" w:eastAsia="zh-CN"/>
                    </w:rPr>
                    <w:t>93</w:t>
                  </w:r>
                </w:p>
              </w:tc>
              <w:tc>
                <w:tcPr>
                  <w:tcW w:w="1597" w:type="pct"/>
                  <w:vAlign w:val="center"/>
                </w:tcPr>
                <w:p w14:paraId="6B8095EB">
                  <w:pPr>
                    <w:widowControl/>
                    <w:jc w:val="center"/>
                    <w:textAlignment w:val="center"/>
                    <w:rPr>
                      <w:rFonts w:hint="default" w:eastAsia="宋体"/>
                      <w:color w:val="auto"/>
                      <w:highlight w:val="none"/>
                      <w:lang w:val="en-US" w:eastAsia="zh-CN"/>
                    </w:rPr>
                  </w:pPr>
                  <w:r>
                    <w:rPr>
                      <w:rFonts w:hint="eastAsia"/>
                      <w:color w:val="auto"/>
                      <w:highlight w:val="none"/>
                      <w:lang w:val="en-US" w:eastAsia="zh-CN"/>
                    </w:rPr>
                    <w:t>0.09</w:t>
                  </w:r>
                </w:p>
              </w:tc>
            </w:tr>
          </w:tbl>
          <w:p w14:paraId="369A1069">
            <w:pPr>
              <w:pStyle w:val="43"/>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根据预测结果可知，本项目运营后，NH</w:t>
            </w:r>
            <w:r>
              <w:rPr>
                <w:rFonts w:hint="default" w:ascii="Times New Roman" w:hAnsi="Times New Roman" w:eastAsia="宋体" w:cs="Times New Roman"/>
                <w:b w:val="0"/>
                <w:bCs w:val="0"/>
                <w:color w:val="auto"/>
                <w:sz w:val="24"/>
                <w:highlight w:val="none"/>
                <w:vertAlign w:val="subscript"/>
                <w:lang w:val="en-US" w:eastAsia="zh-CN"/>
              </w:rPr>
              <w:t>3</w:t>
            </w:r>
            <w:r>
              <w:rPr>
                <w:rFonts w:hint="default" w:ascii="Times New Roman" w:hAnsi="Times New Roman" w:eastAsia="宋体" w:cs="Times New Roman"/>
                <w:b w:val="0"/>
                <w:bCs w:val="0"/>
                <w:color w:val="auto"/>
                <w:sz w:val="24"/>
                <w:highlight w:val="none"/>
                <w:lang w:val="en-US" w:eastAsia="zh-CN"/>
              </w:rPr>
              <w:t>和H</w:t>
            </w:r>
            <w:r>
              <w:rPr>
                <w:rFonts w:hint="default" w:ascii="Times New Roman" w:hAnsi="Times New Roman" w:eastAsia="宋体" w:cs="Times New Roman"/>
                <w:b w:val="0"/>
                <w:bCs w:val="0"/>
                <w:color w:val="auto"/>
                <w:sz w:val="24"/>
                <w:highlight w:val="none"/>
                <w:vertAlign w:val="subscript"/>
                <w:lang w:val="en-US" w:eastAsia="zh-CN"/>
              </w:rPr>
              <w:t>2</w:t>
            </w:r>
            <w:r>
              <w:rPr>
                <w:rFonts w:hint="default" w:ascii="Times New Roman" w:hAnsi="Times New Roman" w:eastAsia="宋体" w:cs="Times New Roman"/>
                <w:b w:val="0"/>
                <w:bCs w:val="0"/>
                <w:color w:val="auto"/>
                <w:sz w:val="24"/>
                <w:highlight w:val="none"/>
                <w:lang w:val="en-US" w:eastAsia="zh-CN"/>
              </w:rPr>
              <w:t>S最大浓度落地点出现距离为下风向</w:t>
            </w:r>
            <w:r>
              <w:rPr>
                <w:rFonts w:hint="eastAsia" w:ascii="Times New Roman" w:cs="Times New Roman"/>
                <w:b w:val="0"/>
                <w:bCs w:val="0"/>
                <w:color w:val="auto"/>
                <w:sz w:val="24"/>
                <w:highlight w:val="none"/>
                <w:lang w:val="en-US" w:eastAsia="zh-CN"/>
              </w:rPr>
              <w:t>93</w:t>
            </w:r>
            <w:r>
              <w:rPr>
                <w:rFonts w:hint="default" w:ascii="Times New Roman" w:hAnsi="Times New Roman" w:eastAsia="宋体" w:cs="Times New Roman"/>
                <w:b w:val="0"/>
                <w:bCs w:val="0"/>
                <w:color w:val="auto"/>
                <w:sz w:val="24"/>
                <w:highlight w:val="none"/>
                <w:lang w:val="en-US" w:eastAsia="zh-CN"/>
              </w:rPr>
              <w:t>m，其中NH</w:t>
            </w:r>
            <w:r>
              <w:rPr>
                <w:rFonts w:hint="default" w:ascii="Times New Roman" w:hAnsi="Times New Roman" w:eastAsia="宋体" w:cs="Times New Roman"/>
                <w:b w:val="0"/>
                <w:bCs w:val="0"/>
                <w:color w:val="auto"/>
                <w:sz w:val="24"/>
                <w:highlight w:val="none"/>
                <w:vertAlign w:val="subscript"/>
                <w:lang w:val="en-US" w:eastAsia="zh-CN"/>
              </w:rPr>
              <w:t>3</w:t>
            </w:r>
            <w:r>
              <w:rPr>
                <w:rFonts w:hint="default" w:ascii="Times New Roman" w:hAnsi="Times New Roman" w:eastAsia="宋体" w:cs="Times New Roman"/>
                <w:b w:val="0"/>
                <w:bCs w:val="0"/>
                <w:color w:val="auto"/>
                <w:sz w:val="24"/>
                <w:highlight w:val="none"/>
                <w:lang w:val="en-US" w:eastAsia="zh-CN"/>
              </w:rPr>
              <w:t>最大落地浓度为</w:t>
            </w:r>
            <w:r>
              <w:rPr>
                <w:rFonts w:hint="eastAsia" w:ascii="Times New Roman" w:cs="Times New Roman"/>
                <w:b w:val="0"/>
                <w:bCs w:val="0"/>
                <w:color w:val="auto"/>
                <w:sz w:val="24"/>
                <w:highlight w:val="none"/>
                <w:lang w:val="en-US" w:eastAsia="zh-CN"/>
              </w:rPr>
              <w:t>2.34</w:t>
            </w:r>
            <w:r>
              <w:rPr>
                <w:rFonts w:hint="default" w:ascii="Times New Roman" w:hAnsi="Times New Roman" w:eastAsia="宋体" w:cs="Times New Roman"/>
                <w:b w:val="0"/>
                <w:bCs w:val="0"/>
                <w:color w:val="auto"/>
                <w:sz w:val="24"/>
                <w:highlight w:val="none"/>
                <w:lang w:val="en-US" w:eastAsia="zh-CN"/>
              </w:rPr>
              <w:t>μg/m</w:t>
            </w:r>
            <w:r>
              <w:rPr>
                <w:rFonts w:hint="default" w:ascii="Times New Roman" w:hAnsi="Times New Roman" w:eastAsia="宋体" w:cs="Times New Roman"/>
                <w:b w:val="0"/>
                <w:bCs w:val="0"/>
                <w:color w:val="auto"/>
                <w:sz w:val="24"/>
                <w:highlight w:val="none"/>
                <w:vertAlign w:val="superscript"/>
                <w:lang w:val="en-US" w:eastAsia="zh-CN"/>
              </w:rPr>
              <w:t>3</w:t>
            </w:r>
            <w:r>
              <w:rPr>
                <w:rFonts w:hint="default" w:ascii="Times New Roman" w:hAnsi="Times New Roman" w:eastAsia="宋体" w:cs="Times New Roman"/>
                <w:b w:val="0"/>
                <w:bCs w:val="0"/>
                <w:color w:val="auto"/>
                <w:sz w:val="24"/>
                <w:highlight w:val="none"/>
                <w:lang w:val="en-US" w:eastAsia="zh-CN"/>
              </w:rPr>
              <w:t>、H</w:t>
            </w:r>
            <w:r>
              <w:rPr>
                <w:rFonts w:hint="default" w:ascii="Times New Roman" w:hAnsi="Times New Roman" w:eastAsia="宋体" w:cs="Times New Roman"/>
                <w:b w:val="0"/>
                <w:bCs w:val="0"/>
                <w:color w:val="auto"/>
                <w:sz w:val="24"/>
                <w:highlight w:val="none"/>
                <w:vertAlign w:val="subscript"/>
                <w:lang w:val="en-US" w:eastAsia="zh-CN"/>
              </w:rPr>
              <w:t>2</w:t>
            </w:r>
            <w:r>
              <w:rPr>
                <w:rFonts w:hint="default" w:ascii="Times New Roman" w:hAnsi="Times New Roman" w:eastAsia="宋体" w:cs="Times New Roman"/>
                <w:b w:val="0"/>
                <w:bCs w:val="0"/>
                <w:color w:val="auto"/>
                <w:sz w:val="24"/>
                <w:highlight w:val="none"/>
                <w:lang w:val="en-US" w:eastAsia="zh-CN"/>
              </w:rPr>
              <w:t>S最大落地浓度为</w:t>
            </w:r>
            <w:r>
              <w:rPr>
                <w:rFonts w:hint="eastAsia" w:ascii="Times New Roman" w:cs="Times New Roman"/>
                <w:b w:val="0"/>
                <w:bCs w:val="0"/>
                <w:color w:val="auto"/>
                <w:sz w:val="24"/>
                <w:highlight w:val="none"/>
                <w:lang w:val="en-US" w:eastAsia="zh-CN"/>
              </w:rPr>
              <w:t>0.09</w:t>
            </w:r>
            <w:r>
              <w:rPr>
                <w:rFonts w:hint="default" w:ascii="Times New Roman" w:hAnsi="Times New Roman" w:eastAsia="宋体" w:cs="Times New Roman"/>
                <w:b w:val="0"/>
                <w:bCs w:val="0"/>
                <w:color w:val="auto"/>
                <w:sz w:val="24"/>
                <w:highlight w:val="none"/>
                <w:lang w:val="en-US" w:eastAsia="zh-CN"/>
              </w:rPr>
              <w:t>μg/m</w:t>
            </w:r>
            <w:r>
              <w:rPr>
                <w:rFonts w:hint="default" w:ascii="Times New Roman" w:hAnsi="Times New Roman" w:eastAsia="宋体" w:cs="Times New Roman"/>
                <w:b w:val="0"/>
                <w:bCs w:val="0"/>
                <w:color w:val="auto"/>
                <w:sz w:val="24"/>
                <w:highlight w:val="none"/>
                <w:vertAlign w:val="superscript"/>
                <w:lang w:val="en-US" w:eastAsia="zh-CN"/>
              </w:rPr>
              <w:t>3</w:t>
            </w:r>
            <w:r>
              <w:rPr>
                <w:rFonts w:hint="default" w:ascii="Times New Roman" w:hAnsi="Times New Roman" w:eastAsia="宋体" w:cs="Times New Roman"/>
                <w:b w:val="0"/>
                <w:bCs w:val="0"/>
                <w:color w:val="auto"/>
                <w:sz w:val="24"/>
                <w:highlight w:val="none"/>
                <w:lang w:val="en-US" w:eastAsia="zh-CN"/>
              </w:rPr>
              <w:t>，</w:t>
            </w:r>
            <w:r>
              <w:rPr>
                <w:rFonts w:hint="eastAsia" w:ascii="Times New Roman" w:cs="Times New Roman"/>
                <w:b w:val="0"/>
                <w:bCs w:val="0"/>
                <w:color w:val="auto"/>
                <w:sz w:val="24"/>
                <w:highlight w:val="none"/>
                <w:lang w:val="en-US" w:eastAsia="zh-CN"/>
              </w:rPr>
              <w:t>均</w:t>
            </w:r>
            <w:r>
              <w:rPr>
                <w:rFonts w:hint="default" w:ascii="Times New Roman" w:hAnsi="Times New Roman" w:eastAsia="宋体" w:cs="Times New Roman"/>
                <w:b w:val="0"/>
                <w:bCs w:val="0"/>
                <w:color w:val="auto"/>
                <w:sz w:val="24"/>
                <w:highlight w:val="none"/>
                <w:lang w:val="en-US" w:eastAsia="zh-CN"/>
              </w:rPr>
              <w:t>满足</w:t>
            </w:r>
            <w:r>
              <w:rPr>
                <w:rFonts w:hint="default" w:ascii="Times New Roman" w:hAnsi="Times New Roman" w:eastAsia="宋体" w:cs="Times New Roman"/>
                <w:b w:val="0"/>
                <w:bCs w:val="0"/>
                <w:color w:val="auto"/>
                <w:sz w:val="24"/>
                <w:highlight w:val="none"/>
                <w:lang w:val="en-US" w:eastAsia="zh-CN"/>
              </w:rPr>
              <w:t>《城镇污水处理厂污染物排放标准》（GB18918-2002）表</w:t>
            </w:r>
            <w:r>
              <w:rPr>
                <w:rFonts w:hint="eastAsia" w:ascii="Times New Roman" w:cs="Times New Roman"/>
                <w:b w:val="0"/>
                <w:bCs w:val="0"/>
                <w:color w:val="auto"/>
                <w:sz w:val="24"/>
                <w:highlight w:val="none"/>
                <w:lang w:val="en-US" w:eastAsia="zh-CN"/>
              </w:rPr>
              <w:t>4</w:t>
            </w:r>
            <w:r>
              <w:rPr>
                <w:rFonts w:hint="default" w:ascii="Times New Roman" w:hAnsi="Times New Roman" w:eastAsia="宋体" w:cs="Times New Roman"/>
                <w:b w:val="0"/>
                <w:bCs w:val="0"/>
                <w:color w:val="auto"/>
                <w:sz w:val="24"/>
                <w:highlight w:val="none"/>
                <w:lang w:val="en-US" w:eastAsia="zh-CN"/>
              </w:rPr>
              <w:t>中的标准值</w:t>
            </w:r>
            <w:r>
              <w:rPr>
                <w:rFonts w:hint="eastAsia" w:ascii="Times New Roman" w:cs="Times New Roman"/>
                <w:b w:val="0"/>
                <w:bCs w:val="0"/>
                <w:color w:val="auto"/>
                <w:sz w:val="24"/>
                <w:highlight w:val="none"/>
                <w:lang w:val="en-US" w:eastAsia="zh-CN"/>
              </w:rPr>
              <w:t>要求</w:t>
            </w:r>
            <w:r>
              <w:rPr>
                <w:rFonts w:hint="default" w:ascii="Times New Roman" w:hAnsi="Times New Roman" w:eastAsia="宋体" w:cs="Times New Roman"/>
                <w:b w:val="0"/>
                <w:bCs w:val="0"/>
                <w:color w:val="auto"/>
                <w:sz w:val="24"/>
                <w:highlight w:val="none"/>
                <w:lang w:val="en-US" w:eastAsia="zh-CN"/>
              </w:rPr>
              <w:t>（NH</w:t>
            </w:r>
            <w:r>
              <w:rPr>
                <w:rFonts w:hint="default" w:ascii="Times New Roman" w:hAnsi="Times New Roman" w:eastAsia="宋体" w:cs="Times New Roman"/>
                <w:b w:val="0"/>
                <w:bCs w:val="0"/>
                <w:color w:val="auto"/>
                <w:sz w:val="24"/>
                <w:highlight w:val="none"/>
                <w:vertAlign w:val="subscript"/>
                <w:lang w:val="en-US" w:eastAsia="zh-CN"/>
              </w:rPr>
              <w:t>3</w:t>
            </w:r>
            <w:r>
              <w:rPr>
                <w:rFonts w:hint="default" w:ascii="Times New Roman" w:hAnsi="Times New Roman" w:eastAsia="宋体" w:cs="Times New Roman"/>
                <w:b w:val="0"/>
                <w:bCs w:val="0"/>
                <w:color w:val="auto"/>
                <w:sz w:val="24"/>
                <w:highlight w:val="none"/>
                <w:lang w:val="en-US" w:eastAsia="zh-CN"/>
              </w:rPr>
              <w:t>：</w:t>
            </w:r>
            <w:r>
              <w:rPr>
                <w:rFonts w:hint="eastAsia" w:ascii="Times New Roman" w:cs="Times New Roman"/>
                <w:b w:val="0"/>
                <w:bCs w:val="0"/>
                <w:color w:val="auto"/>
                <w:sz w:val="24"/>
                <w:highlight w:val="none"/>
                <w:lang w:val="en-US" w:eastAsia="zh-CN"/>
              </w:rPr>
              <w:t>1.0</w:t>
            </w:r>
            <w:r>
              <w:rPr>
                <w:rFonts w:hint="default" w:ascii="Times New Roman" w:hAnsi="Times New Roman" w:eastAsia="宋体" w:cs="Times New Roman"/>
                <w:b w:val="0"/>
                <w:bCs w:val="0"/>
                <w:color w:val="auto"/>
                <w:sz w:val="24"/>
                <w:highlight w:val="none"/>
                <w:lang w:val="en-US" w:eastAsia="zh-CN"/>
              </w:rPr>
              <w:t>mg/m</w:t>
            </w:r>
            <w:r>
              <w:rPr>
                <w:rFonts w:hint="default" w:ascii="Times New Roman" w:hAnsi="Times New Roman" w:eastAsia="宋体" w:cs="Times New Roman"/>
                <w:b w:val="0"/>
                <w:bCs w:val="0"/>
                <w:color w:val="auto"/>
                <w:sz w:val="24"/>
                <w:highlight w:val="none"/>
                <w:vertAlign w:val="superscript"/>
                <w:lang w:val="en-US" w:eastAsia="zh-CN"/>
              </w:rPr>
              <w:t>3</w:t>
            </w:r>
            <w:r>
              <w:rPr>
                <w:rFonts w:hint="default" w:ascii="Times New Roman" w:hAnsi="Times New Roman" w:eastAsia="宋体" w:cs="Times New Roman"/>
                <w:b w:val="0"/>
                <w:bCs w:val="0"/>
                <w:color w:val="auto"/>
                <w:sz w:val="24"/>
                <w:highlight w:val="none"/>
                <w:lang w:val="en-US" w:eastAsia="zh-CN"/>
              </w:rPr>
              <w:t>；H</w:t>
            </w:r>
            <w:r>
              <w:rPr>
                <w:rFonts w:hint="default" w:ascii="Times New Roman" w:hAnsi="Times New Roman" w:eastAsia="宋体" w:cs="Times New Roman"/>
                <w:b w:val="0"/>
                <w:bCs w:val="0"/>
                <w:color w:val="auto"/>
                <w:sz w:val="24"/>
                <w:highlight w:val="none"/>
                <w:vertAlign w:val="subscript"/>
                <w:lang w:val="en-US" w:eastAsia="zh-CN"/>
              </w:rPr>
              <w:t>2</w:t>
            </w:r>
            <w:r>
              <w:rPr>
                <w:rFonts w:hint="default" w:ascii="Times New Roman" w:hAnsi="Times New Roman" w:eastAsia="宋体" w:cs="Times New Roman"/>
                <w:b w:val="0"/>
                <w:bCs w:val="0"/>
                <w:color w:val="auto"/>
                <w:sz w:val="24"/>
                <w:highlight w:val="none"/>
                <w:lang w:val="en-US" w:eastAsia="zh-CN"/>
              </w:rPr>
              <w:t>S：0.0</w:t>
            </w:r>
            <w:r>
              <w:rPr>
                <w:rFonts w:hint="eastAsia" w:ascii="Times New Roman" w:cs="Times New Roman"/>
                <w:b w:val="0"/>
                <w:bCs w:val="0"/>
                <w:color w:val="auto"/>
                <w:sz w:val="24"/>
                <w:highlight w:val="none"/>
                <w:lang w:val="en-US" w:eastAsia="zh-CN"/>
              </w:rPr>
              <w:t>3</w:t>
            </w:r>
            <w:r>
              <w:rPr>
                <w:rFonts w:hint="default" w:ascii="Times New Roman" w:hAnsi="Times New Roman" w:eastAsia="宋体" w:cs="Times New Roman"/>
                <w:b w:val="0"/>
                <w:bCs w:val="0"/>
                <w:color w:val="auto"/>
                <w:sz w:val="24"/>
                <w:highlight w:val="none"/>
                <w:lang w:val="en-US" w:eastAsia="zh-CN"/>
              </w:rPr>
              <w:t>mg/m</w:t>
            </w:r>
            <w:r>
              <w:rPr>
                <w:rFonts w:hint="default" w:ascii="Times New Roman" w:hAnsi="Times New Roman" w:eastAsia="宋体" w:cs="Times New Roman"/>
                <w:b w:val="0"/>
                <w:bCs w:val="0"/>
                <w:color w:val="auto"/>
                <w:sz w:val="24"/>
                <w:highlight w:val="none"/>
                <w:vertAlign w:val="superscript"/>
                <w:lang w:val="en-US" w:eastAsia="zh-CN"/>
              </w:rPr>
              <w:t>3</w:t>
            </w:r>
            <w:r>
              <w:rPr>
                <w:rFonts w:hint="default"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，故无组织恶臭可达标排放</w:t>
            </w:r>
            <w:r>
              <w:rPr>
                <w:rFonts w:hint="eastAsia" w:ascii="Times New Roman" w:cs="Times New Roman"/>
                <w:b w:val="0"/>
                <w:bCs w:val="0"/>
                <w:color w:val="auto"/>
                <w:sz w:val="24"/>
                <w:highlight w:val="none"/>
                <w:lang w:val="en-US" w:eastAsia="zh-CN"/>
              </w:rPr>
              <w:t>。</w:t>
            </w:r>
          </w:p>
          <w:p w14:paraId="3FEB97A8">
            <w:pPr>
              <w:pStyle w:val="43"/>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（4）可行性分析</w:t>
            </w:r>
          </w:p>
          <w:p w14:paraId="54684C0B">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eastAsia="宋体" w:cs="Times New Roman"/>
                <w:color w:val="auto"/>
                <w:sz w:val="24"/>
                <w:highlight w:val="none"/>
                <w:lang w:val="en-US" w:eastAsia="zh-CN"/>
              </w:rPr>
            </w:pPr>
            <w:r>
              <w:rPr>
                <w:rFonts w:hint="eastAsia" w:ascii="宋体" w:hAnsi="宋体" w:eastAsia="宋体" w:cs="宋体"/>
                <w:color w:val="auto"/>
                <w:sz w:val="24"/>
                <w:highlight w:val="none"/>
                <w:lang w:val="en-US" w:eastAsia="zh-CN"/>
              </w:rPr>
              <w:t>①</w:t>
            </w:r>
            <w:r>
              <w:rPr>
                <w:rFonts w:hint="eastAsia" w:cs="Times New Roman"/>
                <w:color w:val="auto"/>
                <w:sz w:val="24"/>
                <w:highlight w:val="none"/>
                <w:lang w:val="en-US" w:eastAsia="zh-CN"/>
              </w:rPr>
              <w:t>排气筒高度合理性分析：根据</w:t>
            </w:r>
            <w:r>
              <w:rPr>
                <w:rFonts w:hint="default" w:ascii="Times New Roman" w:hAnsi="Times New Roman" w:cs="Times New Roman"/>
                <w:color w:val="auto"/>
                <w:kern w:val="0"/>
                <w:sz w:val="24"/>
                <w:highlight w:val="none"/>
              </w:rPr>
              <w:t>《恶臭污染物排放标准》（GB14554-93）6.1.1</w:t>
            </w:r>
            <w:r>
              <w:rPr>
                <w:rFonts w:hint="eastAsia" w:ascii="Times New Roman" w:hAnsi="Times New Roman" w:cs="Times New Roman"/>
                <w:color w:val="auto"/>
                <w:kern w:val="0"/>
                <w:sz w:val="24"/>
                <w:highlight w:val="none"/>
                <w:lang w:eastAsia="zh-CN"/>
              </w:rPr>
              <w:t>小节可知：</w:t>
            </w:r>
            <w:r>
              <w:rPr>
                <w:rFonts w:hint="default" w:ascii="Times New Roman" w:hAnsi="Times New Roman" w:cs="Times New Roman"/>
                <w:color w:val="auto"/>
                <w:kern w:val="0"/>
                <w:sz w:val="24"/>
                <w:highlight w:val="none"/>
              </w:rPr>
              <w:t>排气筒的最低高度不得低于15m。</w:t>
            </w:r>
            <w:r>
              <w:rPr>
                <w:rFonts w:hint="eastAsia" w:ascii="Times New Roman" w:hAnsi="Times New Roman" w:cs="Times New Roman"/>
                <w:color w:val="auto"/>
                <w:kern w:val="0"/>
                <w:sz w:val="24"/>
                <w:highlight w:val="none"/>
                <w:lang w:eastAsia="zh-CN"/>
              </w:rPr>
              <w:t>因此本项目恶臭排气筒高度设置为</w:t>
            </w:r>
            <w:r>
              <w:rPr>
                <w:rFonts w:hint="eastAsia" w:ascii="Times New Roman" w:hAnsi="Times New Roman" w:cs="Times New Roman"/>
                <w:color w:val="auto"/>
                <w:kern w:val="0"/>
                <w:sz w:val="24"/>
                <w:highlight w:val="none"/>
                <w:lang w:val="en-US" w:eastAsia="zh-CN"/>
              </w:rPr>
              <w:t>15m合理。</w:t>
            </w:r>
          </w:p>
          <w:p w14:paraId="77CA614D">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s="Times New Roman"/>
                <w:color w:val="auto"/>
                <w:sz w:val="24"/>
                <w:highlight w:val="none"/>
                <w:lang w:val="en-US" w:eastAsia="zh-CN"/>
              </w:rPr>
            </w:pPr>
            <w:r>
              <w:rPr>
                <w:rFonts w:hint="eastAsia" w:ascii="宋体" w:hAnsi="宋体" w:eastAsia="宋体" w:cs="宋体"/>
                <w:color w:val="auto"/>
                <w:sz w:val="24"/>
                <w:highlight w:val="none"/>
                <w:lang w:val="en-US" w:eastAsia="zh-CN"/>
              </w:rPr>
              <w:t>②</w:t>
            </w:r>
            <w:r>
              <w:rPr>
                <w:rFonts w:hint="eastAsia" w:cs="Times New Roman"/>
                <w:color w:val="auto"/>
                <w:sz w:val="24"/>
                <w:highlight w:val="none"/>
                <w:lang w:val="en-US" w:eastAsia="zh-CN"/>
              </w:rPr>
              <w:t>处理措施可行性分析：</w:t>
            </w:r>
            <w:r>
              <w:rPr>
                <w:rFonts w:hint="eastAsia" w:cs="Times New Roman"/>
                <w:color w:val="auto"/>
                <w:sz w:val="24"/>
                <w:highlight w:val="none"/>
                <w:lang w:val="en-US" w:eastAsia="zh-CN"/>
              </w:rPr>
              <w:t>活性氧离子法除臭的核心装置是离子空气净化系统，主要由气体收集系统、空气过滤器、离子发生装置、控制装置、废气排放装置等组成。其工作原理是在高能电子的瞬时高能量作用下，产生大量正负离子，打开某些有害气体分子的化学键，使其直接分解成单质原子、基团或无害分子。大量高能电子、离子、激发态粒子和氧自由基、氢氧自由基（自由基因带有不成对电子而具有很强的活性与气体分子(恶臭、甲醛、苯、甲苯、二甲苯等)强烈碰撞，发生离解、氧化、中和等复杂的物理和化学反应，终将气态污染物分子氧化成为</w:t>
            </w:r>
            <w:r>
              <w:rPr>
                <w:rFonts w:hint="default" w:ascii="Times New Roman" w:hAnsi="Times New Roman" w:cs="Times New Roman"/>
                <w:color w:val="auto"/>
                <w:sz w:val="24"/>
                <w:highlight w:val="none"/>
                <w:lang w:val="en-US" w:eastAsia="zh-CN"/>
              </w:rPr>
              <w:t>H</w:t>
            </w:r>
            <w:r>
              <w:rPr>
                <w:rFonts w:hint="default" w:ascii="Times New Roman" w:hAnsi="Times New Roman" w:cs="Times New Roman"/>
                <w:color w:val="auto"/>
                <w:sz w:val="24"/>
                <w:highlight w:val="none"/>
                <w:vertAlign w:val="subscript"/>
                <w:lang w:val="en-US" w:eastAsia="zh-CN"/>
              </w:rPr>
              <w:t>2</w:t>
            </w:r>
            <w:r>
              <w:rPr>
                <w:rFonts w:hint="default" w:ascii="Times New Roman" w:hAnsi="Times New Roman" w:cs="Times New Roman"/>
                <w:color w:val="auto"/>
                <w:sz w:val="24"/>
                <w:highlight w:val="none"/>
                <w:lang w:val="en-US" w:eastAsia="zh-CN"/>
              </w:rPr>
              <w:t>O和CO</w:t>
            </w:r>
            <w:r>
              <w:rPr>
                <w:rFonts w:hint="default" w:ascii="Times New Roman" w:hAnsi="Times New Roman" w:cs="Times New Roman"/>
                <w:color w:val="auto"/>
                <w:sz w:val="24"/>
                <w:highlight w:val="none"/>
                <w:vertAlign w:val="subscript"/>
                <w:lang w:val="en-US" w:eastAsia="zh-CN"/>
              </w:rPr>
              <w:t>2</w:t>
            </w:r>
            <w:r>
              <w:rPr>
                <w:rFonts w:hint="eastAsia" w:cs="Times New Roman"/>
                <w:color w:val="auto"/>
                <w:sz w:val="24"/>
                <w:highlight w:val="none"/>
                <w:lang w:val="en-US" w:eastAsia="zh-CN"/>
              </w:rPr>
              <w:t>等具有极低浓度的无害小分子，从而达到净化空气的目的。</w:t>
            </w:r>
          </w:p>
          <w:p w14:paraId="5D79AA3B">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该方法</w:t>
            </w:r>
            <w:r>
              <w:rPr>
                <w:rFonts w:hint="eastAsia"/>
                <w:color w:val="auto"/>
                <w:sz w:val="24"/>
                <w:highlight w:val="none"/>
                <w:shd w:val="clear" w:color="auto" w:fill="FFFFFF"/>
              </w:rPr>
              <w:t>相</w:t>
            </w:r>
            <w:r>
              <w:rPr>
                <w:rFonts w:hint="eastAsia"/>
                <w:color w:val="auto"/>
                <w:sz w:val="24"/>
                <w:highlight w:val="none"/>
                <w:shd w:val="clear" w:color="auto" w:fill="FFFFFF"/>
                <w:lang w:eastAsia="zh-CN"/>
              </w:rPr>
              <w:t>较于</w:t>
            </w:r>
            <w:r>
              <w:rPr>
                <w:rFonts w:hint="eastAsia"/>
                <w:color w:val="auto"/>
                <w:sz w:val="24"/>
                <w:highlight w:val="none"/>
                <w:shd w:val="clear" w:color="auto" w:fill="FFFFFF"/>
              </w:rPr>
              <w:t>常规生物除臭，具有适用范围广、净化效率高、占地面积小</w:t>
            </w:r>
            <w:r>
              <w:rPr>
                <w:rFonts w:hint="eastAsia"/>
                <w:color w:val="auto"/>
                <w:sz w:val="24"/>
                <w:highlight w:val="none"/>
                <w:shd w:val="clear" w:color="auto" w:fill="FFFFFF"/>
                <w:lang w:eastAsia="zh-CN"/>
              </w:rPr>
              <w:t>、不存在二次污染</w:t>
            </w:r>
            <w:r>
              <w:rPr>
                <w:rFonts w:hint="eastAsia"/>
                <w:color w:val="auto"/>
                <w:sz w:val="24"/>
                <w:highlight w:val="none"/>
                <w:shd w:val="clear" w:color="auto" w:fill="FFFFFF"/>
              </w:rPr>
              <w:t>等明显优点</w:t>
            </w:r>
            <w:r>
              <w:rPr>
                <w:rFonts w:hint="eastAsia"/>
                <w:color w:val="auto"/>
                <w:sz w:val="24"/>
                <w:highlight w:val="none"/>
                <w:shd w:val="clear" w:color="auto" w:fill="FFFFFF"/>
                <w:lang w:eastAsia="zh-CN"/>
              </w:rPr>
              <w:t>，契合本项目场地及除臭特点。此外，采取</w:t>
            </w:r>
            <w:r>
              <w:rPr>
                <w:rFonts w:hint="eastAsia" w:cs="Times New Roman"/>
                <w:color w:val="auto"/>
                <w:sz w:val="24"/>
                <w:highlight w:val="none"/>
                <w:lang w:val="en-US" w:eastAsia="zh-CN"/>
              </w:rPr>
              <w:t>活性氧离子法措施除臭后</w:t>
            </w:r>
            <w:r>
              <w:rPr>
                <w:rFonts w:hint="eastAsia" w:cs="Times New Roman"/>
                <w:color w:val="auto"/>
                <w:sz w:val="24"/>
                <w:highlight w:val="none"/>
                <w:lang w:val="en-US" w:eastAsia="zh-CN"/>
              </w:rPr>
              <w:t>，有组织恶臭</w:t>
            </w:r>
            <w:r>
              <w:rPr>
                <w:rFonts w:hint="default" w:ascii="Times New Roman" w:hAnsi="Times New Roman" w:cs="Times New Roman"/>
                <w:color w:val="auto"/>
                <w:kern w:val="0"/>
                <w:sz w:val="24"/>
                <w:highlight w:val="none"/>
              </w:rPr>
              <w:t>排放</w:t>
            </w:r>
            <w:r>
              <w:rPr>
                <w:rFonts w:hint="eastAsia" w:ascii="Times New Roman" w:cs="Times New Roman"/>
                <w:color w:val="auto"/>
                <w:kern w:val="0"/>
                <w:sz w:val="24"/>
                <w:highlight w:val="none"/>
                <w:lang w:eastAsia="zh-CN"/>
              </w:rPr>
              <w:t>速率</w:t>
            </w:r>
            <w:r>
              <w:rPr>
                <w:rFonts w:hint="default" w:ascii="Times New Roman" w:hAnsi="Times New Roman" w:cs="Times New Roman"/>
                <w:color w:val="auto"/>
                <w:kern w:val="0"/>
                <w:sz w:val="24"/>
                <w:highlight w:val="none"/>
              </w:rPr>
              <w:t>可以满足《恶臭污染物排放标准》（GB14554-93）表2中的排放标准值</w:t>
            </w:r>
            <w:r>
              <w:rPr>
                <w:rFonts w:hint="eastAsia" w:ascii="Times New Roman" w:cs="Times New Roman"/>
                <w:color w:val="auto"/>
                <w:kern w:val="0"/>
                <w:sz w:val="24"/>
                <w:highlight w:val="none"/>
                <w:lang w:eastAsia="zh-CN"/>
              </w:rPr>
              <w:t>，无组织恶臭可以满足</w:t>
            </w:r>
            <w:r>
              <w:rPr>
                <w:rFonts w:hint="default" w:ascii="Times New Roman" w:hAnsi="Times New Roman" w:eastAsia="宋体" w:cs="Times New Roman"/>
                <w:b w:val="0"/>
                <w:bCs w:val="0"/>
                <w:color w:val="auto"/>
                <w:sz w:val="24"/>
                <w:highlight w:val="none"/>
                <w:lang w:val="en-US" w:eastAsia="zh-CN"/>
              </w:rPr>
              <w:t>《城镇污水处理厂污染物排放标准》（GB18918-2002）表</w:t>
            </w:r>
            <w:r>
              <w:rPr>
                <w:rFonts w:hint="eastAsia" w:ascii="Times New Roman" w:cs="Times New Roman"/>
                <w:b w:val="0"/>
                <w:bCs w:val="0"/>
                <w:color w:val="auto"/>
                <w:sz w:val="24"/>
                <w:highlight w:val="none"/>
                <w:lang w:val="en-US" w:eastAsia="zh-CN"/>
              </w:rPr>
              <w:t>4</w:t>
            </w:r>
            <w:r>
              <w:rPr>
                <w:rFonts w:hint="default" w:ascii="Times New Roman" w:hAnsi="Times New Roman" w:eastAsia="宋体" w:cs="Times New Roman"/>
                <w:b w:val="0"/>
                <w:bCs w:val="0"/>
                <w:color w:val="auto"/>
                <w:sz w:val="24"/>
                <w:highlight w:val="none"/>
                <w:lang w:val="en-US" w:eastAsia="zh-CN"/>
              </w:rPr>
              <w:t>中的标准值</w:t>
            </w:r>
            <w:r>
              <w:rPr>
                <w:rFonts w:hint="eastAsia" w:ascii="Times New Roman" w:cs="Times New Roman"/>
                <w:b w:val="0"/>
                <w:bCs w:val="0"/>
                <w:color w:val="auto"/>
                <w:sz w:val="24"/>
                <w:highlight w:val="none"/>
                <w:lang w:val="en-US" w:eastAsia="zh-CN"/>
              </w:rPr>
              <w:t>要求</w:t>
            </w:r>
            <w:r>
              <w:rPr>
                <w:rFonts w:hint="eastAsia" w:ascii="Times New Roman" w:hAnsi="Times New Roman" w:cs="Times New Roman"/>
                <w:color w:val="auto"/>
                <w:kern w:val="0"/>
                <w:sz w:val="24"/>
                <w:highlight w:val="none"/>
                <w:lang w:eastAsia="zh-CN"/>
              </w:rPr>
              <w:t>。</w:t>
            </w:r>
          </w:p>
          <w:p w14:paraId="5DFBA466">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cs="Times New Roman"/>
                <w:b w:val="0"/>
                <w:bCs w:val="0"/>
                <w:color w:val="auto"/>
                <w:sz w:val="24"/>
                <w:highlight w:val="none"/>
                <w:lang w:val="en-US" w:eastAsia="zh-CN"/>
              </w:rPr>
              <w:t>综上，本项目采用</w:t>
            </w:r>
            <w:r>
              <w:rPr>
                <w:rFonts w:hint="eastAsia" w:cs="Times New Roman"/>
                <w:color w:val="auto"/>
                <w:sz w:val="24"/>
                <w:highlight w:val="none"/>
                <w:lang w:val="en-US" w:eastAsia="zh-CN"/>
              </w:rPr>
              <w:t>活性氧离子法措施除臭可行</w:t>
            </w:r>
            <w:r>
              <w:rPr>
                <w:rFonts w:hint="default" w:ascii="Times New Roman" w:hAnsi="Times New Roman" w:cs="Times New Roman"/>
                <w:b w:val="0"/>
                <w:bCs w:val="0"/>
                <w:color w:val="auto"/>
                <w:sz w:val="24"/>
                <w:highlight w:val="none"/>
                <w:lang w:val="en-US" w:eastAsia="zh-CN"/>
              </w:rPr>
              <w:t>。</w:t>
            </w:r>
          </w:p>
          <w:p w14:paraId="5F7D681F">
            <w:pPr>
              <w:widowControl/>
              <w:adjustRightInd w:val="0"/>
              <w:snapToGrid w:val="0"/>
              <w:spacing w:line="360" w:lineRule="auto"/>
              <w:ind w:firstLine="480" w:firstLineChars="200"/>
              <w:rPr>
                <w:color w:val="auto"/>
                <w:kern w:val="44"/>
                <w:sz w:val="24"/>
                <w:highlight w:val="none"/>
              </w:rPr>
            </w:pPr>
            <w:r>
              <w:rPr>
                <w:color w:val="auto"/>
                <w:kern w:val="44"/>
                <w:sz w:val="24"/>
                <w:highlight w:val="none"/>
              </w:rPr>
              <w:t>（</w:t>
            </w:r>
            <w:r>
              <w:rPr>
                <w:rFonts w:hint="eastAsia"/>
                <w:color w:val="auto"/>
                <w:kern w:val="44"/>
                <w:sz w:val="24"/>
                <w:highlight w:val="none"/>
                <w:lang w:val="en-US" w:eastAsia="zh-CN"/>
              </w:rPr>
              <w:t>5</w:t>
            </w:r>
            <w:r>
              <w:rPr>
                <w:color w:val="auto"/>
                <w:kern w:val="44"/>
                <w:sz w:val="24"/>
                <w:highlight w:val="none"/>
              </w:rPr>
              <w:t>）大气环境防护距离</w:t>
            </w:r>
          </w:p>
          <w:p w14:paraId="6FE1E5C7">
            <w:pPr>
              <w:pStyle w:val="110"/>
              <w:rPr>
                <w:rFonts w:hint="default"/>
                <w:color w:val="auto"/>
                <w:highlight w:val="none"/>
                <w:lang w:val="en-US" w:eastAsia="zh-CN"/>
              </w:rPr>
            </w:pPr>
            <w:r>
              <w:rPr>
                <w:rFonts w:ascii="Times New Roman" w:hAnsi="Times New Roman" w:eastAsia="宋体" w:cs="Times New Roman"/>
                <w:color w:val="auto"/>
                <w:highlight w:val="none"/>
              </w:rPr>
              <w:t>根据</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环境影响评价技术导则</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大气环境</w:t>
            </w:r>
            <w:r>
              <w:rPr>
                <w:rFonts w:hint="eastAsia" w:ascii="Times New Roman" w:hAnsi="Times New Roman" w:eastAsia="宋体" w:cs="Times New Roman"/>
                <w:color w:val="auto"/>
                <w:highlight w:val="none"/>
                <w:lang w:eastAsia="zh-CN"/>
              </w:rPr>
              <w:t>》（HJ2.2-2018）</w:t>
            </w:r>
            <w:r>
              <w:rPr>
                <w:rFonts w:ascii="Times New Roman" w:hAnsi="Times New Roman" w:eastAsia="宋体" w:cs="Times New Roman"/>
                <w:color w:val="auto"/>
                <w:highlight w:val="none"/>
              </w:rPr>
              <w:t>：“对于厂界浓度满足大气污染物厂界浓度限值，但厂界外大气污染物短期贡献浓度超过环境质量浓度的，可以自厂界设置一定范围的大气环境防护区域”。根据AERSCREEN筛选计算结果，本项目厂界无超标点，无需设置大气环境防护距离。</w:t>
            </w:r>
          </w:p>
          <w:p w14:paraId="05C0109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b/>
                <w:bCs/>
                <w:color w:val="auto"/>
                <w:sz w:val="24"/>
                <w:highlight w:val="none"/>
                <w:lang w:val="en-US" w:eastAsia="zh-CN"/>
              </w:rPr>
            </w:pPr>
            <w:r>
              <w:rPr>
                <w:rFonts w:hint="eastAsia" w:cs="Times New Roman"/>
                <w:b/>
                <w:bCs/>
                <w:color w:val="auto"/>
                <w:sz w:val="24"/>
                <w:highlight w:val="none"/>
                <w:lang w:val="en-US" w:eastAsia="zh-CN"/>
              </w:rPr>
              <w:t>2、食堂油烟</w:t>
            </w:r>
          </w:p>
          <w:p w14:paraId="557731C7">
            <w:pPr>
              <w:spacing w:line="360" w:lineRule="auto"/>
              <w:ind w:firstLine="540" w:firstLineChars="225"/>
              <w:rPr>
                <w:rFonts w:hint="eastAsia" w:eastAsia="宋体"/>
                <w:color w:val="auto"/>
                <w:sz w:val="24"/>
                <w:highlight w:val="none"/>
                <w:vertAlign w:val="baseline"/>
                <w:lang w:val="en-US" w:eastAsia="zh-CN"/>
              </w:rPr>
            </w:pPr>
            <w:r>
              <w:rPr>
                <w:rFonts w:hint="eastAsia"/>
                <w:color w:val="auto"/>
                <w:sz w:val="24"/>
                <w:highlight w:val="none"/>
                <w:lang w:eastAsia="zh-CN"/>
              </w:rPr>
              <w:t>根据建设单位介绍，厂区内</w:t>
            </w:r>
            <w:r>
              <w:rPr>
                <w:rFonts w:hint="eastAsia"/>
                <w:color w:val="auto"/>
                <w:sz w:val="24"/>
                <w:highlight w:val="none"/>
                <w:lang w:val="en-US" w:eastAsia="zh-CN"/>
              </w:rPr>
              <w:t>拟新建食堂一座。运营期定员14人，</w:t>
            </w:r>
            <w:r>
              <w:rPr>
                <w:color w:val="auto"/>
                <w:sz w:val="24"/>
                <w:highlight w:val="none"/>
              </w:rPr>
              <w:t>按</w:t>
            </w:r>
            <w:r>
              <w:rPr>
                <w:rFonts w:hint="eastAsia"/>
                <w:color w:val="auto"/>
                <w:sz w:val="24"/>
                <w:highlight w:val="none"/>
                <w:lang w:eastAsia="zh-CN"/>
              </w:rPr>
              <w:t>全年</w:t>
            </w:r>
            <w:r>
              <w:rPr>
                <w:rFonts w:hint="eastAsia"/>
                <w:color w:val="auto"/>
                <w:sz w:val="24"/>
                <w:highlight w:val="none"/>
                <w:lang w:val="en-US" w:eastAsia="zh-CN"/>
              </w:rPr>
              <w:t>365天</w:t>
            </w:r>
            <w:r>
              <w:rPr>
                <w:color w:val="auto"/>
                <w:sz w:val="24"/>
                <w:highlight w:val="none"/>
              </w:rPr>
              <w:t>运营</w:t>
            </w:r>
            <w:r>
              <w:rPr>
                <w:rFonts w:hint="eastAsia"/>
                <w:color w:val="auto"/>
                <w:sz w:val="24"/>
                <w:highlight w:val="none"/>
                <w:lang w:eastAsia="zh-CN"/>
              </w:rPr>
              <w:t>计</w:t>
            </w:r>
            <w:r>
              <w:rPr>
                <w:color w:val="auto"/>
                <w:sz w:val="24"/>
                <w:highlight w:val="none"/>
              </w:rPr>
              <w:t>，人均耗油量按照每人每天0.03kg计算，则消耗食用油</w:t>
            </w:r>
            <w:r>
              <w:rPr>
                <w:rFonts w:hint="eastAsia"/>
                <w:color w:val="auto"/>
                <w:sz w:val="24"/>
                <w:highlight w:val="none"/>
                <w:lang w:val="en-US" w:eastAsia="zh-CN"/>
              </w:rPr>
              <w:t>0.42</w:t>
            </w:r>
            <w:r>
              <w:rPr>
                <w:color w:val="auto"/>
                <w:sz w:val="24"/>
                <w:highlight w:val="none"/>
              </w:rPr>
              <w:t>kg/d，</w:t>
            </w:r>
            <w:r>
              <w:rPr>
                <w:rFonts w:hint="eastAsia"/>
                <w:color w:val="auto"/>
                <w:sz w:val="24"/>
                <w:highlight w:val="none"/>
              </w:rPr>
              <w:t>烹饪</w:t>
            </w:r>
            <w:r>
              <w:rPr>
                <w:color w:val="auto"/>
                <w:sz w:val="24"/>
                <w:highlight w:val="none"/>
              </w:rPr>
              <w:t>过程中食用油挥发率按3</w:t>
            </w:r>
            <w:r>
              <w:rPr>
                <w:rFonts w:hint="eastAsia"/>
                <w:color w:val="auto"/>
                <w:sz w:val="24"/>
                <w:highlight w:val="none"/>
              </w:rPr>
              <w:t>%</w:t>
            </w:r>
            <w:r>
              <w:rPr>
                <w:color w:val="auto"/>
                <w:sz w:val="24"/>
                <w:highlight w:val="none"/>
              </w:rPr>
              <w:t>计，则产生油烟约0.</w:t>
            </w:r>
            <w:r>
              <w:rPr>
                <w:rFonts w:hint="eastAsia"/>
                <w:color w:val="auto"/>
                <w:sz w:val="24"/>
                <w:highlight w:val="none"/>
                <w:lang w:val="en-US" w:eastAsia="zh-CN"/>
              </w:rPr>
              <w:t>0126</w:t>
            </w:r>
            <w:r>
              <w:rPr>
                <w:color w:val="auto"/>
                <w:sz w:val="24"/>
                <w:highlight w:val="none"/>
              </w:rPr>
              <w:t>kg/d</w:t>
            </w:r>
            <w:r>
              <w:rPr>
                <w:rFonts w:hint="eastAsia"/>
                <w:color w:val="auto"/>
                <w:sz w:val="24"/>
                <w:highlight w:val="none"/>
                <w:lang w:eastAsia="zh-CN"/>
              </w:rPr>
              <w:t>（</w:t>
            </w:r>
            <w:r>
              <w:rPr>
                <w:rFonts w:hint="eastAsia"/>
                <w:color w:val="auto"/>
                <w:sz w:val="24"/>
                <w:highlight w:val="none"/>
                <w:lang w:val="en-US" w:eastAsia="zh-CN"/>
              </w:rPr>
              <w:t>4.6</w:t>
            </w:r>
            <w:r>
              <w:rPr>
                <w:color w:val="auto"/>
                <w:sz w:val="24"/>
                <w:highlight w:val="none"/>
              </w:rPr>
              <w:t>kg/a</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食堂拟设</w:t>
            </w:r>
            <w:r>
              <w:rPr>
                <w:color w:val="auto"/>
                <w:sz w:val="24"/>
                <w:highlight w:val="none"/>
              </w:rPr>
              <w:t>灶头</w:t>
            </w:r>
            <w:r>
              <w:rPr>
                <w:rFonts w:hint="eastAsia"/>
                <w:color w:val="auto"/>
                <w:sz w:val="24"/>
                <w:highlight w:val="none"/>
              </w:rPr>
              <w:t>1</w:t>
            </w:r>
            <w:r>
              <w:rPr>
                <w:color w:val="auto"/>
                <w:sz w:val="24"/>
                <w:highlight w:val="none"/>
              </w:rPr>
              <w:t>个，灶头风机量</w:t>
            </w:r>
            <w:r>
              <w:rPr>
                <w:rFonts w:hint="eastAsia"/>
                <w:color w:val="auto"/>
                <w:sz w:val="24"/>
                <w:highlight w:val="none"/>
                <w:lang w:val="en-US" w:eastAsia="zh-CN"/>
              </w:rPr>
              <w:t>25</w:t>
            </w:r>
            <w:r>
              <w:rPr>
                <w:color w:val="auto"/>
                <w:sz w:val="24"/>
                <w:highlight w:val="none"/>
              </w:rPr>
              <w:t>00m</w:t>
            </w:r>
            <w:r>
              <w:rPr>
                <w:color w:val="auto"/>
                <w:sz w:val="24"/>
                <w:highlight w:val="none"/>
                <w:vertAlign w:val="superscript"/>
              </w:rPr>
              <w:t>3</w:t>
            </w:r>
            <w:r>
              <w:rPr>
                <w:color w:val="auto"/>
                <w:sz w:val="24"/>
                <w:highlight w:val="none"/>
              </w:rPr>
              <w:t>/h，</w:t>
            </w:r>
            <w:r>
              <w:rPr>
                <w:rFonts w:hint="eastAsia"/>
                <w:color w:val="auto"/>
                <w:sz w:val="24"/>
                <w:highlight w:val="none"/>
              </w:rPr>
              <w:t>烹饪时间</w:t>
            </w:r>
            <w:r>
              <w:rPr>
                <w:rFonts w:hint="eastAsia"/>
                <w:color w:val="auto"/>
                <w:sz w:val="24"/>
                <w:highlight w:val="none"/>
                <w:lang w:eastAsia="zh-CN"/>
              </w:rPr>
              <w:t>为</w:t>
            </w:r>
            <w:r>
              <w:rPr>
                <w:rFonts w:hint="eastAsia"/>
                <w:color w:val="auto"/>
                <w:sz w:val="24"/>
                <w:highlight w:val="none"/>
                <w:lang w:val="en-US" w:eastAsia="zh-CN"/>
              </w:rPr>
              <w:t>4</w:t>
            </w:r>
            <w:r>
              <w:rPr>
                <w:rFonts w:hint="eastAsia"/>
                <w:color w:val="auto"/>
                <w:sz w:val="24"/>
                <w:highlight w:val="none"/>
              </w:rPr>
              <w:t>h/d</w:t>
            </w:r>
            <w:r>
              <w:rPr>
                <w:rFonts w:hint="eastAsia"/>
                <w:color w:val="auto"/>
                <w:sz w:val="24"/>
                <w:highlight w:val="none"/>
                <w:lang w:eastAsia="zh-CN"/>
              </w:rPr>
              <w:t>。综合计算后得出油烟排放浓度为</w:t>
            </w:r>
            <w:r>
              <w:rPr>
                <w:rFonts w:hint="eastAsia"/>
                <w:color w:val="auto"/>
                <w:sz w:val="24"/>
                <w:highlight w:val="none"/>
                <w:lang w:val="en-US" w:eastAsia="zh-CN"/>
              </w:rPr>
              <w:t>1.26</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vertAlign w:val="baseline"/>
                <w:lang w:eastAsia="zh-CN"/>
              </w:rPr>
              <w:t>，满足《饮食业油烟排放标准（试行）》（GB18483-2001）</w:t>
            </w:r>
            <w:r>
              <w:rPr>
                <w:rFonts w:hint="eastAsia" w:ascii="Times New Roman" w:hAnsi="Times New Roman"/>
                <w:b w:val="0"/>
                <w:bCs w:val="0"/>
                <w:color w:val="auto"/>
                <w:sz w:val="24"/>
                <w:szCs w:val="24"/>
                <w:highlight w:val="none"/>
              </w:rPr>
              <w:t>中</w:t>
            </w:r>
            <w:r>
              <w:rPr>
                <w:rFonts w:ascii="Times New Roman" w:hAnsi="Times New Roman"/>
                <w:b w:val="0"/>
                <w:bCs w:val="0"/>
                <w:color w:val="auto"/>
                <w:sz w:val="24"/>
                <w:szCs w:val="24"/>
                <w:highlight w:val="none"/>
              </w:rPr>
              <w:t>最</w:t>
            </w:r>
            <w:r>
              <w:rPr>
                <w:rFonts w:hint="eastAsia"/>
                <w:b w:val="0"/>
                <w:bCs w:val="0"/>
                <w:color w:val="auto"/>
                <w:sz w:val="24"/>
                <w:szCs w:val="24"/>
                <w:highlight w:val="none"/>
              </w:rPr>
              <w:t>高允许排放浓度</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2.0</w:t>
            </w:r>
            <w:r>
              <w:rPr>
                <w:rFonts w:hint="eastAsia"/>
                <w:b w:val="0"/>
                <w:bCs w:val="0"/>
                <w:color w:val="auto"/>
                <w:sz w:val="24"/>
                <w:highlight w:val="none"/>
                <w:lang w:val="en-US" w:eastAsia="zh-CN"/>
              </w:rPr>
              <w:t>mg/m</w:t>
            </w:r>
            <w:r>
              <w:rPr>
                <w:rFonts w:hint="eastAsia"/>
                <w:b w:val="0"/>
                <w:bCs w:val="0"/>
                <w:color w:val="auto"/>
                <w:sz w:val="24"/>
                <w:highlight w:val="none"/>
                <w:vertAlign w:val="superscript"/>
                <w:lang w:val="en-US" w:eastAsia="zh-CN"/>
              </w:rPr>
              <w:t>3</w:t>
            </w:r>
            <w:r>
              <w:rPr>
                <w:rFonts w:hint="eastAsia"/>
                <w:b w:val="0"/>
                <w:bCs w:val="0"/>
                <w:color w:val="auto"/>
                <w:sz w:val="24"/>
                <w:szCs w:val="24"/>
                <w:highlight w:val="none"/>
                <w:lang w:eastAsia="zh-CN"/>
              </w:rPr>
              <w:t>），故油烟废气可达标排放。</w:t>
            </w:r>
          </w:p>
          <w:p w14:paraId="0976389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bCs/>
                <w:color w:val="auto"/>
                <w:sz w:val="24"/>
                <w:highlight w:val="none"/>
                <w:lang w:val="en-US" w:eastAsia="zh-CN"/>
              </w:rPr>
              <w:t>3、发电机燃油废气</w:t>
            </w:r>
          </w:p>
          <w:p w14:paraId="6FE5A5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根据建设单位介绍，</w:t>
            </w:r>
            <w:r>
              <w:rPr>
                <w:rFonts w:hint="eastAsia" w:cs="Times New Roman"/>
                <w:b w:val="0"/>
                <w:bCs w:val="0"/>
                <w:color w:val="auto"/>
                <w:sz w:val="24"/>
                <w:highlight w:val="none"/>
                <w:lang w:val="en-US" w:eastAsia="zh-CN"/>
              </w:rPr>
              <w:t>厂区</w:t>
            </w:r>
            <w:r>
              <w:rPr>
                <w:rFonts w:hint="default" w:ascii="Times New Roman" w:hAnsi="Times New Roman" w:eastAsia="宋体" w:cs="Times New Roman"/>
                <w:b w:val="0"/>
                <w:bCs w:val="0"/>
                <w:color w:val="auto"/>
                <w:sz w:val="24"/>
                <w:highlight w:val="none"/>
                <w:lang w:val="en-US" w:eastAsia="zh-CN"/>
              </w:rPr>
              <w:t>内拟设柴油发电机一个（停电时使用），发电机在运行过程中会产生氮氧化物（NO</w:t>
            </w:r>
            <w:r>
              <w:rPr>
                <w:rFonts w:hint="default" w:ascii="Times New Roman" w:hAnsi="Times New Roman" w:eastAsia="宋体" w:cs="Times New Roman"/>
                <w:b w:val="0"/>
                <w:bCs w:val="0"/>
                <w:color w:val="auto"/>
                <w:sz w:val="24"/>
                <w:highlight w:val="none"/>
                <w:vertAlign w:val="subscript"/>
                <w:lang w:val="en-US" w:eastAsia="zh-CN"/>
              </w:rPr>
              <w:t>X</w:t>
            </w:r>
            <w:r>
              <w:rPr>
                <w:rFonts w:hint="default" w:ascii="Times New Roman" w:hAnsi="Times New Roman" w:eastAsia="宋体" w:cs="Times New Roman"/>
                <w:b w:val="0"/>
                <w:bCs w:val="0"/>
                <w:color w:val="auto"/>
                <w:sz w:val="24"/>
                <w:highlight w:val="none"/>
                <w:lang w:val="en-US" w:eastAsia="zh-CN"/>
              </w:rPr>
              <w:t>）、颗粒物（PM）等污染物。根据现场调查：项目区域内的市政供电正常，基本不会有断电情况发生，因此备用发电机的使用频率极低；此外发电机室内通风良好，备用使用时间较短、易扩散，运行时对外环境影响很小。</w:t>
            </w:r>
          </w:p>
          <w:p w14:paraId="3386499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环境影响分析</w:t>
            </w:r>
          </w:p>
          <w:p w14:paraId="23662222">
            <w:pPr>
              <w:pStyle w:val="6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jc w:val="both"/>
              <w:textAlignment w:val="auto"/>
              <w:rPr>
                <w:rFonts w:hint="default" w:ascii="Times New Roman" w:hAnsi="Times New Roman" w:cs="Times New Roman"/>
                <w:b w:val="0"/>
                <w:bCs w:val="0"/>
                <w:color w:val="auto"/>
                <w:kern w:val="2"/>
                <w:sz w:val="24"/>
                <w:highlight w:val="none"/>
                <w:lang w:val="en-US" w:eastAsia="zh-CN"/>
              </w:rPr>
            </w:pPr>
            <w:r>
              <w:rPr>
                <w:rFonts w:hint="eastAsia" w:cs="Times New Roman"/>
                <w:b w:val="0"/>
                <w:bCs w:val="0"/>
                <w:color w:val="auto"/>
                <w:kern w:val="2"/>
                <w:sz w:val="24"/>
                <w:highlight w:val="none"/>
                <w:lang w:val="en-US" w:eastAsia="zh-CN"/>
              </w:rPr>
              <w:t>项目所在地洋县为达标区，</w:t>
            </w:r>
            <w:r>
              <w:rPr>
                <w:rFonts w:hint="default" w:ascii="Times New Roman" w:hAnsi="Times New Roman" w:cs="Times New Roman"/>
                <w:b w:val="0"/>
                <w:bCs w:val="0"/>
                <w:color w:val="auto"/>
                <w:kern w:val="2"/>
                <w:sz w:val="24"/>
                <w:highlight w:val="none"/>
                <w:lang w:val="en-US" w:eastAsia="zh-CN"/>
              </w:rPr>
              <w:t>运营期废气为</w:t>
            </w:r>
            <w:r>
              <w:rPr>
                <w:rFonts w:hint="eastAsia" w:cs="Times New Roman"/>
                <w:b w:val="0"/>
                <w:bCs w:val="0"/>
                <w:color w:val="auto"/>
                <w:kern w:val="2"/>
                <w:sz w:val="24"/>
                <w:highlight w:val="none"/>
                <w:lang w:val="en-US" w:eastAsia="zh-CN"/>
              </w:rPr>
              <w:t>恶臭、食堂油烟和发电机燃油废气。在采取“负压收集+活性氧离子除臭”、加强发电机室通风等措施后，恶臭有组织排放速率满足《恶臭污染物排放标准》（GB14554-93）表2中排放标准，</w:t>
            </w:r>
            <w:r>
              <w:rPr>
                <w:rFonts w:hint="eastAsia" w:cs="Times New Roman"/>
                <w:b w:val="0"/>
                <w:bCs w:val="0"/>
                <w:color w:val="auto"/>
                <w:kern w:val="2"/>
                <w:sz w:val="24"/>
                <w:highlight w:val="none"/>
                <w:lang w:val="en-US" w:eastAsia="zh-CN"/>
              </w:rPr>
              <w:t>无组织恶臭可以满足《城镇污水处理厂污染物排放标准》（GB18918-2002）表4中的标准值要求；</w:t>
            </w:r>
            <w:r>
              <w:rPr>
                <w:rFonts w:hint="eastAsia" w:cs="Times New Roman"/>
                <w:b w:val="0"/>
                <w:bCs w:val="0"/>
                <w:color w:val="auto"/>
                <w:kern w:val="2"/>
                <w:sz w:val="24"/>
                <w:highlight w:val="none"/>
                <w:lang w:val="en-US" w:eastAsia="zh-CN"/>
              </w:rPr>
              <w:t>燃油废气自然扩散后对周边环境空气影响较小。</w:t>
            </w:r>
          </w:p>
          <w:p w14:paraId="6AF52C93">
            <w:pPr>
              <w:adjustRightInd w:val="0"/>
              <w:snapToGrid w:val="0"/>
              <w:spacing w:line="360" w:lineRule="auto"/>
              <w:ind w:firstLine="482" w:firstLineChars="200"/>
              <w:rPr>
                <w:rFonts w:hint="default" w:eastAsia="宋体"/>
                <w:b/>
                <w:bCs/>
                <w:color w:val="auto"/>
                <w:kern w:val="0"/>
                <w:sz w:val="24"/>
                <w:highlight w:val="none"/>
                <w:lang w:val="en-US" w:eastAsia="zh-CN"/>
              </w:rPr>
            </w:pPr>
            <w:r>
              <w:rPr>
                <w:rFonts w:hint="eastAsia" w:cs="Times New Roman"/>
                <w:b/>
                <w:bCs/>
                <w:color w:val="auto"/>
                <w:sz w:val="24"/>
                <w:szCs w:val="24"/>
                <w:highlight w:val="none"/>
                <w:lang w:val="en-US" w:eastAsia="zh-CN"/>
              </w:rPr>
              <w:t>5、</w:t>
            </w:r>
            <w:r>
              <w:rPr>
                <w:rFonts w:hint="eastAsia"/>
                <w:b/>
                <w:bCs/>
                <w:color w:val="auto"/>
                <w:kern w:val="0"/>
                <w:sz w:val="24"/>
                <w:highlight w:val="none"/>
                <w:lang w:val="en-US" w:eastAsia="zh-CN"/>
              </w:rPr>
              <w:t>非正常工况下废气排放情况及处理措施</w:t>
            </w:r>
          </w:p>
          <w:p w14:paraId="4AB27ED6">
            <w:pPr>
              <w:keepNext w:val="0"/>
              <w:keepLines w:val="0"/>
              <w:pageBreakBefore w:val="0"/>
              <w:kinsoku/>
              <w:wordWrap/>
              <w:overflowPunct/>
              <w:topLinePunct w:val="0"/>
              <w:bidi w:val="0"/>
              <w:spacing w:line="360" w:lineRule="auto"/>
              <w:ind w:firstLine="480" w:firstLineChars="200"/>
              <w:jc w:val="both"/>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本项目后期运营过程中会不可避免地出现设备故障等非正常工况，根据企业介绍，非正常工况发生的频次约为1~2次/a。废气排放情况见下表：</w:t>
            </w:r>
          </w:p>
          <w:p w14:paraId="6A1818B1">
            <w:pPr>
              <w:keepNext w:val="0"/>
              <w:keepLines w:val="0"/>
              <w:pageBreakBefore w:val="0"/>
              <w:kinsoku/>
              <w:wordWrap/>
              <w:overflowPunct/>
              <w:topLinePunct w:val="0"/>
              <w:bidi w:val="0"/>
              <w:jc w:val="center"/>
              <w:rPr>
                <w:rFonts w:hint="eastAsia"/>
                <w:b/>
                <w:bCs/>
                <w:color w:val="auto"/>
                <w:szCs w:val="21"/>
                <w:highlight w:val="none"/>
              </w:rPr>
            </w:pPr>
            <w:r>
              <w:rPr>
                <w:rFonts w:hint="eastAsia"/>
                <w:b/>
                <w:bCs/>
                <w:color w:val="auto"/>
                <w:szCs w:val="21"/>
                <w:highlight w:val="none"/>
              </w:rPr>
              <w:t>表4</w:t>
            </w:r>
            <w:r>
              <w:rPr>
                <w:b/>
                <w:bCs/>
                <w:color w:val="auto"/>
                <w:szCs w:val="21"/>
                <w:highlight w:val="none"/>
              </w:rPr>
              <w:t>-</w:t>
            </w:r>
            <w:r>
              <w:rPr>
                <w:rFonts w:hint="eastAsia"/>
                <w:b/>
                <w:bCs/>
                <w:color w:val="auto"/>
                <w:szCs w:val="21"/>
                <w:highlight w:val="none"/>
                <w:lang w:val="en-US" w:eastAsia="zh-CN"/>
              </w:rPr>
              <w:t>6</w:t>
            </w:r>
            <w:r>
              <w:rPr>
                <w:b/>
                <w:bCs/>
                <w:color w:val="auto"/>
                <w:szCs w:val="21"/>
                <w:highlight w:val="none"/>
              </w:rPr>
              <w:t xml:space="preserve">  </w:t>
            </w:r>
            <w:r>
              <w:rPr>
                <w:rFonts w:hint="eastAsia"/>
                <w:b/>
                <w:bCs/>
                <w:color w:val="auto"/>
                <w:szCs w:val="21"/>
                <w:highlight w:val="none"/>
              </w:rPr>
              <w:t>项目非正常工况大气污染物排放量核算表</w:t>
            </w:r>
          </w:p>
          <w:tbl>
            <w:tblPr>
              <w:tblStyle w:val="31"/>
              <w:tblW w:w="827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367"/>
              <w:gridCol w:w="1385"/>
              <w:gridCol w:w="1174"/>
              <w:gridCol w:w="1561"/>
              <w:gridCol w:w="888"/>
              <w:gridCol w:w="1029"/>
            </w:tblGrid>
            <w:tr w14:paraId="3B78A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68" w:type="dxa"/>
                  <w:noWrap w:val="0"/>
                  <w:vAlign w:val="center"/>
                </w:tcPr>
                <w:p w14:paraId="63EB683A">
                  <w:pPr>
                    <w:keepNext w:val="0"/>
                    <w:keepLines w:val="0"/>
                    <w:pageBreakBefore w:val="0"/>
                    <w:kinsoku/>
                    <w:wordWrap/>
                    <w:overflowPunct/>
                    <w:topLinePunct w:val="0"/>
                    <w:bidi w:val="0"/>
                    <w:snapToGrid w:val="0"/>
                    <w:jc w:val="center"/>
                    <w:rPr>
                      <w:rFonts w:hint="eastAsia"/>
                      <w:color w:val="auto"/>
                      <w:szCs w:val="21"/>
                      <w:highlight w:val="none"/>
                    </w:rPr>
                  </w:pPr>
                  <w:r>
                    <w:rPr>
                      <w:rFonts w:hint="eastAsia"/>
                      <w:color w:val="auto"/>
                      <w:szCs w:val="21"/>
                      <w:highlight w:val="none"/>
                    </w:rPr>
                    <w:t>污染物</w:t>
                  </w:r>
                </w:p>
              </w:tc>
              <w:tc>
                <w:tcPr>
                  <w:tcW w:w="1367" w:type="dxa"/>
                  <w:noWrap w:val="0"/>
                  <w:vAlign w:val="center"/>
                </w:tcPr>
                <w:p w14:paraId="69617F1D">
                  <w:pPr>
                    <w:keepNext w:val="0"/>
                    <w:keepLines w:val="0"/>
                    <w:pageBreakBefore w:val="0"/>
                    <w:kinsoku/>
                    <w:wordWrap/>
                    <w:overflowPunct/>
                    <w:topLinePunct w:val="0"/>
                    <w:bidi w:val="0"/>
                    <w:snapToGrid w:val="0"/>
                    <w:jc w:val="center"/>
                    <w:rPr>
                      <w:rFonts w:hint="eastAsia"/>
                      <w:color w:val="auto"/>
                      <w:szCs w:val="21"/>
                      <w:highlight w:val="none"/>
                    </w:rPr>
                  </w:pPr>
                  <w:r>
                    <w:rPr>
                      <w:rFonts w:hint="eastAsia"/>
                      <w:color w:val="auto"/>
                      <w:szCs w:val="21"/>
                      <w:highlight w:val="none"/>
                    </w:rPr>
                    <w:t>排放量</w:t>
                  </w:r>
                </w:p>
              </w:tc>
              <w:tc>
                <w:tcPr>
                  <w:tcW w:w="1385" w:type="dxa"/>
                  <w:noWrap w:val="0"/>
                  <w:vAlign w:val="center"/>
                </w:tcPr>
                <w:p w14:paraId="3805D269">
                  <w:pPr>
                    <w:keepNext w:val="0"/>
                    <w:keepLines w:val="0"/>
                    <w:pageBreakBefore w:val="0"/>
                    <w:kinsoku/>
                    <w:wordWrap/>
                    <w:overflowPunct/>
                    <w:topLinePunct w:val="0"/>
                    <w:bidi w:val="0"/>
                    <w:snapToGrid w:val="0"/>
                    <w:jc w:val="center"/>
                    <w:rPr>
                      <w:rFonts w:hint="eastAsia" w:eastAsia="宋体"/>
                      <w:color w:val="auto"/>
                      <w:szCs w:val="21"/>
                      <w:highlight w:val="none"/>
                      <w:lang w:eastAsia="zh-CN"/>
                    </w:rPr>
                  </w:pPr>
                  <w:r>
                    <w:rPr>
                      <w:rFonts w:hint="eastAsia"/>
                      <w:color w:val="auto"/>
                      <w:szCs w:val="21"/>
                      <w:highlight w:val="none"/>
                      <w:lang w:eastAsia="zh-CN"/>
                    </w:rPr>
                    <w:t>排放浓度</w:t>
                  </w:r>
                </w:p>
              </w:tc>
              <w:tc>
                <w:tcPr>
                  <w:tcW w:w="1174" w:type="dxa"/>
                  <w:noWrap w:val="0"/>
                  <w:vAlign w:val="center"/>
                </w:tcPr>
                <w:p w14:paraId="6C4D2ED2">
                  <w:pPr>
                    <w:keepNext w:val="0"/>
                    <w:keepLines w:val="0"/>
                    <w:pageBreakBefore w:val="0"/>
                    <w:kinsoku/>
                    <w:wordWrap/>
                    <w:overflowPunct/>
                    <w:topLinePunct w:val="0"/>
                    <w:bidi w:val="0"/>
                    <w:snapToGrid w:val="0"/>
                    <w:jc w:val="center"/>
                    <w:rPr>
                      <w:rFonts w:hint="eastAsia" w:eastAsia="宋体"/>
                      <w:color w:val="auto"/>
                      <w:szCs w:val="21"/>
                      <w:highlight w:val="none"/>
                      <w:lang w:eastAsia="zh-CN"/>
                    </w:rPr>
                  </w:pPr>
                  <w:r>
                    <w:rPr>
                      <w:rFonts w:hint="eastAsia"/>
                      <w:color w:val="auto"/>
                      <w:szCs w:val="21"/>
                      <w:highlight w:val="none"/>
                      <w:lang w:eastAsia="zh-CN"/>
                    </w:rPr>
                    <w:t>排放速率</w:t>
                  </w:r>
                </w:p>
              </w:tc>
              <w:tc>
                <w:tcPr>
                  <w:tcW w:w="1561" w:type="dxa"/>
                  <w:noWrap w:val="0"/>
                  <w:vAlign w:val="center"/>
                </w:tcPr>
                <w:p w14:paraId="707109B5">
                  <w:pPr>
                    <w:keepNext w:val="0"/>
                    <w:keepLines w:val="0"/>
                    <w:pageBreakBefore w:val="0"/>
                    <w:kinsoku/>
                    <w:wordWrap/>
                    <w:overflowPunct/>
                    <w:topLinePunct w:val="0"/>
                    <w:bidi w:val="0"/>
                    <w:snapToGrid w:val="0"/>
                    <w:jc w:val="center"/>
                    <w:rPr>
                      <w:rFonts w:hint="eastAsia"/>
                      <w:color w:val="auto"/>
                      <w:szCs w:val="21"/>
                      <w:highlight w:val="none"/>
                      <w:lang w:eastAsia="zh-CN"/>
                    </w:rPr>
                  </w:pPr>
                  <w:r>
                    <w:rPr>
                      <w:rFonts w:hint="eastAsia"/>
                      <w:color w:val="auto"/>
                      <w:szCs w:val="21"/>
                      <w:highlight w:val="none"/>
                      <w:lang w:eastAsia="zh-CN"/>
                    </w:rPr>
                    <w:t>非正常排放</w:t>
                  </w:r>
                </w:p>
                <w:p w14:paraId="1D9753CA">
                  <w:pPr>
                    <w:keepNext w:val="0"/>
                    <w:keepLines w:val="0"/>
                    <w:pageBreakBefore w:val="0"/>
                    <w:kinsoku/>
                    <w:wordWrap/>
                    <w:overflowPunct/>
                    <w:topLinePunct w:val="0"/>
                    <w:bidi w:val="0"/>
                    <w:snapToGrid w:val="0"/>
                    <w:jc w:val="center"/>
                    <w:rPr>
                      <w:rFonts w:hint="eastAsia" w:eastAsia="宋体"/>
                      <w:color w:val="auto"/>
                      <w:szCs w:val="21"/>
                      <w:highlight w:val="none"/>
                      <w:lang w:eastAsia="zh-CN"/>
                    </w:rPr>
                  </w:pPr>
                  <w:r>
                    <w:rPr>
                      <w:rFonts w:hint="eastAsia"/>
                      <w:color w:val="auto"/>
                      <w:szCs w:val="21"/>
                      <w:highlight w:val="none"/>
                      <w:lang w:eastAsia="zh-CN"/>
                    </w:rPr>
                    <w:t>原因</w:t>
                  </w:r>
                </w:p>
              </w:tc>
              <w:tc>
                <w:tcPr>
                  <w:tcW w:w="888" w:type="dxa"/>
                  <w:noWrap w:val="0"/>
                  <w:vAlign w:val="center"/>
                </w:tcPr>
                <w:p w14:paraId="491A8C71">
                  <w:pPr>
                    <w:keepNext w:val="0"/>
                    <w:keepLines w:val="0"/>
                    <w:pageBreakBefore w:val="0"/>
                    <w:kinsoku/>
                    <w:wordWrap/>
                    <w:overflowPunct/>
                    <w:topLinePunct w:val="0"/>
                    <w:bidi w:val="0"/>
                    <w:snapToGrid w:val="0"/>
                    <w:jc w:val="center"/>
                    <w:rPr>
                      <w:rFonts w:hint="eastAsia" w:eastAsia="宋体"/>
                      <w:color w:val="auto"/>
                      <w:szCs w:val="21"/>
                      <w:highlight w:val="none"/>
                      <w:lang w:eastAsia="zh-CN"/>
                    </w:rPr>
                  </w:pPr>
                  <w:r>
                    <w:rPr>
                      <w:rFonts w:hint="eastAsia"/>
                      <w:color w:val="auto"/>
                      <w:szCs w:val="21"/>
                      <w:highlight w:val="none"/>
                      <w:lang w:eastAsia="zh-CN"/>
                    </w:rPr>
                    <w:t>单次持续时间</w:t>
                  </w:r>
                </w:p>
              </w:tc>
              <w:tc>
                <w:tcPr>
                  <w:tcW w:w="1029" w:type="dxa"/>
                  <w:noWrap w:val="0"/>
                  <w:vAlign w:val="center"/>
                </w:tcPr>
                <w:p w14:paraId="4F1240CA">
                  <w:pPr>
                    <w:keepNext w:val="0"/>
                    <w:keepLines w:val="0"/>
                    <w:pageBreakBefore w:val="0"/>
                    <w:kinsoku/>
                    <w:wordWrap/>
                    <w:overflowPunct/>
                    <w:topLinePunct w:val="0"/>
                    <w:bidi w:val="0"/>
                    <w:snapToGrid w:val="0"/>
                    <w:jc w:val="center"/>
                    <w:rPr>
                      <w:rFonts w:hint="eastAsia"/>
                      <w:color w:val="auto"/>
                      <w:szCs w:val="21"/>
                      <w:highlight w:val="none"/>
                      <w:lang w:eastAsia="zh-CN"/>
                    </w:rPr>
                  </w:pPr>
                  <w:r>
                    <w:rPr>
                      <w:rFonts w:hint="eastAsia"/>
                      <w:color w:val="auto"/>
                      <w:szCs w:val="21"/>
                      <w:highlight w:val="none"/>
                      <w:lang w:eastAsia="zh-CN"/>
                    </w:rPr>
                    <w:t>年发生</w:t>
                  </w:r>
                </w:p>
                <w:p w14:paraId="5F4D93DA">
                  <w:pPr>
                    <w:keepNext w:val="0"/>
                    <w:keepLines w:val="0"/>
                    <w:pageBreakBefore w:val="0"/>
                    <w:kinsoku/>
                    <w:wordWrap/>
                    <w:overflowPunct/>
                    <w:topLinePunct w:val="0"/>
                    <w:bidi w:val="0"/>
                    <w:snapToGrid w:val="0"/>
                    <w:jc w:val="center"/>
                    <w:rPr>
                      <w:rFonts w:hint="eastAsia" w:eastAsia="宋体"/>
                      <w:color w:val="auto"/>
                      <w:szCs w:val="21"/>
                      <w:highlight w:val="none"/>
                      <w:lang w:eastAsia="zh-CN"/>
                    </w:rPr>
                  </w:pPr>
                  <w:r>
                    <w:rPr>
                      <w:rFonts w:hint="eastAsia"/>
                      <w:color w:val="auto"/>
                      <w:szCs w:val="21"/>
                      <w:highlight w:val="none"/>
                      <w:lang w:eastAsia="zh-CN"/>
                    </w:rPr>
                    <w:t>频次</w:t>
                  </w:r>
                </w:p>
              </w:tc>
            </w:tr>
            <w:tr w14:paraId="2EFF8D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8" w:type="dxa"/>
                  <w:noWrap w:val="0"/>
                  <w:vAlign w:val="center"/>
                </w:tcPr>
                <w:p w14:paraId="227BB091">
                  <w:pPr>
                    <w:keepNext w:val="0"/>
                    <w:keepLines w:val="0"/>
                    <w:pageBreakBefore w:val="0"/>
                    <w:widowControl/>
                    <w:kinsoku/>
                    <w:wordWrap/>
                    <w:overflowPunct/>
                    <w:topLinePunct w:val="0"/>
                    <w:bidi w:val="0"/>
                    <w:ind w:left="-105" w:leftChars="-50" w:right="-105" w:rightChars="-50"/>
                    <w:jc w:val="center"/>
                    <w:textAlignment w:val="center"/>
                    <w:rPr>
                      <w:rFonts w:hint="eastAsia"/>
                      <w:color w:val="auto"/>
                      <w:szCs w:val="21"/>
                      <w:highlight w:val="none"/>
                      <w:lang w:val="en-US" w:eastAsia="zh-CN"/>
                    </w:rPr>
                  </w:pPr>
                  <w:r>
                    <w:rPr>
                      <w:rFonts w:hint="eastAsia"/>
                      <w:color w:val="auto"/>
                      <w:szCs w:val="21"/>
                      <w:highlight w:val="none"/>
                      <w:lang w:eastAsia="zh-CN"/>
                    </w:rPr>
                    <w:t>H</w:t>
                  </w:r>
                  <w:r>
                    <w:rPr>
                      <w:rFonts w:hint="eastAsia"/>
                      <w:color w:val="auto"/>
                      <w:szCs w:val="21"/>
                      <w:highlight w:val="none"/>
                      <w:vertAlign w:val="subscript"/>
                      <w:lang w:eastAsia="zh-CN"/>
                    </w:rPr>
                    <w:t>2</w:t>
                  </w:r>
                  <w:r>
                    <w:rPr>
                      <w:rFonts w:hint="eastAsia"/>
                      <w:color w:val="auto"/>
                      <w:szCs w:val="21"/>
                      <w:highlight w:val="none"/>
                      <w:lang w:eastAsia="zh-CN"/>
                    </w:rPr>
                    <w:t>S</w:t>
                  </w:r>
                </w:p>
              </w:tc>
              <w:tc>
                <w:tcPr>
                  <w:tcW w:w="1367" w:type="dxa"/>
                  <w:noWrap w:val="0"/>
                  <w:vAlign w:val="center"/>
                </w:tcPr>
                <w:p w14:paraId="0723CADF">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0.046kg/次</w:t>
                  </w:r>
                </w:p>
              </w:tc>
              <w:tc>
                <w:tcPr>
                  <w:tcW w:w="1385" w:type="dxa"/>
                  <w:noWrap w:val="0"/>
                  <w:vAlign w:val="center"/>
                </w:tcPr>
                <w:p w14:paraId="47938087">
                  <w:pPr>
                    <w:keepNext w:val="0"/>
                    <w:keepLines w:val="0"/>
                    <w:pageBreakBefore w:val="0"/>
                    <w:kinsoku/>
                    <w:wordWrap/>
                    <w:overflowPunct/>
                    <w:topLinePunct w:val="0"/>
                    <w:bidi w:val="0"/>
                    <w:snapToGrid w:val="0"/>
                    <w:jc w:val="center"/>
                    <w:rPr>
                      <w:rFonts w:hint="default"/>
                      <w:color w:val="auto"/>
                      <w:szCs w:val="21"/>
                      <w:highlight w:val="none"/>
                      <w:lang w:val="en-US" w:eastAsia="zh-CN"/>
                    </w:rPr>
                  </w:pPr>
                  <w:r>
                    <w:rPr>
                      <w:rFonts w:hint="eastAsia"/>
                      <w:color w:val="auto"/>
                      <w:szCs w:val="21"/>
                      <w:highlight w:val="none"/>
                      <w:lang w:val="en-US" w:eastAsia="zh-CN"/>
                    </w:rPr>
                    <w:t>3.83mg/m</w:t>
                  </w:r>
                  <w:r>
                    <w:rPr>
                      <w:rFonts w:hint="eastAsia"/>
                      <w:color w:val="auto"/>
                      <w:szCs w:val="21"/>
                      <w:highlight w:val="none"/>
                      <w:vertAlign w:val="superscript"/>
                      <w:lang w:val="en-US" w:eastAsia="zh-CN"/>
                    </w:rPr>
                    <w:t>3</w:t>
                  </w:r>
                </w:p>
              </w:tc>
              <w:tc>
                <w:tcPr>
                  <w:tcW w:w="1174" w:type="dxa"/>
                  <w:noWrap w:val="0"/>
                  <w:vAlign w:val="center"/>
                </w:tcPr>
                <w:p w14:paraId="4EB843DB">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0.046kg/h</w:t>
                  </w:r>
                </w:p>
              </w:tc>
              <w:tc>
                <w:tcPr>
                  <w:tcW w:w="1561" w:type="dxa"/>
                  <w:vMerge w:val="restart"/>
                  <w:noWrap w:val="0"/>
                  <w:vAlign w:val="center"/>
                </w:tcPr>
                <w:p w14:paraId="5451C117">
                  <w:pPr>
                    <w:keepNext w:val="0"/>
                    <w:keepLines w:val="0"/>
                    <w:pageBreakBefore w:val="0"/>
                    <w:kinsoku/>
                    <w:wordWrap/>
                    <w:overflowPunct/>
                    <w:topLinePunct w:val="0"/>
                    <w:bidi w:val="0"/>
                    <w:snapToGrid w:val="0"/>
                    <w:jc w:val="center"/>
                    <w:rPr>
                      <w:rFonts w:hint="eastAsia" w:eastAsia="宋体"/>
                      <w:color w:val="auto"/>
                      <w:szCs w:val="21"/>
                      <w:highlight w:val="none"/>
                      <w:lang w:val="en-US" w:eastAsia="zh-CN"/>
                    </w:rPr>
                  </w:pPr>
                  <w:r>
                    <w:rPr>
                      <w:rFonts w:hint="eastAsia"/>
                      <w:color w:val="auto"/>
                      <w:szCs w:val="21"/>
                      <w:highlight w:val="none"/>
                      <w:lang w:val="en-US" w:eastAsia="zh-CN"/>
                    </w:rPr>
                    <w:t>负压收集或活性氧离子除臭工艺失效（处理效率为0时）</w:t>
                  </w:r>
                </w:p>
              </w:tc>
              <w:tc>
                <w:tcPr>
                  <w:tcW w:w="888" w:type="dxa"/>
                  <w:noWrap w:val="0"/>
                  <w:vAlign w:val="center"/>
                </w:tcPr>
                <w:p w14:paraId="725D2709">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1h</w:t>
                  </w:r>
                </w:p>
              </w:tc>
              <w:tc>
                <w:tcPr>
                  <w:tcW w:w="1029" w:type="dxa"/>
                  <w:noWrap w:val="0"/>
                  <w:vAlign w:val="center"/>
                </w:tcPr>
                <w:p w14:paraId="60DD9684">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1~2</w:t>
                  </w:r>
                </w:p>
              </w:tc>
            </w:tr>
            <w:tr w14:paraId="25D7E1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8" w:type="dxa"/>
                  <w:noWrap w:val="0"/>
                  <w:vAlign w:val="center"/>
                </w:tcPr>
                <w:p w14:paraId="4BB0847B">
                  <w:pPr>
                    <w:keepNext w:val="0"/>
                    <w:keepLines w:val="0"/>
                    <w:pageBreakBefore w:val="0"/>
                    <w:widowControl/>
                    <w:kinsoku/>
                    <w:wordWrap/>
                    <w:overflowPunct/>
                    <w:topLinePunct w:val="0"/>
                    <w:bidi w:val="0"/>
                    <w:ind w:left="-105" w:leftChars="-50" w:right="-105" w:rightChars="-50"/>
                    <w:jc w:val="center"/>
                    <w:textAlignment w:val="center"/>
                    <w:rPr>
                      <w:rFonts w:hint="eastAsia"/>
                      <w:color w:val="auto"/>
                      <w:szCs w:val="21"/>
                      <w:highlight w:val="none"/>
                      <w:lang w:eastAsia="zh-CN"/>
                    </w:rPr>
                  </w:pPr>
                  <w:r>
                    <w:rPr>
                      <w:rFonts w:hint="eastAsia"/>
                      <w:color w:val="auto"/>
                      <w:szCs w:val="21"/>
                      <w:highlight w:val="none"/>
                      <w:lang w:eastAsia="zh-CN"/>
                    </w:rPr>
                    <w:t>NH</w:t>
                  </w:r>
                  <w:r>
                    <w:rPr>
                      <w:rFonts w:hint="eastAsia"/>
                      <w:color w:val="auto"/>
                      <w:szCs w:val="21"/>
                      <w:highlight w:val="none"/>
                      <w:vertAlign w:val="subscript"/>
                      <w:lang w:eastAsia="zh-CN"/>
                    </w:rPr>
                    <w:t>3</w:t>
                  </w:r>
                </w:p>
              </w:tc>
              <w:tc>
                <w:tcPr>
                  <w:tcW w:w="1367" w:type="dxa"/>
                  <w:noWrap w:val="0"/>
                  <w:vAlign w:val="center"/>
                </w:tcPr>
                <w:p w14:paraId="126F37A0">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0.0018kg/次</w:t>
                  </w:r>
                </w:p>
              </w:tc>
              <w:tc>
                <w:tcPr>
                  <w:tcW w:w="1385" w:type="dxa"/>
                  <w:noWrap w:val="0"/>
                  <w:vAlign w:val="center"/>
                </w:tcPr>
                <w:p w14:paraId="65592206">
                  <w:pPr>
                    <w:keepNext w:val="0"/>
                    <w:keepLines w:val="0"/>
                    <w:pageBreakBefore w:val="0"/>
                    <w:kinsoku/>
                    <w:wordWrap/>
                    <w:overflowPunct/>
                    <w:topLinePunct w:val="0"/>
                    <w:bidi w:val="0"/>
                    <w:snapToGrid w:val="0"/>
                    <w:jc w:val="center"/>
                    <w:rPr>
                      <w:rFonts w:hint="default"/>
                      <w:color w:val="auto"/>
                      <w:szCs w:val="21"/>
                      <w:highlight w:val="none"/>
                      <w:lang w:val="en-US" w:eastAsia="zh-CN"/>
                    </w:rPr>
                  </w:pPr>
                  <w:r>
                    <w:rPr>
                      <w:rFonts w:hint="eastAsia"/>
                      <w:color w:val="auto"/>
                      <w:szCs w:val="21"/>
                      <w:highlight w:val="none"/>
                      <w:lang w:val="en-US" w:eastAsia="zh-CN"/>
                    </w:rPr>
                    <w:t>0.15mg/m</w:t>
                  </w:r>
                  <w:r>
                    <w:rPr>
                      <w:rFonts w:hint="eastAsia"/>
                      <w:color w:val="auto"/>
                      <w:szCs w:val="21"/>
                      <w:highlight w:val="none"/>
                      <w:vertAlign w:val="superscript"/>
                      <w:lang w:val="en-US" w:eastAsia="zh-CN"/>
                    </w:rPr>
                    <w:t>3</w:t>
                  </w:r>
                </w:p>
              </w:tc>
              <w:tc>
                <w:tcPr>
                  <w:tcW w:w="1174" w:type="dxa"/>
                  <w:noWrap w:val="0"/>
                  <w:vAlign w:val="center"/>
                </w:tcPr>
                <w:p w14:paraId="197008DA">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0.0018kg/h</w:t>
                  </w:r>
                </w:p>
              </w:tc>
              <w:tc>
                <w:tcPr>
                  <w:tcW w:w="1561" w:type="dxa"/>
                  <w:vMerge w:val="continue"/>
                  <w:noWrap w:val="0"/>
                  <w:vAlign w:val="center"/>
                </w:tcPr>
                <w:p w14:paraId="7CACE1A5">
                  <w:pPr>
                    <w:keepNext w:val="0"/>
                    <w:keepLines w:val="0"/>
                    <w:pageBreakBefore w:val="0"/>
                    <w:kinsoku/>
                    <w:wordWrap/>
                    <w:overflowPunct/>
                    <w:topLinePunct w:val="0"/>
                    <w:bidi w:val="0"/>
                    <w:snapToGrid w:val="0"/>
                    <w:jc w:val="center"/>
                    <w:rPr>
                      <w:rFonts w:hint="eastAsia" w:eastAsia="宋体"/>
                      <w:color w:val="auto"/>
                      <w:szCs w:val="21"/>
                      <w:highlight w:val="none"/>
                      <w:lang w:val="en-US" w:eastAsia="zh-CN"/>
                    </w:rPr>
                  </w:pPr>
                </w:p>
              </w:tc>
              <w:tc>
                <w:tcPr>
                  <w:tcW w:w="888" w:type="dxa"/>
                  <w:noWrap w:val="0"/>
                  <w:vAlign w:val="center"/>
                </w:tcPr>
                <w:p w14:paraId="372E6997">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1h</w:t>
                  </w:r>
                </w:p>
              </w:tc>
              <w:tc>
                <w:tcPr>
                  <w:tcW w:w="1029" w:type="dxa"/>
                  <w:noWrap w:val="0"/>
                  <w:vAlign w:val="center"/>
                </w:tcPr>
                <w:p w14:paraId="1F786CFA">
                  <w:pPr>
                    <w:keepNext w:val="0"/>
                    <w:keepLines w:val="0"/>
                    <w:pageBreakBefore w:val="0"/>
                    <w:kinsoku/>
                    <w:wordWrap/>
                    <w:overflowPunct/>
                    <w:topLinePunct w:val="0"/>
                    <w:bidi w:val="0"/>
                    <w:snapToGrid w:val="0"/>
                    <w:jc w:val="center"/>
                    <w:rPr>
                      <w:rFonts w:hint="eastAsia"/>
                      <w:color w:val="auto"/>
                      <w:szCs w:val="21"/>
                      <w:highlight w:val="none"/>
                      <w:lang w:val="en-US" w:eastAsia="zh-CN"/>
                    </w:rPr>
                  </w:pPr>
                  <w:r>
                    <w:rPr>
                      <w:rFonts w:hint="eastAsia"/>
                      <w:color w:val="auto"/>
                      <w:szCs w:val="21"/>
                      <w:highlight w:val="none"/>
                      <w:lang w:val="en-US" w:eastAsia="zh-CN"/>
                    </w:rPr>
                    <w:t>1~2</w:t>
                  </w:r>
                </w:p>
              </w:tc>
            </w:tr>
          </w:tbl>
          <w:p w14:paraId="5627E72E">
            <w:pPr>
              <w:keepNext w:val="0"/>
              <w:keepLines w:val="0"/>
              <w:pageBreakBefore w:val="0"/>
              <w:kinsoku/>
              <w:wordWrap/>
              <w:overflowPunct/>
              <w:topLinePunct w:val="0"/>
              <w:bidi w:val="0"/>
              <w:adjustRightInd w:val="0"/>
              <w:snapToGrid w:val="0"/>
              <w:spacing w:line="360" w:lineRule="auto"/>
              <w:ind w:firstLine="480" w:firstLineChars="200"/>
              <w:rPr>
                <w:rFonts w:hint="eastAsia"/>
                <w:color w:val="auto"/>
                <w:sz w:val="24"/>
                <w:highlight w:val="none"/>
                <w:lang w:eastAsia="zh-CN"/>
              </w:rPr>
            </w:pPr>
            <w:r>
              <w:rPr>
                <w:rFonts w:hint="eastAsia"/>
                <w:color w:val="auto"/>
                <w:sz w:val="24"/>
                <w:highlight w:val="none"/>
              </w:rPr>
              <w:t>遇此情况，</w:t>
            </w:r>
            <w:r>
              <w:rPr>
                <w:rFonts w:hint="eastAsia"/>
                <w:color w:val="auto"/>
                <w:sz w:val="24"/>
                <w:highlight w:val="none"/>
                <w:lang w:eastAsia="zh-CN"/>
              </w:rPr>
              <w:t>环评建议企业采取如下措施：</w:t>
            </w:r>
          </w:p>
          <w:p w14:paraId="0A0C7627">
            <w:pPr>
              <w:keepNext w:val="0"/>
              <w:keepLines w:val="0"/>
              <w:pageBreakBefore w:val="0"/>
              <w:kinsoku/>
              <w:wordWrap/>
              <w:overflowPunct/>
              <w:topLinePunct w:val="0"/>
              <w:bidi w:val="0"/>
              <w:adjustRightInd w:val="0"/>
              <w:snapToGrid w:val="0"/>
              <w:spacing w:line="360" w:lineRule="auto"/>
              <w:ind w:firstLine="480" w:firstLineChars="200"/>
              <w:rPr>
                <w:rFonts w:hint="eastAsia"/>
                <w:color w:val="auto"/>
                <w:sz w:val="24"/>
                <w:highlight w:val="none"/>
                <w:lang w:eastAsia="zh-CN"/>
              </w:rPr>
            </w:pPr>
            <w:r>
              <w:rPr>
                <w:rFonts w:hint="eastAsia" w:ascii="宋体" w:hAnsi="宋体" w:eastAsia="宋体" w:cs="宋体"/>
                <w:color w:val="auto"/>
                <w:sz w:val="24"/>
                <w:highlight w:val="none"/>
              </w:rPr>
              <w:t>①</w:t>
            </w:r>
            <w:r>
              <w:rPr>
                <w:rFonts w:hint="eastAsia"/>
                <w:color w:val="auto"/>
                <w:sz w:val="24"/>
                <w:highlight w:val="none"/>
              </w:rPr>
              <w:t>发生废气非正常排放后立即</w:t>
            </w:r>
            <w:r>
              <w:rPr>
                <w:rFonts w:hint="eastAsia"/>
                <w:color w:val="auto"/>
                <w:sz w:val="24"/>
                <w:highlight w:val="none"/>
                <w:lang w:eastAsia="zh-CN"/>
              </w:rPr>
              <w:t>派技术人员进行核查处理</w:t>
            </w:r>
            <w:r>
              <w:rPr>
                <w:rFonts w:hint="eastAsia"/>
                <w:color w:val="auto"/>
                <w:sz w:val="24"/>
                <w:highlight w:val="none"/>
              </w:rPr>
              <w:t>，确保将废气污染范围控制在最小范围</w:t>
            </w:r>
            <w:r>
              <w:rPr>
                <w:rFonts w:hint="eastAsia"/>
                <w:color w:val="auto"/>
                <w:sz w:val="24"/>
                <w:highlight w:val="none"/>
                <w:lang w:eastAsia="zh-CN"/>
              </w:rPr>
              <w:t>；</w:t>
            </w:r>
          </w:p>
          <w:p w14:paraId="5EF50117">
            <w:pPr>
              <w:adjustRightInd w:val="0"/>
              <w:snapToGrid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②</w:t>
            </w:r>
            <w:r>
              <w:rPr>
                <w:rFonts w:hint="eastAsia" w:ascii="宋体" w:hAnsi="宋体" w:eastAsia="宋体" w:cs="宋体"/>
                <w:color w:val="auto"/>
                <w:sz w:val="24"/>
                <w:highlight w:val="none"/>
                <w:lang w:eastAsia="zh-CN"/>
              </w:rPr>
              <w:t>定期检查</w:t>
            </w:r>
            <w:r>
              <w:rPr>
                <w:rFonts w:hint="eastAsia" w:ascii="宋体" w:hAnsi="宋体" w:cs="宋体"/>
                <w:color w:val="auto"/>
                <w:sz w:val="24"/>
                <w:highlight w:val="none"/>
                <w:lang w:eastAsia="zh-CN"/>
              </w:rPr>
              <w:t>管道负压收集、活性氧离子除臭设施</w:t>
            </w:r>
            <w:r>
              <w:rPr>
                <w:rFonts w:hint="eastAsia" w:ascii="宋体" w:hAnsi="宋体" w:eastAsia="宋体" w:cs="宋体"/>
                <w:color w:val="auto"/>
                <w:sz w:val="24"/>
                <w:highlight w:val="none"/>
                <w:lang w:eastAsia="zh-CN"/>
              </w:rPr>
              <w:t>工作情况，确保其正常运行；</w:t>
            </w:r>
          </w:p>
          <w:p w14:paraId="0E8967FF">
            <w:pPr>
              <w:adjustRightInd w:val="0"/>
              <w:snapToGrid w:val="0"/>
              <w:spacing w:line="360" w:lineRule="auto"/>
              <w:ind w:firstLine="480" w:firstLineChars="200"/>
              <w:rPr>
                <w:rFonts w:hint="default" w:ascii="Times New Roman" w:hAnsi="Times New Roman" w:cs="Times New Roman"/>
                <w:b/>
                <w:bCs/>
                <w:color w:val="auto"/>
                <w:sz w:val="24"/>
                <w:szCs w:val="24"/>
                <w:highlight w:val="none"/>
                <w:lang w:val="en-US" w:eastAsia="zh-CN"/>
              </w:rPr>
            </w:pPr>
            <w:r>
              <w:rPr>
                <w:rFonts w:hint="eastAsia" w:ascii="宋体" w:hAnsi="宋体" w:eastAsia="宋体" w:cs="宋体"/>
                <w:color w:val="auto"/>
                <w:sz w:val="24"/>
                <w:highlight w:val="none"/>
              </w:rPr>
              <w:t>③</w:t>
            </w:r>
            <w:r>
              <w:rPr>
                <w:rFonts w:hint="eastAsia"/>
                <w:color w:val="auto"/>
                <w:sz w:val="24"/>
                <w:highlight w:val="none"/>
              </w:rPr>
              <w:t>按照监测要求对项目废气定期进行检测，防止废气超标排放。</w:t>
            </w:r>
          </w:p>
          <w:p w14:paraId="631554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6、监测计划</w:t>
            </w:r>
          </w:p>
          <w:p w14:paraId="6C2A0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highlight w:val="none"/>
                <w:lang w:val="en-US" w:eastAsia="zh-CN"/>
              </w:rPr>
            </w:pPr>
            <w:r>
              <w:rPr>
                <w:rFonts w:hint="eastAsia" w:ascii="宋体" w:hAnsi="宋体" w:eastAsia="宋体" w:cs="宋体"/>
                <w:color w:val="auto"/>
                <w:sz w:val="24"/>
                <w:szCs w:val="24"/>
                <w:highlight w:val="none"/>
                <w:lang w:eastAsia="zh-CN"/>
              </w:rPr>
              <w:t>根据《</w:t>
            </w:r>
            <w:r>
              <w:rPr>
                <w:rFonts w:ascii="宋体" w:hAnsi="宋体" w:eastAsia="宋体" w:cs="宋体"/>
                <w:color w:val="auto"/>
                <w:sz w:val="24"/>
                <w:szCs w:val="24"/>
                <w:highlight w:val="none"/>
              </w:rPr>
              <w:t>排污单位自行监测技术指南</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总则</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HJ</w:t>
            </w:r>
            <w:r>
              <w:rPr>
                <w:rFonts w:hint="eastAsia" w:ascii="Times New Roman" w:hAnsi="Times New Roman" w:eastAsia="宋体" w:cs="Times New Roman"/>
                <w:color w:val="auto"/>
                <w:sz w:val="24"/>
                <w:szCs w:val="24"/>
                <w:highlight w:val="none"/>
                <w:lang w:val="en-US" w:eastAsia="zh-CN"/>
              </w:rPr>
              <w:t>819</w:t>
            </w:r>
            <w:r>
              <w:rPr>
                <w:rFonts w:hint="default" w:ascii="Times New Roman" w:hAnsi="Times New Roman" w:eastAsia="宋体" w:cs="Times New Roman"/>
                <w:color w:val="auto"/>
                <w:sz w:val="24"/>
                <w:szCs w:val="24"/>
                <w:highlight w:val="none"/>
                <w:lang w:val="en-US" w:eastAsia="zh-CN"/>
              </w:rPr>
              <w:t>-20</w:t>
            </w:r>
            <w:r>
              <w:rPr>
                <w:rFonts w:hint="eastAsia" w:ascii="Times New Roman" w:hAnsi="Times New Roman" w:eastAsia="宋体" w:cs="Times New Roman"/>
                <w:color w:val="auto"/>
                <w:sz w:val="24"/>
                <w:szCs w:val="24"/>
                <w:highlight w:val="none"/>
                <w:lang w:val="en-US" w:eastAsia="zh-CN"/>
              </w:rPr>
              <w:t>17</w:t>
            </w:r>
            <w:r>
              <w:rPr>
                <w:rFonts w:hint="eastAsia" w:ascii="宋体" w:hAnsi="宋体" w:eastAsia="宋体" w:cs="宋体"/>
                <w:color w:val="auto"/>
                <w:sz w:val="24"/>
                <w:szCs w:val="24"/>
                <w:highlight w:val="none"/>
                <w:lang w:eastAsia="zh-CN"/>
              </w:rPr>
              <w:t>）以及</w:t>
            </w:r>
            <w:r>
              <w:rPr>
                <w:rFonts w:hint="default" w:ascii="Times New Roman" w:hAnsi="Times New Roman" w:eastAsia="宋体" w:cs="Times New Roman"/>
                <w:color w:val="auto"/>
                <w:sz w:val="24"/>
                <w:szCs w:val="24"/>
                <w:highlight w:val="none"/>
                <w:lang w:val="en-US" w:eastAsia="zh-CN"/>
              </w:rPr>
              <w:t>《排污单位自行监测技术指南 水处理》（HJ1083-2020）</w:t>
            </w:r>
            <w:r>
              <w:rPr>
                <w:rFonts w:hint="default" w:ascii="Times New Roman" w:hAnsi="Times New Roman" w:eastAsia="宋体" w:cs="Times New Roman"/>
                <w:b w:val="0"/>
                <w:bCs w:val="0"/>
                <w:color w:val="auto"/>
                <w:sz w:val="24"/>
                <w:highlight w:val="none"/>
                <w:lang w:val="en-US" w:eastAsia="zh-CN"/>
              </w:rPr>
              <w:t>，项目废气监测要求如下：</w:t>
            </w:r>
          </w:p>
          <w:p w14:paraId="6A8D997A">
            <w:pPr>
              <w:keepNext w:val="0"/>
              <w:keepLines w:val="0"/>
              <w:pageBreakBefore w:val="0"/>
              <w:kinsoku/>
              <w:wordWrap/>
              <w:overflowPunct/>
              <w:topLinePunct w:val="0"/>
              <w:bidi w:val="0"/>
              <w:spacing w:line="240" w:lineRule="auto"/>
              <w:jc w:val="center"/>
              <w:rPr>
                <w:b/>
                <w:bCs/>
                <w:color w:val="auto"/>
                <w:szCs w:val="21"/>
                <w:highlight w:val="none"/>
              </w:rPr>
            </w:pPr>
            <w:r>
              <w:rPr>
                <w:rFonts w:hint="eastAsia"/>
                <w:b/>
                <w:bCs/>
                <w:color w:val="auto"/>
                <w:szCs w:val="21"/>
                <w:highlight w:val="none"/>
              </w:rPr>
              <w:t>表4</w:t>
            </w:r>
            <w:r>
              <w:rPr>
                <w:b/>
                <w:bCs/>
                <w:color w:val="auto"/>
                <w:szCs w:val="21"/>
                <w:highlight w:val="none"/>
              </w:rPr>
              <w:t>-</w:t>
            </w:r>
            <w:r>
              <w:rPr>
                <w:rFonts w:hint="eastAsia"/>
                <w:b/>
                <w:bCs/>
                <w:color w:val="auto"/>
                <w:szCs w:val="21"/>
                <w:highlight w:val="none"/>
                <w:lang w:val="en-US" w:eastAsia="zh-CN"/>
              </w:rPr>
              <w:t xml:space="preserve">7  </w:t>
            </w:r>
            <w:r>
              <w:rPr>
                <w:rFonts w:hint="eastAsia"/>
                <w:b/>
                <w:bCs/>
                <w:color w:val="auto"/>
                <w:szCs w:val="21"/>
                <w:highlight w:val="none"/>
              </w:rPr>
              <w:t>大气排放口基本信息表</w:t>
            </w:r>
          </w:p>
          <w:tbl>
            <w:tblPr>
              <w:tblStyle w:val="31"/>
              <w:tblW w:w="821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068"/>
              <w:gridCol w:w="914"/>
              <w:gridCol w:w="784"/>
              <w:gridCol w:w="906"/>
              <w:gridCol w:w="997"/>
              <w:gridCol w:w="965"/>
              <w:gridCol w:w="775"/>
              <w:gridCol w:w="957"/>
            </w:tblGrid>
            <w:tr w14:paraId="75A4EB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0" w:type="dxa"/>
                  <w:vMerge w:val="restart"/>
                  <w:noWrap w:val="0"/>
                  <w:vAlign w:val="center"/>
                </w:tcPr>
                <w:p w14:paraId="42B19C13">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排放口编号</w:t>
                  </w:r>
                </w:p>
              </w:tc>
              <w:tc>
                <w:tcPr>
                  <w:tcW w:w="1068" w:type="dxa"/>
                  <w:vMerge w:val="restart"/>
                  <w:noWrap w:val="0"/>
                  <w:vAlign w:val="center"/>
                </w:tcPr>
                <w:p w14:paraId="4BC1C3E8">
                  <w:pPr>
                    <w:keepNext w:val="0"/>
                    <w:keepLines w:val="0"/>
                    <w:pageBreakBefore w:val="0"/>
                    <w:kinsoku/>
                    <w:wordWrap/>
                    <w:overflowPunct/>
                    <w:topLinePunct w:val="0"/>
                    <w:bidi w:val="0"/>
                    <w:snapToGrid w:val="0"/>
                    <w:spacing w:line="240" w:lineRule="auto"/>
                    <w:jc w:val="center"/>
                    <w:rPr>
                      <w:rFonts w:hint="eastAsia"/>
                      <w:b w:val="0"/>
                      <w:bCs w:val="0"/>
                      <w:color w:val="auto"/>
                      <w:sz w:val="21"/>
                      <w:szCs w:val="21"/>
                      <w:highlight w:val="none"/>
                    </w:rPr>
                  </w:pPr>
                  <w:r>
                    <w:rPr>
                      <w:rFonts w:hint="eastAsia"/>
                      <w:b w:val="0"/>
                      <w:bCs w:val="0"/>
                      <w:color w:val="auto"/>
                      <w:sz w:val="21"/>
                      <w:szCs w:val="21"/>
                      <w:highlight w:val="none"/>
                    </w:rPr>
                    <w:t>排放口</w:t>
                  </w:r>
                </w:p>
                <w:p w14:paraId="616E9790">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名称</w:t>
                  </w:r>
                </w:p>
              </w:tc>
              <w:tc>
                <w:tcPr>
                  <w:tcW w:w="914" w:type="dxa"/>
                  <w:vMerge w:val="restart"/>
                  <w:noWrap w:val="0"/>
                  <w:vAlign w:val="center"/>
                </w:tcPr>
                <w:p w14:paraId="00C3813C">
                  <w:pPr>
                    <w:keepNext w:val="0"/>
                    <w:keepLines w:val="0"/>
                    <w:pageBreakBefore w:val="0"/>
                    <w:kinsoku/>
                    <w:wordWrap/>
                    <w:overflowPunct/>
                    <w:topLinePunct w:val="0"/>
                    <w:bidi w:val="0"/>
                    <w:snapToGrid w:val="0"/>
                    <w:spacing w:line="240" w:lineRule="auto"/>
                    <w:jc w:val="center"/>
                    <w:rPr>
                      <w:rFonts w:hint="eastAsia"/>
                      <w:b w:val="0"/>
                      <w:bCs w:val="0"/>
                      <w:color w:val="auto"/>
                      <w:sz w:val="21"/>
                      <w:szCs w:val="21"/>
                      <w:highlight w:val="none"/>
                    </w:rPr>
                  </w:pPr>
                  <w:r>
                    <w:rPr>
                      <w:rFonts w:hint="eastAsia"/>
                      <w:b w:val="0"/>
                      <w:bCs w:val="0"/>
                      <w:color w:val="auto"/>
                      <w:sz w:val="21"/>
                      <w:szCs w:val="21"/>
                      <w:highlight w:val="none"/>
                    </w:rPr>
                    <w:t>污染物</w:t>
                  </w:r>
                </w:p>
                <w:p w14:paraId="01A9C2E5">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种类</w:t>
                  </w:r>
                </w:p>
              </w:tc>
              <w:tc>
                <w:tcPr>
                  <w:tcW w:w="1690" w:type="dxa"/>
                  <w:gridSpan w:val="2"/>
                  <w:noWrap w:val="0"/>
                  <w:vAlign w:val="center"/>
                </w:tcPr>
                <w:p w14:paraId="69681544">
                  <w:pPr>
                    <w:keepNext w:val="0"/>
                    <w:keepLines w:val="0"/>
                    <w:pageBreakBefore w:val="0"/>
                    <w:kinsoku/>
                    <w:wordWrap/>
                    <w:overflowPunct/>
                    <w:topLinePunct w:val="0"/>
                    <w:bidi w:val="0"/>
                    <w:snapToGrid w:val="0"/>
                    <w:spacing w:line="240" w:lineRule="auto"/>
                    <w:jc w:val="center"/>
                    <w:rPr>
                      <w:rFonts w:hint="eastAsia"/>
                      <w:b w:val="0"/>
                      <w:bCs w:val="0"/>
                      <w:color w:val="auto"/>
                      <w:sz w:val="21"/>
                      <w:szCs w:val="21"/>
                      <w:highlight w:val="none"/>
                    </w:rPr>
                  </w:pPr>
                  <w:r>
                    <w:rPr>
                      <w:rFonts w:hint="eastAsia"/>
                      <w:b w:val="0"/>
                      <w:bCs w:val="0"/>
                      <w:color w:val="auto"/>
                      <w:sz w:val="21"/>
                      <w:szCs w:val="21"/>
                      <w:highlight w:val="none"/>
                    </w:rPr>
                    <w:t>排放口地理</w:t>
                  </w:r>
                </w:p>
                <w:p w14:paraId="3BF80D87">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坐标</w:t>
                  </w:r>
                </w:p>
              </w:tc>
              <w:tc>
                <w:tcPr>
                  <w:tcW w:w="997" w:type="dxa"/>
                  <w:vMerge w:val="restart"/>
                  <w:noWrap w:val="0"/>
                  <w:vAlign w:val="center"/>
                </w:tcPr>
                <w:p w14:paraId="02DCEBDD">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排气筒高度/m</w:t>
                  </w:r>
                </w:p>
              </w:tc>
              <w:tc>
                <w:tcPr>
                  <w:tcW w:w="965" w:type="dxa"/>
                  <w:vMerge w:val="restart"/>
                  <w:noWrap w:val="0"/>
                  <w:vAlign w:val="center"/>
                </w:tcPr>
                <w:p w14:paraId="34AD9308">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排气筒出口内径/m</w:t>
                  </w:r>
                </w:p>
              </w:tc>
              <w:tc>
                <w:tcPr>
                  <w:tcW w:w="775" w:type="dxa"/>
                  <w:vMerge w:val="restart"/>
                  <w:noWrap w:val="0"/>
                  <w:vAlign w:val="center"/>
                </w:tcPr>
                <w:p w14:paraId="21C0A2BD">
                  <w:pPr>
                    <w:keepNext w:val="0"/>
                    <w:keepLines w:val="0"/>
                    <w:pageBreakBefore w:val="0"/>
                    <w:kinsoku/>
                    <w:wordWrap/>
                    <w:overflowPunct/>
                    <w:topLinePunct w:val="0"/>
                    <w:bidi w:val="0"/>
                    <w:snapToGrid w:val="0"/>
                    <w:spacing w:line="240" w:lineRule="auto"/>
                    <w:jc w:val="center"/>
                    <w:rPr>
                      <w:b w:val="0"/>
                      <w:bCs w:val="0"/>
                      <w:color w:val="auto"/>
                      <w:sz w:val="21"/>
                      <w:szCs w:val="21"/>
                      <w:highlight w:val="none"/>
                    </w:rPr>
                  </w:pPr>
                  <w:r>
                    <w:rPr>
                      <w:rFonts w:hint="eastAsia"/>
                      <w:b w:val="0"/>
                      <w:bCs w:val="0"/>
                      <w:color w:val="auto"/>
                      <w:sz w:val="21"/>
                      <w:szCs w:val="21"/>
                      <w:highlight w:val="none"/>
                    </w:rPr>
                    <w:t>排气温度/℃</w:t>
                  </w:r>
                </w:p>
              </w:tc>
              <w:tc>
                <w:tcPr>
                  <w:tcW w:w="957" w:type="dxa"/>
                  <w:vMerge w:val="restart"/>
                  <w:noWrap w:val="0"/>
                  <w:vAlign w:val="center"/>
                </w:tcPr>
                <w:p w14:paraId="4E4559DF">
                  <w:pPr>
                    <w:snapToGrid w:val="0"/>
                    <w:jc w:val="center"/>
                    <w:rPr>
                      <w:b w:val="0"/>
                      <w:bCs w:val="0"/>
                      <w:color w:val="auto"/>
                      <w:sz w:val="21"/>
                      <w:szCs w:val="21"/>
                      <w:highlight w:val="none"/>
                    </w:rPr>
                  </w:pPr>
                  <w:r>
                    <w:rPr>
                      <w:rFonts w:ascii="Times New Roman" w:hAnsi="Times New Roman"/>
                      <w:b w:val="0"/>
                      <w:bCs w:val="0"/>
                      <w:color w:val="auto"/>
                      <w:sz w:val="20"/>
                      <w:szCs w:val="20"/>
                      <w:highlight w:val="none"/>
                    </w:rPr>
                    <w:t>排放口类型</w:t>
                  </w:r>
                </w:p>
              </w:tc>
            </w:tr>
            <w:tr w14:paraId="49600D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exact"/>
                <w:jc w:val="center"/>
              </w:trPr>
              <w:tc>
                <w:tcPr>
                  <w:tcW w:w="850" w:type="dxa"/>
                  <w:vMerge w:val="continue"/>
                  <w:noWrap w:val="0"/>
                  <w:vAlign w:val="center"/>
                </w:tcPr>
                <w:p w14:paraId="336CD8C1">
                  <w:pPr>
                    <w:keepNext w:val="0"/>
                    <w:keepLines w:val="0"/>
                    <w:pageBreakBefore w:val="0"/>
                    <w:kinsoku/>
                    <w:wordWrap/>
                    <w:overflowPunct/>
                    <w:topLinePunct w:val="0"/>
                    <w:bidi w:val="0"/>
                    <w:snapToGrid w:val="0"/>
                    <w:jc w:val="center"/>
                    <w:rPr>
                      <w:rFonts w:hint="eastAsia"/>
                      <w:b w:val="0"/>
                      <w:bCs w:val="0"/>
                      <w:color w:val="auto"/>
                      <w:sz w:val="20"/>
                      <w:szCs w:val="20"/>
                      <w:highlight w:val="none"/>
                    </w:rPr>
                  </w:pPr>
                </w:p>
              </w:tc>
              <w:tc>
                <w:tcPr>
                  <w:tcW w:w="1068" w:type="dxa"/>
                  <w:vMerge w:val="continue"/>
                  <w:noWrap w:val="0"/>
                  <w:vAlign w:val="center"/>
                </w:tcPr>
                <w:p w14:paraId="2FAF3B80">
                  <w:pPr>
                    <w:keepNext w:val="0"/>
                    <w:keepLines w:val="0"/>
                    <w:pageBreakBefore w:val="0"/>
                    <w:kinsoku/>
                    <w:wordWrap/>
                    <w:overflowPunct/>
                    <w:topLinePunct w:val="0"/>
                    <w:bidi w:val="0"/>
                    <w:snapToGrid w:val="0"/>
                    <w:jc w:val="center"/>
                    <w:rPr>
                      <w:rFonts w:hint="eastAsia"/>
                      <w:b w:val="0"/>
                      <w:bCs w:val="0"/>
                      <w:color w:val="auto"/>
                      <w:sz w:val="20"/>
                      <w:szCs w:val="20"/>
                      <w:highlight w:val="none"/>
                    </w:rPr>
                  </w:pPr>
                </w:p>
              </w:tc>
              <w:tc>
                <w:tcPr>
                  <w:tcW w:w="914" w:type="dxa"/>
                  <w:vMerge w:val="continue"/>
                  <w:noWrap w:val="0"/>
                  <w:vAlign w:val="center"/>
                </w:tcPr>
                <w:p w14:paraId="7E4B9EDD">
                  <w:pPr>
                    <w:keepNext w:val="0"/>
                    <w:keepLines w:val="0"/>
                    <w:pageBreakBefore w:val="0"/>
                    <w:kinsoku/>
                    <w:wordWrap/>
                    <w:overflowPunct/>
                    <w:topLinePunct w:val="0"/>
                    <w:bidi w:val="0"/>
                    <w:snapToGrid w:val="0"/>
                    <w:jc w:val="center"/>
                    <w:rPr>
                      <w:rFonts w:hint="eastAsia"/>
                      <w:b w:val="0"/>
                      <w:bCs w:val="0"/>
                      <w:color w:val="auto"/>
                      <w:sz w:val="20"/>
                      <w:szCs w:val="20"/>
                      <w:highlight w:val="none"/>
                    </w:rPr>
                  </w:pPr>
                </w:p>
              </w:tc>
              <w:tc>
                <w:tcPr>
                  <w:tcW w:w="784" w:type="dxa"/>
                  <w:noWrap w:val="0"/>
                  <w:vAlign w:val="center"/>
                </w:tcPr>
                <w:p w14:paraId="2A5C38CF">
                  <w:pPr>
                    <w:keepNext w:val="0"/>
                    <w:keepLines w:val="0"/>
                    <w:pageBreakBefore w:val="0"/>
                    <w:kinsoku/>
                    <w:wordWrap/>
                    <w:overflowPunct/>
                    <w:topLinePunct w:val="0"/>
                    <w:bidi w:val="0"/>
                    <w:snapToGrid w:val="0"/>
                    <w:jc w:val="center"/>
                    <w:rPr>
                      <w:rFonts w:hint="eastAsia" w:eastAsia="宋体"/>
                      <w:b w:val="0"/>
                      <w:bCs w:val="0"/>
                      <w:color w:val="auto"/>
                      <w:sz w:val="21"/>
                      <w:szCs w:val="21"/>
                      <w:highlight w:val="none"/>
                      <w:lang w:eastAsia="zh-CN"/>
                    </w:rPr>
                  </w:pPr>
                  <w:r>
                    <w:rPr>
                      <w:rFonts w:hint="eastAsia"/>
                      <w:b w:val="0"/>
                      <w:bCs w:val="0"/>
                      <w:color w:val="auto"/>
                      <w:sz w:val="21"/>
                      <w:szCs w:val="21"/>
                      <w:highlight w:val="none"/>
                      <w:lang w:val="en-US" w:eastAsia="zh-CN"/>
                    </w:rPr>
                    <w:t>X</w:t>
                  </w:r>
                </w:p>
              </w:tc>
              <w:tc>
                <w:tcPr>
                  <w:tcW w:w="906" w:type="dxa"/>
                  <w:noWrap w:val="0"/>
                  <w:vAlign w:val="center"/>
                </w:tcPr>
                <w:p w14:paraId="78902848">
                  <w:pPr>
                    <w:keepNext w:val="0"/>
                    <w:keepLines w:val="0"/>
                    <w:pageBreakBefore w:val="0"/>
                    <w:kinsoku/>
                    <w:wordWrap/>
                    <w:overflowPunct/>
                    <w:topLinePunct w:val="0"/>
                    <w:bidi w:val="0"/>
                    <w:snapToGrid w:val="0"/>
                    <w:jc w:val="center"/>
                    <w:rPr>
                      <w:rFonts w:hint="eastAsia" w:eastAsia="宋体"/>
                      <w:b w:val="0"/>
                      <w:bCs w:val="0"/>
                      <w:color w:val="auto"/>
                      <w:sz w:val="21"/>
                      <w:szCs w:val="21"/>
                      <w:highlight w:val="none"/>
                      <w:lang w:eastAsia="zh-CN"/>
                    </w:rPr>
                  </w:pPr>
                  <w:r>
                    <w:rPr>
                      <w:rFonts w:hint="eastAsia"/>
                      <w:b w:val="0"/>
                      <w:bCs w:val="0"/>
                      <w:color w:val="auto"/>
                      <w:sz w:val="21"/>
                      <w:szCs w:val="21"/>
                      <w:highlight w:val="none"/>
                      <w:lang w:val="en-US" w:eastAsia="zh-CN"/>
                    </w:rPr>
                    <w:t>Y</w:t>
                  </w:r>
                </w:p>
              </w:tc>
              <w:tc>
                <w:tcPr>
                  <w:tcW w:w="997" w:type="dxa"/>
                  <w:vMerge w:val="continue"/>
                  <w:noWrap w:val="0"/>
                  <w:vAlign w:val="center"/>
                </w:tcPr>
                <w:p w14:paraId="17E742CB">
                  <w:pPr>
                    <w:keepNext w:val="0"/>
                    <w:keepLines w:val="0"/>
                    <w:pageBreakBefore w:val="0"/>
                    <w:kinsoku/>
                    <w:wordWrap/>
                    <w:overflowPunct/>
                    <w:topLinePunct w:val="0"/>
                    <w:bidi w:val="0"/>
                    <w:snapToGrid w:val="0"/>
                    <w:jc w:val="center"/>
                    <w:rPr>
                      <w:b w:val="0"/>
                      <w:bCs w:val="0"/>
                      <w:color w:val="auto"/>
                      <w:sz w:val="20"/>
                      <w:szCs w:val="20"/>
                      <w:highlight w:val="none"/>
                    </w:rPr>
                  </w:pPr>
                </w:p>
              </w:tc>
              <w:tc>
                <w:tcPr>
                  <w:tcW w:w="965" w:type="dxa"/>
                  <w:vMerge w:val="continue"/>
                  <w:noWrap w:val="0"/>
                  <w:vAlign w:val="top"/>
                </w:tcPr>
                <w:p w14:paraId="4E37F248">
                  <w:pPr>
                    <w:keepNext w:val="0"/>
                    <w:keepLines w:val="0"/>
                    <w:pageBreakBefore w:val="0"/>
                    <w:kinsoku/>
                    <w:wordWrap/>
                    <w:overflowPunct/>
                    <w:topLinePunct w:val="0"/>
                    <w:bidi w:val="0"/>
                    <w:snapToGrid w:val="0"/>
                    <w:jc w:val="center"/>
                    <w:rPr>
                      <w:b w:val="0"/>
                      <w:bCs w:val="0"/>
                      <w:color w:val="auto"/>
                      <w:sz w:val="20"/>
                      <w:szCs w:val="20"/>
                      <w:highlight w:val="none"/>
                    </w:rPr>
                  </w:pPr>
                </w:p>
              </w:tc>
              <w:tc>
                <w:tcPr>
                  <w:tcW w:w="775" w:type="dxa"/>
                  <w:vMerge w:val="continue"/>
                  <w:noWrap w:val="0"/>
                  <w:vAlign w:val="top"/>
                </w:tcPr>
                <w:p w14:paraId="3A9D8727">
                  <w:pPr>
                    <w:keepNext w:val="0"/>
                    <w:keepLines w:val="0"/>
                    <w:pageBreakBefore w:val="0"/>
                    <w:kinsoku/>
                    <w:wordWrap/>
                    <w:overflowPunct/>
                    <w:topLinePunct w:val="0"/>
                    <w:bidi w:val="0"/>
                    <w:snapToGrid w:val="0"/>
                    <w:jc w:val="center"/>
                    <w:rPr>
                      <w:b w:val="0"/>
                      <w:bCs w:val="0"/>
                      <w:color w:val="auto"/>
                      <w:sz w:val="20"/>
                      <w:szCs w:val="20"/>
                      <w:highlight w:val="none"/>
                    </w:rPr>
                  </w:pPr>
                </w:p>
              </w:tc>
              <w:tc>
                <w:tcPr>
                  <w:tcW w:w="957" w:type="dxa"/>
                  <w:vMerge w:val="continue"/>
                  <w:noWrap w:val="0"/>
                  <w:vAlign w:val="top"/>
                </w:tcPr>
                <w:p w14:paraId="68F3BA79">
                  <w:pPr>
                    <w:keepNext w:val="0"/>
                    <w:keepLines w:val="0"/>
                    <w:pageBreakBefore w:val="0"/>
                    <w:kinsoku/>
                    <w:wordWrap/>
                    <w:overflowPunct/>
                    <w:topLinePunct w:val="0"/>
                    <w:bidi w:val="0"/>
                    <w:snapToGrid w:val="0"/>
                    <w:jc w:val="center"/>
                    <w:rPr>
                      <w:b w:val="0"/>
                      <w:bCs w:val="0"/>
                      <w:color w:val="auto"/>
                      <w:sz w:val="20"/>
                      <w:szCs w:val="20"/>
                      <w:highlight w:val="none"/>
                    </w:rPr>
                  </w:pPr>
                </w:p>
              </w:tc>
            </w:tr>
            <w:tr w14:paraId="09E1A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850" w:type="dxa"/>
                  <w:noWrap w:val="0"/>
                  <w:vAlign w:val="center"/>
                </w:tcPr>
                <w:p w14:paraId="476361CD">
                  <w:pPr>
                    <w:keepNext w:val="0"/>
                    <w:keepLines w:val="0"/>
                    <w:pageBreakBefore w:val="0"/>
                    <w:kinsoku/>
                    <w:wordWrap/>
                    <w:overflowPunct/>
                    <w:topLinePunct w:val="0"/>
                    <w:bidi w:val="0"/>
                    <w:spacing w:before="72" w:beforeLines="3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DA001</w:t>
                  </w:r>
                </w:p>
              </w:tc>
              <w:tc>
                <w:tcPr>
                  <w:tcW w:w="1068" w:type="dxa"/>
                  <w:noWrap w:val="0"/>
                  <w:vAlign w:val="center"/>
                </w:tcPr>
                <w:p w14:paraId="5AB17E47">
                  <w:pPr>
                    <w:keepNext w:val="0"/>
                    <w:keepLines w:val="0"/>
                    <w:pageBreakBefore w:val="0"/>
                    <w:widowControl/>
                    <w:kinsoku/>
                    <w:wordWrap/>
                    <w:overflowPunct/>
                    <w:topLinePunct w:val="0"/>
                    <w:bidi w:val="0"/>
                    <w:ind w:left="-105" w:leftChars="-50" w:right="-105" w:rightChars="-50"/>
                    <w:jc w:val="center"/>
                    <w:textAlignment w:val="center"/>
                    <w:rPr>
                      <w:rFonts w:hint="eastAsia" w:eastAsia="宋体"/>
                      <w:b w:val="0"/>
                      <w:bCs w:val="0"/>
                      <w:color w:val="auto"/>
                      <w:szCs w:val="21"/>
                      <w:highlight w:val="none"/>
                      <w:lang w:eastAsia="zh-CN"/>
                    </w:rPr>
                  </w:pPr>
                  <w:r>
                    <w:rPr>
                      <w:rFonts w:hint="eastAsia"/>
                      <w:b w:val="0"/>
                      <w:bCs w:val="0"/>
                      <w:color w:val="auto"/>
                      <w:szCs w:val="21"/>
                      <w:highlight w:val="none"/>
                      <w:lang w:eastAsia="zh-CN"/>
                    </w:rPr>
                    <w:t>恶臭排气筒</w:t>
                  </w:r>
                </w:p>
              </w:tc>
              <w:tc>
                <w:tcPr>
                  <w:tcW w:w="914" w:type="dxa"/>
                  <w:noWrap w:val="0"/>
                  <w:vAlign w:val="center"/>
                </w:tcPr>
                <w:p w14:paraId="704BF180">
                  <w:pPr>
                    <w:keepNext w:val="0"/>
                    <w:keepLines w:val="0"/>
                    <w:pageBreakBefore w:val="0"/>
                    <w:widowControl/>
                    <w:kinsoku/>
                    <w:wordWrap/>
                    <w:overflowPunct/>
                    <w:topLinePunct w:val="0"/>
                    <w:bidi w:val="0"/>
                    <w:ind w:left="-105" w:leftChars="-50" w:right="-105" w:rightChars="-50"/>
                    <w:jc w:val="center"/>
                    <w:textAlignment w:val="center"/>
                    <w:rPr>
                      <w:rFonts w:hint="eastAsia"/>
                      <w:b w:val="0"/>
                      <w:bCs w:val="0"/>
                      <w:color w:val="auto"/>
                      <w:szCs w:val="21"/>
                      <w:highlight w:val="none"/>
                      <w:lang w:eastAsia="zh-CN"/>
                    </w:rPr>
                  </w:pPr>
                  <w:r>
                    <w:rPr>
                      <w:rFonts w:hint="eastAsia"/>
                      <w:b w:val="0"/>
                      <w:bCs w:val="0"/>
                      <w:color w:val="auto"/>
                      <w:szCs w:val="21"/>
                      <w:highlight w:val="none"/>
                      <w:lang w:eastAsia="zh-CN"/>
                    </w:rPr>
                    <w:t>H</w:t>
                  </w:r>
                  <w:r>
                    <w:rPr>
                      <w:rFonts w:hint="eastAsia"/>
                      <w:b w:val="0"/>
                      <w:bCs w:val="0"/>
                      <w:color w:val="auto"/>
                      <w:szCs w:val="21"/>
                      <w:highlight w:val="none"/>
                      <w:vertAlign w:val="subscript"/>
                      <w:lang w:eastAsia="zh-CN"/>
                    </w:rPr>
                    <w:t>2</w:t>
                  </w:r>
                  <w:r>
                    <w:rPr>
                      <w:rFonts w:hint="eastAsia"/>
                      <w:b w:val="0"/>
                      <w:bCs w:val="0"/>
                      <w:color w:val="auto"/>
                      <w:szCs w:val="21"/>
                      <w:highlight w:val="none"/>
                      <w:lang w:eastAsia="zh-CN"/>
                    </w:rPr>
                    <w:t>S、NH</w:t>
                  </w:r>
                  <w:r>
                    <w:rPr>
                      <w:rFonts w:hint="eastAsia"/>
                      <w:b w:val="0"/>
                      <w:bCs w:val="0"/>
                      <w:color w:val="auto"/>
                      <w:szCs w:val="21"/>
                      <w:highlight w:val="none"/>
                      <w:vertAlign w:val="subscript"/>
                      <w:lang w:eastAsia="zh-CN"/>
                    </w:rPr>
                    <w:t>3、</w:t>
                  </w:r>
                  <w:r>
                    <w:rPr>
                      <w:rFonts w:hint="default" w:ascii="Times New Roman" w:hAnsi="Times New Roman" w:cs="Times New Roman"/>
                      <w:b w:val="0"/>
                      <w:bCs w:val="0"/>
                      <w:color w:val="auto"/>
                      <w:highlight w:val="none"/>
                      <w:lang w:val="en-US" w:eastAsia="zh-CN"/>
                    </w:rPr>
                    <w:t>臭</w:t>
                  </w:r>
                  <w:r>
                    <w:rPr>
                      <w:rFonts w:hint="default" w:ascii="Times New Roman" w:hAnsi="Times New Roman" w:cs="Times New Roman"/>
                      <w:b w:val="0"/>
                      <w:bCs w:val="0"/>
                      <w:color w:val="auto"/>
                      <w:sz w:val="21"/>
                      <w:szCs w:val="21"/>
                      <w:highlight w:val="none"/>
                      <w:lang w:val="en-US" w:eastAsia="zh-CN"/>
                    </w:rPr>
                    <w:t>气浓度</w:t>
                  </w:r>
                </w:p>
              </w:tc>
              <w:tc>
                <w:tcPr>
                  <w:tcW w:w="784" w:type="dxa"/>
                  <w:noWrap w:val="0"/>
                  <w:vAlign w:val="center"/>
                </w:tcPr>
                <w:p w14:paraId="2939091D">
                  <w:pPr>
                    <w:keepNext w:val="0"/>
                    <w:keepLines w:val="0"/>
                    <w:pageBreakBefore w:val="0"/>
                    <w:widowControl/>
                    <w:kinsoku/>
                    <w:wordWrap/>
                    <w:overflowPunct/>
                    <w:topLinePunct w:val="0"/>
                    <w:bidi w:val="0"/>
                    <w:ind w:left="-63" w:leftChars="-30" w:right="-63" w:rightChars="-30"/>
                    <w:jc w:val="center"/>
                    <w:textAlignment w:val="center"/>
                    <w:rPr>
                      <w:rFonts w:hint="default" w:eastAsia="宋体"/>
                      <w:b w:val="0"/>
                      <w:bCs w:val="0"/>
                      <w:color w:val="auto"/>
                      <w:szCs w:val="21"/>
                      <w:highlight w:val="none"/>
                      <w:lang w:val="en-US" w:eastAsia="zh-CN"/>
                    </w:rPr>
                  </w:pPr>
                  <w:r>
                    <w:rPr>
                      <w:rFonts w:hint="eastAsia" w:eastAsia="宋体"/>
                      <w:b w:val="0"/>
                      <w:bCs w:val="0"/>
                      <w:color w:val="auto"/>
                      <w:szCs w:val="21"/>
                      <w:highlight w:val="none"/>
                      <w:lang w:val="en-US" w:eastAsia="zh-CN"/>
                    </w:rPr>
                    <w:t>728224</w:t>
                  </w:r>
                </w:p>
              </w:tc>
              <w:tc>
                <w:tcPr>
                  <w:tcW w:w="906" w:type="dxa"/>
                  <w:noWrap w:val="0"/>
                  <w:vAlign w:val="center"/>
                </w:tcPr>
                <w:p w14:paraId="1C148D6F">
                  <w:pPr>
                    <w:keepNext w:val="0"/>
                    <w:keepLines w:val="0"/>
                    <w:pageBreakBefore w:val="0"/>
                    <w:widowControl/>
                    <w:kinsoku/>
                    <w:wordWrap/>
                    <w:overflowPunct/>
                    <w:topLinePunct w:val="0"/>
                    <w:bidi w:val="0"/>
                    <w:ind w:left="-63" w:leftChars="-30" w:right="-63" w:rightChars="-30"/>
                    <w:jc w:val="center"/>
                    <w:textAlignment w:val="center"/>
                    <w:rPr>
                      <w:rFonts w:hint="default" w:eastAsia="宋体"/>
                      <w:b w:val="0"/>
                      <w:bCs w:val="0"/>
                      <w:color w:val="auto"/>
                      <w:szCs w:val="21"/>
                      <w:highlight w:val="none"/>
                      <w:lang w:val="en-US" w:eastAsia="zh-CN"/>
                    </w:rPr>
                  </w:pPr>
                  <w:r>
                    <w:rPr>
                      <w:rFonts w:hint="eastAsia" w:eastAsia="宋体"/>
                      <w:b w:val="0"/>
                      <w:bCs w:val="0"/>
                      <w:color w:val="auto"/>
                      <w:szCs w:val="21"/>
                      <w:highlight w:val="none"/>
                      <w:lang w:val="en-US" w:eastAsia="zh-CN"/>
                    </w:rPr>
                    <w:t>3678601</w:t>
                  </w:r>
                </w:p>
              </w:tc>
              <w:tc>
                <w:tcPr>
                  <w:tcW w:w="997" w:type="dxa"/>
                  <w:noWrap w:val="0"/>
                  <w:vAlign w:val="center"/>
                </w:tcPr>
                <w:p w14:paraId="36E55CA8">
                  <w:pPr>
                    <w:keepNext w:val="0"/>
                    <w:keepLines w:val="0"/>
                    <w:pageBreakBefore w:val="0"/>
                    <w:kinsoku/>
                    <w:wordWrap/>
                    <w:overflowPunct/>
                    <w:topLinePunct w:val="0"/>
                    <w:bidi w:val="0"/>
                    <w:snapToGrid w:val="0"/>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15</w:t>
                  </w:r>
                </w:p>
              </w:tc>
              <w:tc>
                <w:tcPr>
                  <w:tcW w:w="965" w:type="dxa"/>
                  <w:noWrap w:val="0"/>
                  <w:vAlign w:val="center"/>
                </w:tcPr>
                <w:p w14:paraId="3F118A54">
                  <w:pPr>
                    <w:keepNext w:val="0"/>
                    <w:keepLines w:val="0"/>
                    <w:pageBreakBefore w:val="0"/>
                    <w:widowControl/>
                    <w:kinsoku/>
                    <w:wordWrap/>
                    <w:overflowPunct/>
                    <w:topLinePunct w:val="0"/>
                    <w:bidi w:val="0"/>
                    <w:ind w:left="-105" w:leftChars="-50"/>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0.3</w:t>
                  </w:r>
                </w:p>
              </w:tc>
              <w:tc>
                <w:tcPr>
                  <w:tcW w:w="775" w:type="dxa"/>
                  <w:noWrap w:val="0"/>
                  <w:vAlign w:val="center"/>
                </w:tcPr>
                <w:p w14:paraId="0421375A">
                  <w:pPr>
                    <w:keepNext w:val="0"/>
                    <w:keepLines w:val="0"/>
                    <w:pageBreakBefore w:val="0"/>
                    <w:widowControl/>
                    <w:kinsoku/>
                    <w:wordWrap/>
                    <w:overflowPunct/>
                    <w:topLinePunct w:val="0"/>
                    <w:bidi w:val="0"/>
                    <w:ind w:left="-105" w:leftChars="-50"/>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常温</w:t>
                  </w:r>
                </w:p>
              </w:tc>
              <w:tc>
                <w:tcPr>
                  <w:tcW w:w="957" w:type="dxa"/>
                  <w:noWrap w:val="0"/>
                  <w:vAlign w:val="center"/>
                </w:tcPr>
                <w:p w14:paraId="37CECB1A">
                  <w:pPr>
                    <w:snapToGrid w:val="0"/>
                    <w:ind w:left="-105" w:leftChars="-50" w:right="-105" w:rightChars="-50"/>
                    <w:jc w:val="center"/>
                    <w:rPr>
                      <w:rFonts w:ascii="Times New Roman" w:hAnsi="Times New Roman"/>
                      <w:b w:val="0"/>
                      <w:bCs w:val="0"/>
                      <w:color w:val="auto"/>
                      <w:sz w:val="20"/>
                      <w:szCs w:val="20"/>
                      <w:highlight w:val="none"/>
                    </w:rPr>
                  </w:pPr>
                  <w:r>
                    <w:rPr>
                      <w:rFonts w:ascii="Times New Roman" w:hAnsi="Times New Roman"/>
                      <w:b w:val="0"/>
                      <w:bCs w:val="0"/>
                      <w:color w:val="auto"/>
                      <w:sz w:val="20"/>
                      <w:szCs w:val="20"/>
                      <w:highlight w:val="none"/>
                    </w:rPr>
                    <w:t>一般</w:t>
                  </w:r>
                </w:p>
                <w:p w14:paraId="3EE8AC69">
                  <w:pPr>
                    <w:snapToGrid w:val="0"/>
                    <w:ind w:left="-105" w:leftChars="-50" w:right="-105" w:rightChars="-50"/>
                    <w:jc w:val="center"/>
                    <w:rPr>
                      <w:rFonts w:ascii="Times New Roman" w:hAnsi="Times New Roman"/>
                      <w:b w:val="0"/>
                      <w:bCs w:val="0"/>
                      <w:color w:val="auto"/>
                      <w:sz w:val="20"/>
                      <w:szCs w:val="20"/>
                      <w:highlight w:val="none"/>
                    </w:rPr>
                  </w:pPr>
                  <w:r>
                    <w:rPr>
                      <w:rFonts w:ascii="Times New Roman" w:hAnsi="Times New Roman"/>
                      <w:b w:val="0"/>
                      <w:bCs w:val="0"/>
                      <w:color w:val="auto"/>
                      <w:sz w:val="20"/>
                      <w:szCs w:val="20"/>
                      <w:highlight w:val="none"/>
                    </w:rPr>
                    <w:t>排放口</w:t>
                  </w:r>
                </w:p>
              </w:tc>
            </w:tr>
            <w:tr w14:paraId="3289D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850" w:type="dxa"/>
                  <w:noWrap w:val="0"/>
                  <w:vAlign w:val="center"/>
                </w:tcPr>
                <w:p w14:paraId="6D1A8093">
                  <w:pPr>
                    <w:keepNext w:val="0"/>
                    <w:keepLines w:val="0"/>
                    <w:pageBreakBefore w:val="0"/>
                    <w:kinsoku/>
                    <w:wordWrap/>
                    <w:overflowPunct/>
                    <w:topLinePunct w:val="0"/>
                    <w:bidi w:val="0"/>
                    <w:spacing w:before="72" w:beforeLines="30"/>
                    <w:jc w:val="center"/>
                    <w:rPr>
                      <w:rFonts w:hint="eastAsia"/>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DA002</w:t>
                  </w:r>
                </w:p>
              </w:tc>
              <w:tc>
                <w:tcPr>
                  <w:tcW w:w="1068" w:type="dxa"/>
                  <w:noWrap w:val="0"/>
                  <w:vAlign w:val="center"/>
                </w:tcPr>
                <w:p w14:paraId="56B34A94">
                  <w:pPr>
                    <w:keepNext w:val="0"/>
                    <w:keepLines w:val="0"/>
                    <w:pageBreakBefore w:val="0"/>
                    <w:widowControl/>
                    <w:kinsoku/>
                    <w:wordWrap/>
                    <w:overflowPunct/>
                    <w:topLinePunct w:val="0"/>
                    <w:bidi w:val="0"/>
                    <w:ind w:left="-105" w:leftChars="-50" w:right="-105" w:rightChars="-50"/>
                    <w:jc w:val="center"/>
                    <w:textAlignment w:val="center"/>
                    <w:rPr>
                      <w:rFonts w:hint="eastAsia"/>
                      <w:color w:val="auto"/>
                      <w:szCs w:val="21"/>
                      <w:highlight w:val="none"/>
                      <w:lang w:eastAsia="zh-CN"/>
                    </w:rPr>
                  </w:pPr>
                  <w:r>
                    <w:rPr>
                      <w:color w:val="auto"/>
                      <w:szCs w:val="21"/>
                      <w:highlight w:val="none"/>
                    </w:rPr>
                    <w:t>油烟净化器排气口</w:t>
                  </w:r>
                </w:p>
              </w:tc>
              <w:tc>
                <w:tcPr>
                  <w:tcW w:w="914" w:type="dxa"/>
                  <w:noWrap w:val="0"/>
                  <w:vAlign w:val="center"/>
                </w:tcPr>
                <w:p w14:paraId="1EE1A7F6">
                  <w:pPr>
                    <w:keepNext w:val="0"/>
                    <w:keepLines w:val="0"/>
                    <w:pageBreakBefore w:val="0"/>
                    <w:widowControl/>
                    <w:kinsoku/>
                    <w:wordWrap/>
                    <w:overflowPunct/>
                    <w:topLinePunct w:val="0"/>
                    <w:bidi w:val="0"/>
                    <w:ind w:left="-105" w:leftChars="-50" w:right="-105" w:rightChars="-50"/>
                    <w:jc w:val="center"/>
                    <w:textAlignment w:val="center"/>
                    <w:rPr>
                      <w:rFonts w:hint="eastAsia" w:eastAsia="宋体"/>
                      <w:color w:val="auto"/>
                      <w:szCs w:val="21"/>
                      <w:highlight w:val="none"/>
                      <w:lang w:eastAsia="zh-CN"/>
                    </w:rPr>
                  </w:pPr>
                  <w:r>
                    <w:rPr>
                      <w:rFonts w:hint="eastAsia"/>
                      <w:color w:val="auto"/>
                      <w:szCs w:val="21"/>
                      <w:highlight w:val="none"/>
                      <w:lang w:eastAsia="zh-CN"/>
                    </w:rPr>
                    <w:t>油烟</w:t>
                  </w:r>
                </w:p>
              </w:tc>
              <w:tc>
                <w:tcPr>
                  <w:tcW w:w="784" w:type="dxa"/>
                  <w:noWrap w:val="0"/>
                  <w:vAlign w:val="center"/>
                </w:tcPr>
                <w:p w14:paraId="609C9EC8">
                  <w:pPr>
                    <w:keepNext w:val="0"/>
                    <w:keepLines w:val="0"/>
                    <w:pageBreakBefore w:val="0"/>
                    <w:widowControl/>
                    <w:kinsoku/>
                    <w:wordWrap/>
                    <w:overflowPunct/>
                    <w:topLinePunct w:val="0"/>
                    <w:bidi w:val="0"/>
                    <w:ind w:left="-63" w:leftChars="-30" w:right="-63" w:rightChars="-30"/>
                    <w:jc w:val="center"/>
                    <w:textAlignment w:val="center"/>
                    <w:rPr>
                      <w:rFonts w:hint="default" w:eastAsia="宋体"/>
                      <w:color w:val="auto"/>
                      <w:szCs w:val="21"/>
                      <w:highlight w:val="none"/>
                      <w:lang w:val="en-US" w:eastAsia="zh-CN"/>
                    </w:rPr>
                  </w:pPr>
                  <w:r>
                    <w:rPr>
                      <w:rFonts w:hint="eastAsia" w:eastAsia="宋体"/>
                      <w:color w:val="auto"/>
                      <w:szCs w:val="21"/>
                      <w:highlight w:val="none"/>
                      <w:lang w:val="en-US" w:eastAsia="zh-CN"/>
                    </w:rPr>
                    <w:t>728182</w:t>
                  </w:r>
                </w:p>
              </w:tc>
              <w:tc>
                <w:tcPr>
                  <w:tcW w:w="906" w:type="dxa"/>
                  <w:noWrap w:val="0"/>
                  <w:vAlign w:val="center"/>
                </w:tcPr>
                <w:p w14:paraId="43900BE4">
                  <w:pPr>
                    <w:keepNext w:val="0"/>
                    <w:keepLines w:val="0"/>
                    <w:pageBreakBefore w:val="0"/>
                    <w:widowControl/>
                    <w:kinsoku/>
                    <w:wordWrap/>
                    <w:overflowPunct/>
                    <w:topLinePunct w:val="0"/>
                    <w:bidi w:val="0"/>
                    <w:ind w:left="-63" w:leftChars="-30" w:right="-63" w:rightChars="-30"/>
                    <w:jc w:val="center"/>
                    <w:textAlignment w:val="center"/>
                    <w:rPr>
                      <w:rFonts w:hint="default" w:eastAsia="宋体"/>
                      <w:color w:val="auto"/>
                      <w:szCs w:val="21"/>
                      <w:highlight w:val="none"/>
                      <w:lang w:val="en-US" w:eastAsia="zh-CN"/>
                    </w:rPr>
                  </w:pPr>
                  <w:r>
                    <w:rPr>
                      <w:rFonts w:hint="eastAsia" w:eastAsia="宋体"/>
                      <w:color w:val="auto"/>
                      <w:szCs w:val="21"/>
                      <w:highlight w:val="none"/>
                      <w:lang w:val="en-US" w:eastAsia="zh-CN"/>
                    </w:rPr>
                    <w:t>3678558</w:t>
                  </w:r>
                </w:p>
              </w:tc>
              <w:tc>
                <w:tcPr>
                  <w:tcW w:w="997" w:type="dxa"/>
                  <w:noWrap w:val="0"/>
                  <w:vAlign w:val="center"/>
                </w:tcPr>
                <w:p w14:paraId="2DBC527D">
                  <w:pPr>
                    <w:keepNext w:val="0"/>
                    <w:keepLines w:val="0"/>
                    <w:pageBreakBefore w:val="0"/>
                    <w:kinsoku/>
                    <w:wordWrap/>
                    <w:overflowPunct/>
                    <w:topLinePunct w:val="0"/>
                    <w:bidi w:val="0"/>
                    <w:snapToGrid w:val="0"/>
                    <w:jc w:val="center"/>
                    <w:rPr>
                      <w:rFonts w:hint="eastAsia"/>
                      <w:color w:val="auto"/>
                      <w:sz w:val="21"/>
                      <w:szCs w:val="21"/>
                      <w:highlight w:val="none"/>
                      <w:lang w:val="en-US" w:eastAsia="zh-CN"/>
                    </w:rPr>
                  </w:pPr>
                  <w:r>
                    <w:rPr>
                      <w:rFonts w:hint="eastAsia"/>
                      <w:color w:val="auto"/>
                      <w:sz w:val="21"/>
                      <w:szCs w:val="21"/>
                      <w:highlight w:val="none"/>
                      <w:lang w:val="en-US" w:eastAsia="zh-CN"/>
                    </w:rPr>
                    <w:t>厂房</w:t>
                  </w:r>
                </w:p>
                <w:p w14:paraId="4D7519B4">
                  <w:pPr>
                    <w:keepNext w:val="0"/>
                    <w:keepLines w:val="0"/>
                    <w:pageBreakBefore w:val="0"/>
                    <w:kinsoku/>
                    <w:wordWrap/>
                    <w:overflowPunct/>
                    <w:topLinePunct w:val="0"/>
                    <w:bidi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楼顶</w:t>
                  </w:r>
                </w:p>
              </w:tc>
              <w:tc>
                <w:tcPr>
                  <w:tcW w:w="965" w:type="dxa"/>
                  <w:noWrap w:val="0"/>
                  <w:vAlign w:val="center"/>
                </w:tcPr>
                <w:p w14:paraId="47546C4B">
                  <w:pPr>
                    <w:keepNext w:val="0"/>
                    <w:keepLines w:val="0"/>
                    <w:pageBreakBefore w:val="0"/>
                    <w:widowControl/>
                    <w:kinsoku/>
                    <w:wordWrap/>
                    <w:overflowPunct/>
                    <w:topLinePunct w:val="0"/>
                    <w:bidi w:val="0"/>
                    <w:ind w:left="-105" w:leftChars="-50"/>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775" w:type="dxa"/>
                  <w:noWrap w:val="0"/>
                  <w:vAlign w:val="center"/>
                </w:tcPr>
                <w:p w14:paraId="67484DE1">
                  <w:pPr>
                    <w:keepNext w:val="0"/>
                    <w:keepLines w:val="0"/>
                    <w:pageBreakBefore w:val="0"/>
                    <w:widowControl/>
                    <w:kinsoku/>
                    <w:wordWrap/>
                    <w:overflowPunct/>
                    <w:topLinePunct w:val="0"/>
                    <w:bidi w:val="0"/>
                    <w:ind w:left="-105" w:leftChars="-50"/>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957" w:type="dxa"/>
                  <w:noWrap w:val="0"/>
                  <w:vAlign w:val="center"/>
                </w:tcPr>
                <w:p w14:paraId="22ABED04">
                  <w:pPr>
                    <w:snapToGrid w:val="0"/>
                    <w:ind w:left="-105" w:leftChars="-50" w:right="-105" w:rightChars="-50"/>
                    <w:jc w:val="center"/>
                    <w:rPr>
                      <w:rFonts w:ascii="Times New Roman" w:hAnsi="Times New Roman"/>
                      <w:color w:val="auto"/>
                      <w:sz w:val="20"/>
                      <w:szCs w:val="20"/>
                      <w:highlight w:val="none"/>
                    </w:rPr>
                  </w:pPr>
                  <w:r>
                    <w:rPr>
                      <w:rFonts w:ascii="Times New Roman" w:hAnsi="Times New Roman"/>
                      <w:color w:val="auto"/>
                      <w:sz w:val="20"/>
                      <w:szCs w:val="20"/>
                      <w:highlight w:val="none"/>
                    </w:rPr>
                    <w:t>一般</w:t>
                  </w:r>
                </w:p>
                <w:p w14:paraId="1A73DABF">
                  <w:pPr>
                    <w:snapToGrid w:val="0"/>
                    <w:ind w:left="-105" w:leftChars="-50" w:right="-105" w:rightChars="-50"/>
                    <w:jc w:val="center"/>
                    <w:rPr>
                      <w:rFonts w:hint="eastAsia"/>
                      <w:color w:val="auto"/>
                      <w:sz w:val="20"/>
                      <w:szCs w:val="20"/>
                      <w:highlight w:val="none"/>
                    </w:rPr>
                  </w:pPr>
                  <w:r>
                    <w:rPr>
                      <w:rFonts w:ascii="Times New Roman" w:hAnsi="Times New Roman"/>
                      <w:color w:val="auto"/>
                      <w:sz w:val="20"/>
                      <w:szCs w:val="20"/>
                      <w:highlight w:val="none"/>
                    </w:rPr>
                    <w:t>排放口</w:t>
                  </w:r>
                </w:p>
              </w:tc>
            </w:tr>
          </w:tbl>
          <w:p w14:paraId="5CC5B1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highlight w:val="no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8</w:t>
            </w:r>
            <w:r>
              <w:rPr>
                <w:rFonts w:hint="default" w:ascii="Times New Roman" w:hAnsi="Times New Roman" w:cs="Times New Roman"/>
                <w:b/>
                <w:bCs/>
                <w:color w:val="auto"/>
                <w:highlight w:val="none"/>
                <w:lang w:val="en-US" w:eastAsia="zh-CN"/>
              </w:rPr>
              <w:t xml:space="preserve">  项目废气排放监测情况一览表</w:t>
            </w:r>
          </w:p>
          <w:tbl>
            <w:tblPr>
              <w:tblStyle w:val="31"/>
              <w:tblW w:w="79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329"/>
              <w:gridCol w:w="1551"/>
              <w:gridCol w:w="1452"/>
              <w:gridCol w:w="2260"/>
            </w:tblGrid>
            <w:tr w14:paraId="1D9C6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329" w:type="dxa"/>
                  <w:tcBorders>
                    <w:tl2br w:val="nil"/>
                    <w:tr2bl w:val="nil"/>
                  </w:tcBorders>
                  <w:noWrap w:val="0"/>
                  <w:tcMar>
                    <w:top w:w="0" w:type="dxa"/>
                    <w:left w:w="0" w:type="dxa"/>
                    <w:bottom w:w="0" w:type="dxa"/>
                    <w:right w:w="0" w:type="dxa"/>
                  </w:tcMar>
                  <w:vAlign w:val="center"/>
                </w:tcPr>
                <w:p w14:paraId="5030B018">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val="0"/>
                      <w:bCs/>
                      <w:color w:val="auto"/>
                      <w:szCs w:val="21"/>
                      <w:highlight w:val="none"/>
                      <w:lang w:val="zh-CN"/>
                    </w:rPr>
                  </w:pPr>
                  <w:r>
                    <w:rPr>
                      <w:rFonts w:hint="eastAsia" w:cs="Times New Roman"/>
                      <w:b w:val="0"/>
                      <w:bCs/>
                      <w:color w:val="auto"/>
                      <w:szCs w:val="21"/>
                      <w:highlight w:val="none"/>
                      <w:lang w:val="zh-CN"/>
                    </w:rPr>
                    <w:t>废气形式</w:t>
                  </w:r>
                </w:p>
              </w:tc>
              <w:tc>
                <w:tcPr>
                  <w:tcW w:w="1329" w:type="dxa"/>
                  <w:tcBorders>
                    <w:tl2br w:val="nil"/>
                    <w:tr2bl w:val="nil"/>
                  </w:tcBorders>
                  <w:noWrap w:val="0"/>
                  <w:tcMar>
                    <w:top w:w="0" w:type="dxa"/>
                    <w:left w:w="0" w:type="dxa"/>
                    <w:bottom w:w="0" w:type="dxa"/>
                    <w:right w:w="0" w:type="dxa"/>
                  </w:tcMar>
                  <w:vAlign w:val="center"/>
                </w:tcPr>
                <w:p w14:paraId="7B0EA058">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zh-CN"/>
                    </w:rPr>
                    <w:t>监测点位</w:t>
                  </w:r>
                </w:p>
              </w:tc>
              <w:tc>
                <w:tcPr>
                  <w:tcW w:w="1551" w:type="dxa"/>
                  <w:tcBorders>
                    <w:tl2br w:val="nil"/>
                    <w:tr2bl w:val="nil"/>
                  </w:tcBorders>
                  <w:noWrap w:val="0"/>
                  <w:tcMar>
                    <w:top w:w="0" w:type="dxa"/>
                    <w:left w:w="0" w:type="dxa"/>
                    <w:bottom w:w="0" w:type="dxa"/>
                    <w:right w:w="0" w:type="dxa"/>
                  </w:tcMar>
                  <w:vAlign w:val="center"/>
                </w:tcPr>
                <w:p w14:paraId="150FABA7">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val="0"/>
                      <w:bCs/>
                      <w:color w:val="auto"/>
                      <w:szCs w:val="21"/>
                      <w:highlight w:val="none"/>
                      <w:lang w:val="zh-CN"/>
                    </w:rPr>
                  </w:pPr>
                  <w:r>
                    <w:rPr>
                      <w:rFonts w:hint="default" w:ascii="Times New Roman" w:hAnsi="Times New Roman" w:cs="Times New Roman"/>
                      <w:b w:val="0"/>
                      <w:bCs/>
                      <w:color w:val="auto"/>
                      <w:szCs w:val="21"/>
                      <w:highlight w:val="none"/>
                      <w:lang w:val="zh-CN"/>
                    </w:rPr>
                    <w:t>监测项目</w:t>
                  </w:r>
                </w:p>
              </w:tc>
              <w:tc>
                <w:tcPr>
                  <w:tcW w:w="1452" w:type="dxa"/>
                  <w:tcBorders>
                    <w:tl2br w:val="nil"/>
                    <w:tr2bl w:val="nil"/>
                  </w:tcBorders>
                  <w:noWrap w:val="0"/>
                  <w:tcMar>
                    <w:top w:w="0" w:type="dxa"/>
                    <w:left w:w="0" w:type="dxa"/>
                    <w:bottom w:w="0" w:type="dxa"/>
                    <w:right w:w="0" w:type="dxa"/>
                  </w:tcMar>
                  <w:vAlign w:val="center"/>
                </w:tcPr>
                <w:p w14:paraId="1DC6BA8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val="0"/>
                      <w:bCs/>
                      <w:color w:val="auto"/>
                      <w:szCs w:val="21"/>
                      <w:highlight w:val="none"/>
                      <w:lang w:val="zh-CN"/>
                    </w:rPr>
                  </w:pPr>
                  <w:r>
                    <w:rPr>
                      <w:rFonts w:hint="default" w:ascii="Times New Roman" w:hAnsi="Times New Roman" w:cs="Times New Roman"/>
                      <w:b w:val="0"/>
                      <w:bCs/>
                      <w:color w:val="auto"/>
                      <w:szCs w:val="21"/>
                      <w:highlight w:val="none"/>
                      <w:lang w:val="zh-CN"/>
                    </w:rPr>
                    <w:t>监测时间</w:t>
                  </w:r>
                  <w:r>
                    <w:rPr>
                      <w:rFonts w:hint="default" w:ascii="Times New Roman" w:hAnsi="Times New Roman" w:cs="Times New Roman"/>
                      <w:b w:val="0"/>
                      <w:bCs/>
                      <w:color w:val="auto"/>
                      <w:szCs w:val="21"/>
                      <w:highlight w:val="none"/>
                      <w:lang w:val="en-US" w:eastAsia="zh-CN"/>
                    </w:rPr>
                    <w:t>/</w:t>
                  </w:r>
                  <w:r>
                    <w:rPr>
                      <w:rFonts w:hint="default" w:ascii="Times New Roman" w:hAnsi="Times New Roman" w:cs="Times New Roman"/>
                      <w:b w:val="0"/>
                      <w:bCs/>
                      <w:color w:val="auto"/>
                      <w:szCs w:val="21"/>
                      <w:highlight w:val="none"/>
                      <w:lang w:val="zh-CN"/>
                    </w:rPr>
                    <w:t>频率</w:t>
                  </w:r>
                </w:p>
              </w:tc>
              <w:tc>
                <w:tcPr>
                  <w:tcW w:w="2260" w:type="dxa"/>
                  <w:tcBorders>
                    <w:tl2br w:val="nil"/>
                    <w:tr2bl w:val="nil"/>
                  </w:tcBorders>
                  <w:noWrap w:val="0"/>
                  <w:vAlign w:val="center"/>
                </w:tcPr>
                <w:p w14:paraId="3E381F7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val="0"/>
                      <w:bCs/>
                      <w:color w:val="auto"/>
                      <w:szCs w:val="21"/>
                      <w:highlight w:val="none"/>
                      <w:lang w:val="zh-CN" w:eastAsia="zh-CN"/>
                    </w:rPr>
                  </w:pPr>
                  <w:r>
                    <w:rPr>
                      <w:rFonts w:hint="default" w:ascii="Times New Roman" w:hAnsi="Times New Roman" w:cs="Times New Roman"/>
                      <w:b w:val="0"/>
                      <w:bCs/>
                      <w:color w:val="auto"/>
                      <w:szCs w:val="21"/>
                      <w:highlight w:val="none"/>
                      <w:lang w:val="en-US" w:eastAsia="zh-CN"/>
                    </w:rPr>
                    <w:t>执行标准</w:t>
                  </w:r>
                </w:p>
              </w:tc>
            </w:tr>
            <w:tr w14:paraId="1B466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329" w:type="dxa"/>
                  <w:vMerge w:val="restart"/>
                  <w:tcBorders>
                    <w:tl2br w:val="nil"/>
                    <w:tr2bl w:val="nil"/>
                  </w:tcBorders>
                  <w:noWrap w:val="0"/>
                  <w:tcMar>
                    <w:top w:w="0" w:type="dxa"/>
                    <w:left w:w="0" w:type="dxa"/>
                    <w:bottom w:w="0" w:type="dxa"/>
                    <w:right w:w="0" w:type="dxa"/>
                  </w:tcMar>
                  <w:vAlign w:val="center"/>
                </w:tcPr>
                <w:p w14:paraId="50ED07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color w:val="auto"/>
                      <w:szCs w:val="21"/>
                      <w:highlight w:val="none"/>
                      <w:lang w:eastAsia="zh-CN"/>
                    </w:rPr>
                  </w:pPr>
                  <w:r>
                    <w:rPr>
                      <w:rFonts w:hint="eastAsia"/>
                      <w:color w:val="auto"/>
                      <w:szCs w:val="21"/>
                      <w:highlight w:val="none"/>
                      <w:lang w:eastAsia="zh-CN"/>
                    </w:rPr>
                    <w:t>有组织</w:t>
                  </w:r>
                </w:p>
              </w:tc>
              <w:tc>
                <w:tcPr>
                  <w:tcW w:w="1329" w:type="dxa"/>
                  <w:tcBorders>
                    <w:tl2br w:val="nil"/>
                    <w:tr2bl w:val="nil"/>
                  </w:tcBorders>
                  <w:noWrap w:val="0"/>
                  <w:tcMar>
                    <w:top w:w="0" w:type="dxa"/>
                    <w:left w:w="0" w:type="dxa"/>
                    <w:bottom w:w="0" w:type="dxa"/>
                    <w:right w:w="0" w:type="dxa"/>
                  </w:tcMar>
                  <w:vAlign w:val="center"/>
                </w:tcPr>
                <w:p w14:paraId="2AB5D0DE">
                  <w:pPr>
                    <w:keepNext w:val="0"/>
                    <w:keepLines w:val="0"/>
                    <w:pageBreakBefore w:val="0"/>
                    <w:kinsoku/>
                    <w:wordWrap/>
                    <w:overflowPunct/>
                    <w:topLinePunct w:val="0"/>
                    <w:bidi w:val="0"/>
                    <w:spacing w:before="72" w:beforeLines="30"/>
                    <w:jc w:val="center"/>
                    <w:rPr>
                      <w:rFonts w:hint="default" w:ascii="Times New Roman" w:hAnsi="Times New Roman" w:cs="Times New Roman"/>
                      <w:color w:val="auto"/>
                      <w:szCs w:val="21"/>
                      <w:highlight w:val="none"/>
                      <w:lang w:eastAsia="zh-CN"/>
                    </w:rPr>
                  </w:pPr>
                  <w:r>
                    <w:rPr>
                      <w:rFonts w:hint="eastAsia" w:ascii="Times New Roman" w:hAnsi="Times New Roman" w:eastAsia="宋体" w:cs="Times New Roman"/>
                      <w:color w:val="auto"/>
                      <w:kern w:val="2"/>
                      <w:sz w:val="21"/>
                      <w:szCs w:val="21"/>
                      <w:highlight w:val="none"/>
                      <w:lang w:val="en-US" w:eastAsia="zh-CN" w:bidi="ar-SA"/>
                    </w:rPr>
                    <w:t>DA001</w:t>
                  </w:r>
                </w:p>
              </w:tc>
              <w:tc>
                <w:tcPr>
                  <w:tcW w:w="1551" w:type="dxa"/>
                  <w:tcBorders>
                    <w:tl2br w:val="nil"/>
                    <w:tr2bl w:val="nil"/>
                  </w:tcBorders>
                  <w:noWrap w:val="0"/>
                  <w:tcMar>
                    <w:top w:w="0" w:type="dxa"/>
                    <w:left w:w="0" w:type="dxa"/>
                    <w:bottom w:w="0" w:type="dxa"/>
                    <w:right w:w="0" w:type="dxa"/>
                  </w:tcMar>
                  <w:vAlign w:val="center"/>
                </w:tcPr>
                <w:p w14:paraId="05882B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w:t>
                  </w:r>
                  <w:r>
                    <w:rPr>
                      <w:rFonts w:hint="eastAsia" w:cs="Times New Roman"/>
                      <w:color w:val="auto"/>
                      <w:sz w:val="21"/>
                      <w:szCs w:val="21"/>
                      <w:highlight w:val="none"/>
                      <w:lang w:eastAsia="zh-CN"/>
                    </w:rPr>
                    <w:t>、</w:t>
                  </w:r>
                  <w:r>
                    <w:rPr>
                      <w:rFonts w:hint="default" w:ascii="Times New Roman" w:hAnsi="Times New Roman" w:cs="Times New Roman"/>
                      <w:color w:val="auto"/>
                      <w:highlight w:val="none"/>
                      <w:lang w:val="en-US" w:eastAsia="zh-CN"/>
                    </w:rPr>
                    <w:t>臭</w:t>
                  </w:r>
                  <w:r>
                    <w:rPr>
                      <w:rFonts w:hint="default" w:ascii="Times New Roman" w:hAnsi="Times New Roman" w:cs="Times New Roman"/>
                      <w:color w:val="auto"/>
                      <w:sz w:val="21"/>
                      <w:szCs w:val="21"/>
                      <w:highlight w:val="none"/>
                      <w:lang w:val="en-US" w:eastAsia="zh-CN"/>
                    </w:rPr>
                    <w:t>气浓度</w:t>
                  </w:r>
                </w:p>
              </w:tc>
              <w:tc>
                <w:tcPr>
                  <w:tcW w:w="1452" w:type="dxa"/>
                  <w:tcBorders>
                    <w:tl2br w:val="nil"/>
                    <w:tr2bl w:val="nil"/>
                  </w:tcBorders>
                  <w:noWrap w:val="0"/>
                  <w:tcMar>
                    <w:top w:w="0" w:type="dxa"/>
                    <w:left w:w="0" w:type="dxa"/>
                    <w:bottom w:w="0" w:type="dxa"/>
                    <w:right w:w="0" w:type="dxa"/>
                  </w:tcMar>
                  <w:vAlign w:val="center"/>
                </w:tcPr>
                <w:p w14:paraId="308E8D44">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right="0"/>
                    <w:jc w:val="center"/>
                    <w:textAlignment w:val="auto"/>
                    <w:rPr>
                      <w:rFonts w:hint="default" w:ascii="Times New Roman" w:hAnsi="Times New Roman" w:cs="Times New Roman"/>
                      <w:color w:val="auto"/>
                      <w:szCs w:val="21"/>
                      <w:highlight w:val="none"/>
                      <w:lang w:eastAsia="zh-CN"/>
                    </w:rPr>
                  </w:pPr>
                  <w:r>
                    <w:rPr>
                      <w:color w:val="auto"/>
                      <w:szCs w:val="21"/>
                      <w:highlight w:val="none"/>
                    </w:rPr>
                    <w:t>1次/</w:t>
                  </w:r>
                  <w:r>
                    <w:rPr>
                      <w:rFonts w:hint="eastAsia"/>
                      <w:color w:val="auto"/>
                      <w:szCs w:val="21"/>
                      <w:highlight w:val="none"/>
                      <w:lang w:eastAsia="zh-CN"/>
                    </w:rPr>
                    <w:t>半</w:t>
                  </w:r>
                  <w:r>
                    <w:rPr>
                      <w:color w:val="auto"/>
                      <w:szCs w:val="21"/>
                      <w:highlight w:val="none"/>
                    </w:rPr>
                    <w:t>年</w:t>
                  </w:r>
                </w:p>
              </w:tc>
              <w:tc>
                <w:tcPr>
                  <w:tcW w:w="2260" w:type="dxa"/>
                  <w:tcBorders>
                    <w:tl2br w:val="nil"/>
                    <w:tr2bl w:val="nil"/>
                  </w:tcBorders>
                  <w:noWrap w:val="0"/>
                  <w:vAlign w:val="center"/>
                </w:tcPr>
                <w:p w14:paraId="730F872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《恶臭污染物排放标准》（GB14554-93）</w:t>
                  </w:r>
                </w:p>
              </w:tc>
            </w:tr>
            <w:tr w14:paraId="50967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329" w:type="dxa"/>
                  <w:vMerge w:val="continue"/>
                  <w:tcBorders>
                    <w:tl2br w:val="nil"/>
                    <w:tr2bl w:val="nil"/>
                  </w:tcBorders>
                  <w:noWrap w:val="0"/>
                  <w:tcMar>
                    <w:top w:w="0" w:type="dxa"/>
                    <w:left w:w="0" w:type="dxa"/>
                    <w:bottom w:w="0" w:type="dxa"/>
                    <w:right w:w="0" w:type="dxa"/>
                  </w:tcMar>
                  <w:vAlign w:val="center"/>
                </w:tcPr>
                <w:p w14:paraId="31762D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color w:val="auto"/>
                      <w:szCs w:val="21"/>
                      <w:highlight w:val="none"/>
                      <w:lang w:eastAsia="zh-CN"/>
                    </w:rPr>
                  </w:pPr>
                </w:p>
              </w:tc>
              <w:tc>
                <w:tcPr>
                  <w:tcW w:w="1329" w:type="dxa"/>
                  <w:tcBorders>
                    <w:tl2br w:val="nil"/>
                    <w:tr2bl w:val="nil"/>
                  </w:tcBorders>
                  <w:noWrap w:val="0"/>
                  <w:tcMar>
                    <w:top w:w="0" w:type="dxa"/>
                    <w:left w:w="0" w:type="dxa"/>
                    <w:bottom w:w="0" w:type="dxa"/>
                    <w:right w:w="0" w:type="dxa"/>
                  </w:tcMar>
                  <w:vAlign w:val="center"/>
                </w:tcPr>
                <w:p w14:paraId="05245FBD">
                  <w:pPr>
                    <w:keepNext w:val="0"/>
                    <w:keepLines w:val="0"/>
                    <w:pageBreakBefore w:val="0"/>
                    <w:kinsoku/>
                    <w:wordWrap/>
                    <w:overflowPunct/>
                    <w:topLinePunct w:val="0"/>
                    <w:bidi w:val="0"/>
                    <w:spacing w:before="72" w:beforeLines="30"/>
                    <w:jc w:val="center"/>
                    <w:rPr>
                      <w:rFonts w:hint="eastAsia"/>
                      <w:color w:val="auto"/>
                      <w:szCs w:val="21"/>
                      <w:highlight w:val="none"/>
                      <w:lang w:eastAsia="zh-CN"/>
                    </w:rPr>
                  </w:pPr>
                  <w:r>
                    <w:rPr>
                      <w:rFonts w:hint="eastAsia" w:ascii="Times New Roman" w:hAnsi="Times New Roman" w:eastAsia="宋体" w:cs="Times New Roman"/>
                      <w:color w:val="auto"/>
                      <w:kern w:val="2"/>
                      <w:sz w:val="21"/>
                      <w:szCs w:val="21"/>
                      <w:highlight w:val="none"/>
                      <w:lang w:val="en-US" w:eastAsia="zh-CN" w:bidi="ar-SA"/>
                    </w:rPr>
                    <w:t>DA002</w:t>
                  </w:r>
                </w:p>
              </w:tc>
              <w:tc>
                <w:tcPr>
                  <w:tcW w:w="1551" w:type="dxa"/>
                  <w:tcBorders>
                    <w:tl2br w:val="nil"/>
                    <w:tr2bl w:val="nil"/>
                  </w:tcBorders>
                  <w:noWrap w:val="0"/>
                  <w:tcMar>
                    <w:top w:w="0" w:type="dxa"/>
                    <w:left w:w="0" w:type="dxa"/>
                    <w:bottom w:w="0" w:type="dxa"/>
                    <w:right w:w="0" w:type="dxa"/>
                  </w:tcMar>
                  <w:vAlign w:val="center"/>
                </w:tcPr>
                <w:p w14:paraId="719AEE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highlight w:val="none"/>
                      <w:lang w:val="en-US" w:eastAsia="zh-CN"/>
                    </w:rPr>
                  </w:pPr>
                  <w:r>
                    <w:rPr>
                      <w:rFonts w:hint="eastAsia"/>
                      <w:color w:val="auto"/>
                      <w:szCs w:val="21"/>
                      <w:highlight w:val="none"/>
                      <w:lang w:eastAsia="zh-CN"/>
                    </w:rPr>
                    <w:t>油烟废气</w:t>
                  </w:r>
                </w:p>
              </w:tc>
              <w:tc>
                <w:tcPr>
                  <w:tcW w:w="1452" w:type="dxa"/>
                  <w:tcBorders>
                    <w:tl2br w:val="nil"/>
                    <w:tr2bl w:val="nil"/>
                  </w:tcBorders>
                  <w:noWrap w:val="0"/>
                  <w:tcMar>
                    <w:top w:w="0" w:type="dxa"/>
                    <w:left w:w="0" w:type="dxa"/>
                    <w:bottom w:w="0" w:type="dxa"/>
                    <w:right w:w="0" w:type="dxa"/>
                  </w:tcMar>
                  <w:vAlign w:val="center"/>
                </w:tcPr>
                <w:p w14:paraId="0D958E48">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right="0"/>
                    <w:jc w:val="center"/>
                    <w:textAlignment w:val="auto"/>
                    <w:rPr>
                      <w:color w:val="auto"/>
                      <w:szCs w:val="21"/>
                      <w:highlight w:val="none"/>
                    </w:rPr>
                  </w:pPr>
                  <w:r>
                    <w:rPr>
                      <w:color w:val="auto"/>
                      <w:szCs w:val="21"/>
                      <w:highlight w:val="none"/>
                    </w:rPr>
                    <w:t>1次/</w:t>
                  </w:r>
                  <w:r>
                    <w:rPr>
                      <w:rFonts w:hint="eastAsia"/>
                      <w:color w:val="auto"/>
                      <w:szCs w:val="21"/>
                      <w:highlight w:val="none"/>
                      <w:lang w:eastAsia="zh-CN"/>
                    </w:rPr>
                    <w:t>半</w:t>
                  </w:r>
                  <w:r>
                    <w:rPr>
                      <w:color w:val="auto"/>
                      <w:szCs w:val="21"/>
                      <w:highlight w:val="none"/>
                    </w:rPr>
                    <w:t>年</w:t>
                  </w:r>
                </w:p>
              </w:tc>
              <w:tc>
                <w:tcPr>
                  <w:tcW w:w="2260" w:type="dxa"/>
                  <w:tcBorders>
                    <w:tl2br w:val="nil"/>
                    <w:tr2bl w:val="nil"/>
                  </w:tcBorders>
                  <w:noWrap w:val="0"/>
                  <w:vAlign w:val="center"/>
                </w:tcPr>
                <w:p w14:paraId="5B48D78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color w:val="auto"/>
                      <w:kern w:val="0"/>
                      <w:szCs w:val="21"/>
                      <w:highlight w:val="none"/>
                      <w:lang w:bidi="ar"/>
                    </w:rPr>
                    <w:t>《饮食业油烟排放标准</w:t>
                  </w:r>
                  <w:r>
                    <w:rPr>
                      <w:rFonts w:hint="eastAsia" w:ascii="Times New Roman" w:hAnsi="Times New Roman"/>
                      <w:color w:val="auto"/>
                      <w:kern w:val="0"/>
                      <w:szCs w:val="21"/>
                      <w:highlight w:val="none"/>
                      <w:lang w:bidi="ar"/>
                    </w:rPr>
                    <w:t>（试</w:t>
                  </w:r>
                  <w:r>
                    <w:rPr>
                      <w:rFonts w:hint="eastAsia" w:ascii="Times New Roman" w:hAnsi="Times New Roman"/>
                      <w:color w:val="auto"/>
                      <w:kern w:val="0"/>
                      <w:szCs w:val="21"/>
                      <w:highlight w:val="none"/>
                      <w:lang w:eastAsia="zh-CN" w:bidi="ar"/>
                    </w:rPr>
                    <w:t>行）》</w:t>
                  </w:r>
                  <w:r>
                    <w:rPr>
                      <w:rFonts w:ascii="Times New Roman" w:hAnsi="Times New Roman"/>
                      <w:color w:val="auto"/>
                      <w:kern w:val="0"/>
                      <w:szCs w:val="21"/>
                      <w:highlight w:val="none"/>
                      <w:lang w:bidi="ar"/>
                    </w:rPr>
                    <w:t>（GB18483-2001）</w:t>
                  </w:r>
                </w:p>
              </w:tc>
            </w:tr>
            <w:tr w14:paraId="2A0D3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329" w:type="dxa"/>
                  <w:tcBorders>
                    <w:tl2br w:val="nil"/>
                    <w:tr2bl w:val="nil"/>
                  </w:tcBorders>
                  <w:noWrap w:val="0"/>
                  <w:tcMar>
                    <w:top w:w="0" w:type="dxa"/>
                    <w:left w:w="0" w:type="dxa"/>
                    <w:bottom w:w="0" w:type="dxa"/>
                    <w:right w:w="0" w:type="dxa"/>
                  </w:tcMar>
                  <w:vAlign w:val="center"/>
                </w:tcPr>
                <w:p w14:paraId="3922EC6E">
                  <w:pPr>
                    <w:keepNext w:val="0"/>
                    <w:keepLines w:val="0"/>
                    <w:pageBreakBefore w:val="0"/>
                    <w:kinsoku/>
                    <w:wordWrap/>
                    <w:overflowPunct/>
                    <w:topLinePunct w:val="0"/>
                    <w:bidi w:val="0"/>
                    <w:adjustRightInd w:val="0"/>
                    <w:snapToGrid w:val="0"/>
                    <w:jc w:val="center"/>
                    <w:rPr>
                      <w:rFonts w:hint="eastAsia" w:eastAsia="宋体"/>
                      <w:color w:val="auto"/>
                      <w:szCs w:val="21"/>
                      <w:highlight w:val="none"/>
                      <w:lang w:eastAsia="zh-CN"/>
                    </w:rPr>
                  </w:pPr>
                  <w:r>
                    <w:rPr>
                      <w:rFonts w:hint="eastAsia"/>
                      <w:color w:val="auto"/>
                      <w:szCs w:val="21"/>
                      <w:highlight w:val="none"/>
                      <w:lang w:eastAsia="zh-CN"/>
                    </w:rPr>
                    <w:t>无组织</w:t>
                  </w:r>
                </w:p>
              </w:tc>
              <w:tc>
                <w:tcPr>
                  <w:tcW w:w="1329" w:type="dxa"/>
                  <w:tcBorders>
                    <w:tl2br w:val="nil"/>
                    <w:tr2bl w:val="nil"/>
                  </w:tcBorders>
                  <w:noWrap w:val="0"/>
                  <w:tcMar>
                    <w:top w:w="0" w:type="dxa"/>
                    <w:left w:w="0" w:type="dxa"/>
                    <w:bottom w:w="0" w:type="dxa"/>
                    <w:right w:w="0" w:type="dxa"/>
                  </w:tcMar>
                  <w:vAlign w:val="center"/>
                </w:tcPr>
                <w:p w14:paraId="64A9FAA5">
                  <w:pPr>
                    <w:keepNext w:val="0"/>
                    <w:keepLines w:val="0"/>
                    <w:pageBreakBefore w:val="0"/>
                    <w:kinsoku/>
                    <w:wordWrap/>
                    <w:overflowPunct/>
                    <w:topLinePunct w:val="0"/>
                    <w:bidi w:val="0"/>
                    <w:adjustRightInd w:val="0"/>
                    <w:snapToGrid w:val="0"/>
                    <w:jc w:val="center"/>
                    <w:rPr>
                      <w:rFonts w:hint="default" w:ascii="Times New Roman" w:hAnsi="Times New Roman" w:cs="Times New Roman"/>
                      <w:color w:val="auto"/>
                      <w:szCs w:val="21"/>
                      <w:highlight w:val="none"/>
                      <w:lang w:eastAsia="zh-CN"/>
                    </w:rPr>
                  </w:pPr>
                  <w:r>
                    <w:rPr>
                      <w:rFonts w:hint="eastAsia" w:cs="Times New Roman"/>
                      <w:color w:val="auto"/>
                      <w:szCs w:val="21"/>
                      <w:highlight w:val="none"/>
                      <w:lang w:eastAsia="zh-CN"/>
                    </w:rPr>
                    <w:t>厂界或防护带边缘的浓度最高点（污泥脱水机房附近）</w:t>
                  </w:r>
                </w:p>
              </w:tc>
              <w:tc>
                <w:tcPr>
                  <w:tcW w:w="1551" w:type="dxa"/>
                  <w:tcBorders>
                    <w:tl2br w:val="nil"/>
                    <w:tr2bl w:val="nil"/>
                  </w:tcBorders>
                  <w:noWrap w:val="0"/>
                  <w:tcMar>
                    <w:top w:w="0" w:type="dxa"/>
                    <w:left w:w="0" w:type="dxa"/>
                    <w:bottom w:w="0" w:type="dxa"/>
                    <w:right w:w="0" w:type="dxa"/>
                  </w:tcMar>
                  <w:vAlign w:val="center"/>
                </w:tcPr>
                <w:p w14:paraId="6C7DEB25">
                  <w:pPr>
                    <w:keepNext w:val="0"/>
                    <w:keepLines w:val="0"/>
                    <w:pageBreakBefore w:val="0"/>
                    <w:kinsoku/>
                    <w:wordWrap/>
                    <w:overflowPunct/>
                    <w:topLinePunct w:val="0"/>
                    <w:bidi w:val="0"/>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w:t>
                  </w:r>
                  <w:r>
                    <w:rPr>
                      <w:rFonts w:hint="eastAsia" w:cs="Times New Roman"/>
                      <w:color w:val="auto"/>
                      <w:sz w:val="21"/>
                      <w:szCs w:val="21"/>
                      <w:highlight w:val="none"/>
                      <w:lang w:eastAsia="zh-CN"/>
                    </w:rPr>
                    <w:t>、</w:t>
                  </w:r>
                  <w:r>
                    <w:rPr>
                      <w:rFonts w:hint="default" w:ascii="Times New Roman" w:hAnsi="Times New Roman" w:cs="Times New Roman"/>
                      <w:color w:val="auto"/>
                      <w:highlight w:val="none"/>
                      <w:lang w:val="en-US" w:eastAsia="zh-CN"/>
                    </w:rPr>
                    <w:t>臭</w:t>
                  </w:r>
                  <w:r>
                    <w:rPr>
                      <w:rFonts w:hint="default" w:ascii="Times New Roman" w:hAnsi="Times New Roman" w:cs="Times New Roman"/>
                      <w:color w:val="auto"/>
                      <w:sz w:val="21"/>
                      <w:szCs w:val="21"/>
                      <w:highlight w:val="none"/>
                      <w:lang w:val="en-US" w:eastAsia="zh-CN"/>
                    </w:rPr>
                    <w:t>气浓度</w:t>
                  </w:r>
                  <w:r>
                    <w:rPr>
                      <w:rFonts w:hint="eastAsia" w:cs="Times New Roman"/>
                      <w:color w:val="auto"/>
                      <w:sz w:val="21"/>
                      <w:szCs w:val="21"/>
                      <w:highlight w:val="none"/>
                      <w:lang w:val="en-US" w:eastAsia="zh-CN"/>
                    </w:rPr>
                    <w:t>、甲烷</w:t>
                  </w:r>
                </w:p>
              </w:tc>
              <w:tc>
                <w:tcPr>
                  <w:tcW w:w="1452" w:type="dxa"/>
                  <w:tcBorders>
                    <w:tl2br w:val="nil"/>
                    <w:tr2bl w:val="nil"/>
                  </w:tcBorders>
                  <w:noWrap w:val="0"/>
                  <w:tcMar>
                    <w:top w:w="0" w:type="dxa"/>
                    <w:left w:w="0" w:type="dxa"/>
                    <w:bottom w:w="0" w:type="dxa"/>
                    <w:right w:w="0" w:type="dxa"/>
                  </w:tcMar>
                  <w:vAlign w:val="center"/>
                </w:tcPr>
                <w:p w14:paraId="650D95CE">
                  <w:pPr>
                    <w:keepNext w:val="0"/>
                    <w:keepLines w:val="0"/>
                    <w:pageBreakBefore w:val="0"/>
                    <w:kinsoku/>
                    <w:wordWrap/>
                    <w:overflowPunct/>
                    <w:topLinePunct w:val="0"/>
                    <w:bidi w:val="0"/>
                    <w:adjustRightInd w:val="0"/>
                    <w:snapToGrid w:val="0"/>
                    <w:jc w:val="center"/>
                    <w:rPr>
                      <w:rFonts w:hint="default" w:ascii="Times New Roman" w:hAnsi="Times New Roman" w:cs="Times New Roman"/>
                      <w:color w:val="auto"/>
                      <w:szCs w:val="21"/>
                      <w:highlight w:val="none"/>
                      <w:lang w:eastAsia="zh-CN"/>
                    </w:rPr>
                  </w:pPr>
                  <w:r>
                    <w:rPr>
                      <w:color w:val="auto"/>
                      <w:szCs w:val="21"/>
                      <w:highlight w:val="none"/>
                    </w:rPr>
                    <w:t>1次/</w:t>
                  </w:r>
                  <w:r>
                    <w:rPr>
                      <w:rFonts w:hint="eastAsia"/>
                      <w:color w:val="auto"/>
                      <w:szCs w:val="21"/>
                      <w:highlight w:val="none"/>
                      <w:lang w:eastAsia="zh-CN"/>
                    </w:rPr>
                    <w:t>半</w:t>
                  </w:r>
                  <w:r>
                    <w:rPr>
                      <w:color w:val="auto"/>
                      <w:szCs w:val="21"/>
                      <w:highlight w:val="none"/>
                    </w:rPr>
                    <w:t>年</w:t>
                  </w:r>
                </w:p>
              </w:tc>
              <w:tc>
                <w:tcPr>
                  <w:tcW w:w="2260" w:type="dxa"/>
                  <w:tcBorders>
                    <w:tl2br w:val="nil"/>
                    <w:tr2bl w:val="nil"/>
                  </w:tcBorders>
                  <w:noWrap w:val="0"/>
                  <w:vAlign w:val="center"/>
                </w:tcPr>
                <w:p w14:paraId="22E9D6FE">
                  <w:pPr>
                    <w:keepNext w:val="0"/>
                    <w:keepLines w:val="0"/>
                    <w:pageBreakBefore w:val="0"/>
                    <w:kinsoku/>
                    <w:wordWrap/>
                    <w:overflowPunct/>
                    <w:topLinePunct w:val="0"/>
                    <w:bidi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《城镇污水处理厂污染物排放标准》（GB18918-2002）</w:t>
                  </w:r>
                </w:p>
              </w:tc>
            </w:tr>
          </w:tbl>
          <w:p w14:paraId="2CE36368">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cs="Times New Roman"/>
                <w:b/>
                <w:bCs/>
                <w:color w:val="auto"/>
                <w:sz w:val="24"/>
                <w:szCs w:val="24"/>
                <w:highlight w:val="none"/>
                <w:lang w:val="en-US" w:eastAsia="zh-CN"/>
              </w:rPr>
              <w:t>废水</w:t>
            </w:r>
          </w:p>
          <w:p w14:paraId="4B57B7C3">
            <w:pPr>
              <w:pStyle w:val="2"/>
              <w:numPr>
                <w:ilvl w:val="0"/>
                <w:numId w:val="0"/>
              </w:numPr>
              <w:spacing w:before="82" w:line="364" w:lineRule="auto"/>
              <w:ind w:right="129" w:rightChars="0" w:firstLine="480" w:firstLineChars="200"/>
              <w:rPr>
                <w:rFonts w:hint="eastAsia" w:ascii="Times New Roman" w:hAnsi="Times New Roman" w:eastAsia="宋体" w:cs="Times New Roman"/>
                <w:bCs/>
                <w:color w:val="auto"/>
                <w:sz w:val="24"/>
                <w:highlight w:val="none"/>
                <w:lang w:val="en-US" w:eastAsia="zh-CN"/>
              </w:rPr>
            </w:pPr>
            <w:r>
              <w:rPr>
                <w:rFonts w:hint="eastAsia" w:cs="Times New Roman"/>
                <w:color w:val="auto"/>
                <w:sz w:val="24"/>
                <w:szCs w:val="24"/>
                <w:highlight w:val="none"/>
                <w:lang w:eastAsia="zh-CN"/>
              </w:rPr>
              <w:t>根据前文分析，本项目运营期</w:t>
            </w:r>
            <w:r>
              <w:rPr>
                <w:rFonts w:hint="default" w:ascii="Times New Roman" w:hAnsi="Times New Roman" w:cs="Times New Roman"/>
                <w:color w:val="auto"/>
                <w:sz w:val="24"/>
                <w:szCs w:val="24"/>
                <w:highlight w:val="none"/>
                <w:lang w:eastAsia="zh-CN"/>
              </w:rPr>
              <w:t>员工</w:t>
            </w:r>
            <w:r>
              <w:rPr>
                <w:rFonts w:hint="default" w:ascii="Times New Roman" w:hAnsi="Times New Roman" w:cs="Times New Roman"/>
                <w:color w:val="auto"/>
                <w:sz w:val="24"/>
                <w:szCs w:val="24"/>
                <w:highlight w:val="none"/>
                <w:lang w:val="en-US" w:eastAsia="zh-CN"/>
              </w:rPr>
              <w:t>生活污水、管网收集废污水和污泥脱水产生的废水均接入厂区污水处理系统，处理达到《城镇污水处理厂污染物排放标准》（GB18918-2002）一级A标准后排入</w:t>
            </w:r>
            <w:r>
              <w:rPr>
                <w:rFonts w:hint="eastAsia" w:cs="Times New Roman"/>
                <w:color w:val="auto"/>
                <w:sz w:val="24"/>
                <w:szCs w:val="24"/>
                <w:highlight w:val="none"/>
                <w:lang w:val="en-US" w:eastAsia="zh-CN"/>
              </w:rPr>
              <w:t>溢水河</w:t>
            </w:r>
            <w:r>
              <w:rPr>
                <w:rFonts w:hint="eastAsia"/>
                <w:b w:val="0"/>
                <w:bCs w:val="0"/>
                <w:color w:val="auto"/>
                <w:sz w:val="24"/>
                <w:highlight w:val="none"/>
                <w:lang w:eastAsia="zh-CN"/>
              </w:rPr>
              <w:t>。</w:t>
            </w:r>
            <w:r>
              <w:rPr>
                <w:rFonts w:hint="eastAsia" w:ascii="Times New Roman" w:hAnsi="Times New Roman" w:eastAsia="宋体" w:cs="Times New Roman"/>
                <w:color w:val="auto"/>
                <w:kern w:val="2"/>
                <w:sz w:val="24"/>
                <w:szCs w:val="24"/>
                <w:highlight w:val="none"/>
                <w:lang w:val="en-US" w:eastAsia="zh-CN" w:bidi="ar-SA"/>
              </w:rPr>
              <w:t>枯水期污水处理厂正常排放时，污染物COD、NH</w:t>
            </w:r>
            <w:r>
              <w:rPr>
                <w:rFonts w:hint="eastAsia" w:ascii="Times New Roman" w:hAnsi="Times New Roman" w:eastAsia="宋体" w:cs="Times New Roman"/>
                <w:color w:val="auto"/>
                <w:kern w:val="2"/>
                <w:sz w:val="24"/>
                <w:szCs w:val="24"/>
                <w:highlight w:val="none"/>
                <w:vertAlign w:val="sub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-N</w:t>
            </w:r>
            <w:r>
              <w:rPr>
                <w:rFonts w:hint="eastAsia" w:cs="Times New Roman"/>
                <w:color w:val="auto"/>
                <w:kern w:val="2"/>
                <w:sz w:val="24"/>
                <w:szCs w:val="24"/>
                <w:highlight w:val="none"/>
                <w:lang w:val="en-US" w:eastAsia="zh-CN" w:bidi="ar-SA"/>
              </w:rPr>
              <w:t>和TP</w:t>
            </w:r>
            <w:r>
              <w:rPr>
                <w:rFonts w:hint="eastAsia" w:ascii="Times New Roman" w:hAnsi="Times New Roman" w:eastAsia="宋体" w:cs="Times New Roman"/>
                <w:color w:val="auto"/>
                <w:kern w:val="2"/>
                <w:sz w:val="24"/>
                <w:szCs w:val="24"/>
                <w:highlight w:val="none"/>
                <w:lang w:val="en-US" w:eastAsia="zh-CN" w:bidi="ar-SA"/>
              </w:rPr>
              <w:t>在下游岸边范围</w:t>
            </w:r>
            <w:r>
              <w:rPr>
                <w:color w:val="auto"/>
                <w:sz w:val="24"/>
                <w:highlight w:val="none"/>
              </w:rPr>
              <w:t>无超标点，预测断面均满足《地表水环境质量标准》（GB3838-2002）II类标准要求。</w:t>
            </w:r>
            <w:r>
              <w:rPr>
                <w:rFonts w:hint="eastAsia"/>
                <w:color w:val="auto"/>
                <w:sz w:val="24"/>
                <w:highlight w:val="none"/>
              </w:rPr>
              <w:t>根据现场</w:t>
            </w:r>
            <w:r>
              <w:rPr>
                <w:rFonts w:hint="eastAsia"/>
                <w:color w:val="auto"/>
                <w:sz w:val="24"/>
                <w:highlight w:val="none"/>
                <w:lang w:eastAsia="zh-CN"/>
              </w:rPr>
              <w:t>调查</w:t>
            </w:r>
            <w:r>
              <w:rPr>
                <w:rFonts w:hint="eastAsia"/>
                <w:color w:val="auto"/>
                <w:sz w:val="24"/>
                <w:highlight w:val="none"/>
              </w:rPr>
              <w:t>，本项目</w:t>
            </w:r>
            <w:r>
              <w:rPr>
                <w:rFonts w:hint="eastAsia"/>
                <w:color w:val="auto"/>
                <w:sz w:val="24"/>
                <w:highlight w:val="none"/>
                <w:lang w:eastAsia="zh-CN"/>
              </w:rPr>
              <w:t>排污口下游</w:t>
            </w:r>
            <w:r>
              <w:rPr>
                <w:rFonts w:hint="eastAsia"/>
                <w:color w:val="auto"/>
                <w:sz w:val="24"/>
                <w:highlight w:val="none"/>
                <w:lang w:val="en-US" w:eastAsia="zh-CN"/>
              </w:rPr>
              <w:t>3.0km处为溢水桥监测断面（</w:t>
            </w:r>
            <w:r>
              <w:rPr>
                <w:rFonts w:hint="eastAsia"/>
                <w:color w:val="auto"/>
                <w:sz w:val="24"/>
                <w:highlight w:val="none"/>
              </w:rPr>
              <w:t>本次评价将该断面作为关心断面</w:t>
            </w:r>
            <w:r>
              <w:rPr>
                <w:rFonts w:hint="eastAsia"/>
                <w:color w:val="auto"/>
                <w:sz w:val="24"/>
                <w:highlight w:val="none"/>
                <w:lang w:val="en-US" w:eastAsia="zh-CN"/>
              </w:rPr>
              <w:t>）；根据</w:t>
            </w:r>
            <w:r>
              <w:rPr>
                <w:rFonts w:hint="eastAsia"/>
                <w:color w:val="auto"/>
                <w:sz w:val="24"/>
                <w:highlight w:val="none"/>
                <w:lang w:eastAsia="zh-CN"/>
              </w:rPr>
              <w:t>前文</w:t>
            </w:r>
            <w:r>
              <w:rPr>
                <w:rFonts w:hint="eastAsia"/>
                <w:color w:val="auto"/>
                <w:sz w:val="24"/>
                <w:highlight w:val="none"/>
                <w:lang w:val="en-US" w:eastAsia="zh-CN"/>
              </w:rPr>
              <w:t>预测可知，</w:t>
            </w:r>
            <w:r>
              <w:rPr>
                <w:rFonts w:hint="eastAsia"/>
                <w:color w:val="auto"/>
                <w:sz w:val="24"/>
                <w:highlight w:val="none"/>
              </w:rPr>
              <w:t>枯水期评价区内污水正常排放时，污染物COD在</w:t>
            </w:r>
            <w:r>
              <w:rPr>
                <w:rFonts w:hint="eastAsia"/>
                <w:color w:val="auto"/>
                <w:sz w:val="24"/>
                <w:highlight w:val="none"/>
                <w:lang w:eastAsia="zh-CN"/>
              </w:rPr>
              <w:t>溢水桥处</w:t>
            </w:r>
            <w:r>
              <w:rPr>
                <w:rFonts w:hint="eastAsia"/>
                <w:color w:val="auto"/>
                <w:sz w:val="24"/>
                <w:highlight w:val="none"/>
              </w:rPr>
              <w:t>最大浓度值为</w:t>
            </w:r>
            <w:r>
              <w:rPr>
                <w:rFonts w:hint="eastAsia"/>
                <w:color w:val="auto"/>
                <w:sz w:val="24"/>
                <w:highlight w:val="none"/>
                <w:lang w:val="en-US" w:eastAsia="zh-CN"/>
              </w:rPr>
              <w:t>11.079</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rPr>
              <w:t>NH</w:t>
            </w:r>
            <w:r>
              <w:rPr>
                <w:rFonts w:hint="eastAsia"/>
                <w:color w:val="auto"/>
                <w:sz w:val="24"/>
                <w:highlight w:val="none"/>
                <w:vertAlign w:val="subscript"/>
              </w:rPr>
              <w:t>3</w:t>
            </w:r>
            <w:r>
              <w:rPr>
                <w:rFonts w:hint="eastAsia"/>
                <w:color w:val="auto"/>
                <w:sz w:val="24"/>
                <w:highlight w:val="none"/>
              </w:rPr>
              <w:t>-N最大浓度值为</w:t>
            </w:r>
            <w:r>
              <w:rPr>
                <w:rFonts w:hint="eastAsia"/>
                <w:color w:val="auto"/>
                <w:sz w:val="24"/>
                <w:highlight w:val="none"/>
                <w:lang w:val="en-US" w:eastAsia="zh-CN"/>
              </w:rPr>
              <w:t>0.228</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TP</w:t>
            </w:r>
            <w:r>
              <w:rPr>
                <w:rFonts w:hint="eastAsia"/>
                <w:color w:val="auto"/>
                <w:sz w:val="24"/>
                <w:highlight w:val="none"/>
              </w:rPr>
              <w:t>最大浓度值为</w:t>
            </w:r>
            <w:r>
              <w:rPr>
                <w:rFonts w:hint="eastAsia"/>
                <w:color w:val="auto"/>
                <w:sz w:val="24"/>
                <w:highlight w:val="none"/>
                <w:lang w:val="en-US" w:eastAsia="zh-CN"/>
              </w:rPr>
              <w:t>0.031</w:t>
            </w:r>
            <w:r>
              <w:rPr>
                <w:rFonts w:hint="eastAsia"/>
                <w:color w:val="auto"/>
                <w:sz w:val="24"/>
                <w:highlight w:val="none"/>
              </w:rPr>
              <w:t>mg/L</w:t>
            </w:r>
            <w:r>
              <w:rPr>
                <w:rFonts w:hint="eastAsia"/>
                <w:color w:val="auto"/>
                <w:sz w:val="24"/>
                <w:highlight w:val="none"/>
                <w:lang w:eastAsia="zh-CN"/>
              </w:rPr>
              <w:t>，均</w:t>
            </w:r>
            <w:r>
              <w:rPr>
                <w:rFonts w:hint="eastAsia"/>
                <w:color w:val="auto"/>
                <w:sz w:val="24"/>
                <w:highlight w:val="none"/>
              </w:rPr>
              <w:t>满足《地表水环境质量标准》（GB3838-2002）Ⅱ类标准</w:t>
            </w:r>
            <w:r>
              <w:rPr>
                <w:rFonts w:hint="eastAsia"/>
                <w:color w:val="auto"/>
                <w:sz w:val="24"/>
                <w:highlight w:val="none"/>
                <w:lang w:eastAsia="zh-CN"/>
              </w:rPr>
              <w:t>；此外，</w:t>
            </w:r>
            <w:r>
              <w:rPr>
                <w:rFonts w:hint="eastAsia"/>
                <w:color w:val="auto"/>
                <w:sz w:val="24"/>
                <w:highlight w:val="none"/>
              </w:rPr>
              <w:t>枯水期评价区内污水正常排放时</w:t>
            </w:r>
            <w:r>
              <w:rPr>
                <w:rFonts w:hint="eastAsia"/>
                <w:color w:val="auto"/>
                <w:sz w:val="24"/>
                <w:highlight w:val="none"/>
                <w:lang w:eastAsia="zh-CN"/>
              </w:rPr>
              <w:t>，溢水河入汉江口处</w:t>
            </w:r>
            <w:r>
              <w:rPr>
                <w:rFonts w:hint="eastAsia"/>
                <w:color w:val="auto"/>
                <w:sz w:val="24"/>
                <w:highlight w:val="none"/>
                <w:lang w:val="en-US" w:eastAsia="zh-CN"/>
              </w:rPr>
              <w:t>COD、</w:t>
            </w:r>
            <w:r>
              <w:rPr>
                <w:rFonts w:hint="eastAsia"/>
                <w:color w:val="auto"/>
                <w:sz w:val="24"/>
                <w:highlight w:val="none"/>
              </w:rPr>
              <w:t>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val="en-US" w:eastAsia="zh-CN"/>
              </w:rPr>
              <w:t>和TP同样满足</w:t>
            </w:r>
            <w:r>
              <w:rPr>
                <w:rFonts w:hint="eastAsia"/>
                <w:color w:val="auto"/>
                <w:sz w:val="24"/>
                <w:highlight w:val="none"/>
              </w:rPr>
              <w:t>《地表水环境质量标准》（GB3838-2002）Ⅱ类标准</w:t>
            </w:r>
            <w:r>
              <w:rPr>
                <w:rFonts w:hint="eastAsia"/>
                <w:color w:val="auto"/>
                <w:sz w:val="24"/>
                <w:highlight w:val="none"/>
                <w:lang w:val="en-US" w:eastAsia="zh-CN"/>
              </w:rPr>
              <w:t>。整体而言，</w:t>
            </w:r>
            <w:r>
              <w:rPr>
                <w:rFonts w:hint="eastAsia"/>
                <w:color w:val="auto"/>
                <w:sz w:val="24"/>
                <w:highlight w:val="none"/>
                <w:lang w:eastAsia="zh-CN"/>
              </w:rPr>
              <w:t>枯水期内</w:t>
            </w:r>
            <w:r>
              <w:rPr>
                <w:rFonts w:hint="eastAsia"/>
                <w:color w:val="auto"/>
                <w:sz w:val="24"/>
                <w:highlight w:val="none"/>
              </w:rPr>
              <w:t>污水</w:t>
            </w:r>
            <w:r>
              <w:rPr>
                <w:rFonts w:hint="eastAsia"/>
                <w:color w:val="auto"/>
                <w:sz w:val="24"/>
                <w:highlight w:val="none"/>
                <w:lang w:eastAsia="zh-CN"/>
              </w:rPr>
              <w:t>正常</w:t>
            </w:r>
            <w:r>
              <w:rPr>
                <w:rFonts w:hint="eastAsia"/>
                <w:color w:val="auto"/>
                <w:sz w:val="24"/>
                <w:highlight w:val="none"/>
              </w:rPr>
              <w:t>排放对</w:t>
            </w:r>
            <w:r>
              <w:rPr>
                <w:rFonts w:hint="eastAsia"/>
                <w:color w:val="auto"/>
                <w:sz w:val="24"/>
                <w:highlight w:val="none"/>
                <w:lang w:eastAsia="zh-CN"/>
              </w:rPr>
              <w:t>溢水</w:t>
            </w:r>
            <w:r>
              <w:rPr>
                <w:rFonts w:hint="eastAsia"/>
                <w:color w:val="auto"/>
                <w:sz w:val="24"/>
                <w:highlight w:val="none"/>
              </w:rPr>
              <w:t>河</w:t>
            </w:r>
            <w:r>
              <w:rPr>
                <w:rFonts w:hint="eastAsia"/>
                <w:color w:val="auto"/>
                <w:sz w:val="24"/>
                <w:highlight w:val="none"/>
                <w:lang w:eastAsia="zh-CN"/>
              </w:rPr>
              <w:t>和汉江</w:t>
            </w:r>
            <w:r>
              <w:rPr>
                <w:rFonts w:hint="eastAsia"/>
                <w:color w:val="auto"/>
                <w:sz w:val="24"/>
                <w:highlight w:val="none"/>
              </w:rPr>
              <w:t>的影响程度较小</w:t>
            </w:r>
            <w:r>
              <w:rPr>
                <w:rFonts w:hint="eastAsia"/>
                <w:color w:val="auto"/>
                <w:sz w:val="24"/>
                <w:highlight w:val="none"/>
                <w:lang w:eastAsia="zh-CN"/>
              </w:rPr>
              <w:t>。</w:t>
            </w:r>
            <w:r>
              <w:rPr>
                <w:rFonts w:hint="eastAsia"/>
                <w:color w:val="auto"/>
                <w:sz w:val="24"/>
                <w:highlight w:val="none"/>
              </w:rPr>
              <w:t>枯水期污水处理厂非正常排放时，污染物COD</w:t>
            </w:r>
            <w:r>
              <w:rPr>
                <w:rFonts w:hint="eastAsia"/>
                <w:color w:val="auto"/>
                <w:sz w:val="24"/>
                <w:highlight w:val="none"/>
                <w:lang w:eastAsia="zh-CN"/>
              </w:rPr>
              <w:t>和</w:t>
            </w:r>
            <w:r>
              <w:rPr>
                <w:rFonts w:hint="eastAsia"/>
                <w:color w:val="auto"/>
                <w:sz w:val="24"/>
                <w:highlight w:val="none"/>
                <w:lang w:val="en-US" w:eastAsia="zh-CN"/>
              </w:rPr>
              <w:t>TP</w:t>
            </w:r>
            <w:r>
              <w:rPr>
                <w:rFonts w:hint="eastAsia"/>
                <w:color w:val="auto"/>
                <w:sz w:val="24"/>
                <w:highlight w:val="none"/>
                <w:lang w:eastAsia="zh-CN"/>
              </w:rPr>
              <w:t>在排污口下游约</w:t>
            </w:r>
            <w:r>
              <w:rPr>
                <w:rFonts w:hint="eastAsia"/>
                <w:color w:val="auto"/>
                <w:sz w:val="24"/>
                <w:highlight w:val="none"/>
                <w:lang w:val="en-US" w:eastAsia="zh-CN"/>
              </w:rPr>
              <w:t>50m范围内、</w:t>
            </w:r>
            <w:r>
              <w:rPr>
                <w:rFonts w:hint="eastAsia"/>
                <w:color w:val="auto"/>
                <w:sz w:val="24"/>
                <w:highlight w:val="none"/>
              </w:rPr>
              <w:t>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eastAsia="zh-CN"/>
              </w:rPr>
              <w:t>在排污口下游约</w:t>
            </w:r>
            <w:r>
              <w:rPr>
                <w:rFonts w:hint="eastAsia"/>
                <w:color w:val="auto"/>
                <w:sz w:val="24"/>
                <w:highlight w:val="none"/>
                <w:lang w:val="en-US" w:eastAsia="zh-CN"/>
              </w:rPr>
              <w:t>200m范围内均出现不同程度超标，排污口下游200m至4.2km段未出现超标（含溢水桥监测断面处），均</w:t>
            </w:r>
            <w:r>
              <w:rPr>
                <w:rFonts w:hint="eastAsia"/>
                <w:color w:val="auto"/>
                <w:sz w:val="24"/>
                <w:highlight w:val="none"/>
              </w:rPr>
              <w:t>满足《地表水环境质量标准》（GB3838-2002）Ⅱ类标准要求</w:t>
            </w:r>
            <w:r>
              <w:rPr>
                <w:rFonts w:hint="eastAsia"/>
                <w:color w:val="auto"/>
                <w:sz w:val="24"/>
                <w:highlight w:val="none"/>
                <w:lang w:eastAsia="zh-CN"/>
              </w:rPr>
              <w:t>。</w:t>
            </w:r>
            <w:r>
              <w:rPr>
                <w:color w:val="auto"/>
                <w:sz w:val="24"/>
                <w:highlight w:val="none"/>
              </w:rPr>
              <w:t>因此应杜绝超标废水直接外排的现象发生，避免对纳污水体造成不良影响。</w:t>
            </w:r>
            <w:r>
              <w:rPr>
                <w:rFonts w:hint="eastAsia"/>
                <w:color w:val="auto"/>
                <w:sz w:val="24"/>
                <w:highlight w:val="none"/>
                <w:lang w:eastAsia="zh-CN"/>
              </w:rPr>
              <w:t>（详见地表水专项评价）</w:t>
            </w:r>
          </w:p>
          <w:p w14:paraId="4987C7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default" w:ascii="Times New Roman" w:hAnsi="Times New Roman" w:cs="Times New Roman"/>
                <w:b/>
                <w:bCs/>
                <w:color w:val="auto"/>
                <w:sz w:val="24"/>
                <w:szCs w:val="24"/>
                <w:highlight w:val="none"/>
                <w:lang w:val="en-US" w:eastAsia="zh-CN"/>
              </w:rPr>
              <w:t>噪声</w:t>
            </w:r>
          </w:p>
          <w:p w14:paraId="1EA9DC88">
            <w:pPr>
              <w:widowControl/>
              <w:spacing w:line="360" w:lineRule="auto"/>
              <w:ind w:firstLine="482" w:firstLineChars="200"/>
              <w:rPr>
                <w:b/>
                <w:bCs/>
                <w:color w:val="auto"/>
                <w:sz w:val="24"/>
                <w:highlight w:val="none"/>
              </w:rPr>
            </w:pPr>
            <w:r>
              <w:rPr>
                <w:rFonts w:hint="eastAsia"/>
                <w:b/>
                <w:bCs/>
                <w:color w:val="auto"/>
                <w:sz w:val="24"/>
                <w:highlight w:val="none"/>
              </w:rPr>
              <w:t>1、噪声源强</w:t>
            </w:r>
          </w:p>
          <w:p w14:paraId="65392FB8">
            <w:pPr>
              <w:widowControl/>
              <w:spacing w:line="360" w:lineRule="auto"/>
              <w:ind w:firstLine="480" w:firstLineChars="200"/>
              <w:rPr>
                <w:color w:val="auto"/>
                <w:sz w:val="24"/>
                <w:highlight w:val="none"/>
              </w:rPr>
            </w:pPr>
            <w:r>
              <w:rPr>
                <w:rFonts w:hint="eastAsia"/>
                <w:color w:val="auto"/>
                <w:sz w:val="24"/>
                <w:highlight w:val="none"/>
              </w:rPr>
              <w:t>本</w:t>
            </w:r>
            <w:r>
              <w:rPr>
                <w:rFonts w:hint="eastAsia"/>
                <w:color w:val="auto"/>
                <w:sz w:val="24"/>
                <w:highlight w:val="none"/>
                <w:lang w:eastAsia="zh-CN"/>
              </w:rPr>
              <w:t>项目</w:t>
            </w:r>
            <w:r>
              <w:rPr>
                <w:rFonts w:hint="eastAsia"/>
                <w:color w:val="auto"/>
                <w:sz w:val="24"/>
                <w:highlight w:val="none"/>
              </w:rPr>
              <w:t>运行过程中噪声主要</w:t>
            </w:r>
            <w:r>
              <w:rPr>
                <w:rFonts w:hint="eastAsia"/>
                <w:color w:val="auto"/>
                <w:sz w:val="24"/>
                <w:highlight w:val="none"/>
                <w:lang w:eastAsia="zh-CN"/>
              </w:rPr>
              <w:t>来源于</w:t>
            </w:r>
            <w:r>
              <w:rPr>
                <w:rFonts w:hint="default" w:ascii="Times New Roman" w:hAnsi="Times New Roman" w:eastAsia="宋体" w:cs="Times New Roman"/>
                <w:color w:val="auto"/>
                <w:sz w:val="24"/>
                <w:highlight w:val="none"/>
                <w:lang w:eastAsia="zh-CN" w:bidi="ar"/>
              </w:rPr>
              <w:t>各类泵机、风机等设备</w:t>
            </w:r>
            <w:r>
              <w:rPr>
                <w:rFonts w:hint="eastAsia"/>
                <w:color w:val="auto"/>
                <w:sz w:val="24"/>
                <w:highlight w:val="none"/>
              </w:rPr>
              <w:t>。根据类比分析，这些设备在不采取隔声减振措施的前提下声源强度在</w:t>
            </w:r>
            <w:r>
              <w:rPr>
                <w:rFonts w:hint="eastAsia"/>
                <w:color w:val="auto"/>
                <w:sz w:val="24"/>
                <w:highlight w:val="none"/>
                <w:lang w:val="en-US" w:eastAsia="zh-CN"/>
              </w:rPr>
              <w:t>80</w:t>
            </w:r>
            <w:r>
              <w:rPr>
                <w:rFonts w:hint="eastAsia"/>
                <w:color w:val="auto"/>
                <w:sz w:val="24"/>
                <w:highlight w:val="none"/>
              </w:rPr>
              <w:t>～</w:t>
            </w:r>
            <w:r>
              <w:rPr>
                <w:rFonts w:hint="eastAsia"/>
                <w:color w:val="auto"/>
                <w:sz w:val="24"/>
                <w:highlight w:val="none"/>
                <w:lang w:val="en-US" w:eastAsia="zh-CN"/>
              </w:rPr>
              <w:t>90</w:t>
            </w:r>
            <w:r>
              <w:rPr>
                <w:rFonts w:hint="eastAsia"/>
                <w:color w:val="auto"/>
                <w:sz w:val="24"/>
                <w:highlight w:val="none"/>
              </w:rPr>
              <w:t>dB（A）之间</w:t>
            </w:r>
            <w:r>
              <w:rPr>
                <w:rFonts w:hint="eastAsia"/>
                <w:color w:val="auto"/>
                <w:sz w:val="24"/>
                <w:highlight w:val="none"/>
                <w:lang w:eastAsia="zh-CN"/>
              </w:rPr>
              <w:t>。</w:t>
            </w:r>
            <w:r>
              <w:rPr>
                <w:color w:val="auto"/>
                <w:sz w:val="24"/>
                <w:highlight w:val="none"/>
              </w:rPr>
              <w:t>各主要噪声源、声压级及治理措施具体见表4-</w:t>
            </w:r>
            <w:r>
              <w:rPr>
                <w:rFonts w:hint="eastAsia"/>
                <w:color w:val="auto"/>
                <w:sz w:val="24"/>
                <w:highlight w:val="none"/>
                <w:lang w:val="en-US" w:eastAsia="zh-CN"/>
              </w:rPr>
              <w:t>9</w:t>
            </w:r>
            <w:r>
              <w:rPr>
                <w:color w:val="auto"/>
                <w:sz w:val="24"/>
                <w:highlight w:val="none"/>
              </w:rPr>
              <w:t>。</w:t>
            </w:r>
          </w:p>
          <w:p w14:paraId="36E2D4FE">
            <w:pPr>
              <w:widowControl/>
              <w:jc w:val="center"/>
              <w:rPr>
                <w:b/>
                <w:bCs/>
                <w:color w:val="auto"/>
                <w:szCs w:val="21"/>
                <w:highlight w:val="none"/>
              </w:rPr>
            </w:pPr>
            <w:r>
              <w:rPr>
                <w:rFonts w:hint="eastAsia"/>
                <w:b/>
                <w:bCs/>
                <w:color w:val="auto"/>
                <w:szCs w:val="21"/>
                <w:highlight w:val="none"/>
              </w:rPr>
              <w:t>表</w:t>
            </w:r>
            <w:r>
              <w:rPr>
                <w:b/>
                <w:bCs/>
                <w:color w:val="auto"/>
                <w:szCs w:val="21"/>
                <w:highlight w:val="none"/>
              </w:rPr>
              <w:t>4-</w:t>
            </w:r>
            <w:r>
              <w:rPr>
                <w:rFonts w:hint="eastAsia"/>
                <w:b/>
                <w:bCs/>
                <w:color w:val="auto"/>
                <w:szCs w:val="21"/>
                <w:highlight w:val="none"/>
                <w:lang w:val="en-US" w:eastAsia="zh-CN"/>
              </w:rPr>
              <w:t>9</w:t>
            </w:r>
            <w:r>
              <w:rPr>
                <w:b/>
                <w:bCs/>
                <w:color w:val="auto"/>
                <w:szCs w:val="21"/>
                <w:highlight w:val="none"/>
              </w:rPr>
              <w:t xml:space="preserve">  </w:t>
            </w:r>
            <w:r>
              <w:rPr>
                <w:rFonts w:hint="eastAsia"/>
                <w:b/>
                <w:bCs/>
                <w:color w:val="auto"/>
                <w:szCs w:val="21"/>
                <w:highlight w:val="none"/>
              </w:rPr>
              <w:t>各设备噪声声级一览表   单位：</w:t>
            </w:r>
            <w:r>
              <w:rPr>
                <w:b/>
                <w:bCs/>
                <w:color w:val="auto"/>
                <w:szCs w:val="21"/>
                <w:highlight w:val="none"/>
              </w:rPr>
              <w:t>dB(A)</w:t>
            </w:r>
          </w:p>
          <w:tbl>
            <w:tblPr>
              <w:tblStyle w:val="31"/>
              <w:tblW w:w="80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900"/>
              <w:gridCol w:w="750"/>
              <w:gridCol w:w="1273"/>
              <w:gridCol w:w="720"/>
              <w:gridCol w:w="1773"/>
              <w:gridCol w:w="1100"/>
            </w:tblGrid>
            <w:tr w14:paraId="16C4E9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750B0CC8">
                  <w:pPr>
                    <w:snapToGrid w:val="0"/>
                    <w:spacing w:before="72" w:beforeLines="30" w:after="72" w:afterLines="30"/>
                    <w:jc w:val="center"/>
                    <w:rPr>
                      <w:color w:val="auto"/>
                      <w:highlight w:val="none"/>
                    </w:rPr>
                  </w:pPr>
                  <w:r>
                    <w:rPr>
                      <w:rFonts w:hint="eastAsia" w:cs="宋体"/>
                      <w:color w:val="auto"/>
                      <w:szCs w:val="21"/>
                      <w:highlight w:val="none"/>
                    </w:rPr>
                    <w:t>序号</w:t>
                  </w:r>
                </w:p>
              </w:tc>
              <w:tc>
                <w:tcPr>
                  <w:tcW w:w="1900" w:type="dxa"/>
                  <w:tcBorders>
                    <w:tl2br w:val="nil"/>
                    <w:tr2bl w:val="nil"/>
                  </w:tcBorders>
                  <w:vAlign w:val="center"/>
                </w:tcPr>
                <w:p w14:paraId="09A2EE0D">
                  <w:pPr>
                    <w:snapToGrid w:val="0"/>
                    <w:spacing w:before="72" w:beforeLines="30" w:after="72" w:afterLines="30"/>
                    <w:jc w:val="center"/>
                    <w:rPr>
                      <w:color w:val="auto"/>
                      <w:highlight w:val="none"/>
                    </w:rPr>
                  </w:pPr>
                  <w:r>
                    <w:rPr>
                      <w:rFonts w:hint="eastAsia" w:cs="宋体"/>
                      <w:color w:val="auto"/>
                      <w:szCs w:val="21"/>
                      <w:highlight w:val="none"/>
                    </w:rPr>
                    <w:t>噪声源</w:t>
                  </w:r>
                </w:p>
              </w:tc>
              <w:tc>
                <w:tcPr>
                  <w:tcW w:w="750" w:type="dxa"/>
                  <w:tcBorders>
                    <w:tl2br w:val="nil"/>
                    <w:tr2bl w:val="nil"/>
                  </w:tcBorders>
                  <w:vAlign w:val="center"/>
                </w:tcPr>
                <w:p w14:paraId="0ACDAE19">
                  <w:pPr>
                    <w:snapToGrid w:val="0"/>
                    <w:spacing w:before="72" w:beforeLines="30" w:after="72" w:afterLines="30"/>
                    <w:jc w:val="center"/>
                    <w:rPr>
                      <w:color w:val="auto"/>
                      <w:highlight w:val="none"/>
                    </w:rPr>
                  </w:pPr>
                  <w:r>
                    <w:rPr>
                      <w:rFonts w:hint="eastAsia" w:cs="宋体"/>
                      <w:color w:val="auto"/>
                      <w:szCs w:val="21"/>
                      <w:highlight w:val="none"/>
                    </w:rPr>
                    <w:t>数量</w:t>
                  </w:r>
                </w:p>
              </w:tc>
              <w:tc>
                <w:tcPr>
                  <w:tcW w:w="1273" w:type="dxa"/>
                  <w:tcBorders>
                    <w:tl2br w:val="nil"/>
                    <w:tr2bl w:val="nil"/>
                  </w:tcBorders>
                  <w:vAlign w:val="center"/>
                </w:tcPr>
                <w:p w14:paraId="361B2BD1">
                  <w:pPr>
                    <w:snapToGrid w:val="0"/>
                    <w:spacing w:before="72" w:beforeLines="30" w:after="72" w:afterLines="30" w:line="240" w:lineRule="auto"/>
                    <w:jc w:val="center"/>
                    <w:rPr>
                      <w:color w:val="auto"/>
                      <w:highlight w:val="none"/>
                    </w:rPr>
                  </w:pPr>
                  <w:r>
                    <w:rPr>
                      <w:rFonts w:hint="eastAsia" w:cs="宋体"/>
                      <w:color w:val="auto"/>
                      <w:szCs w:val="21"/>
                      <w:highlight w:val="none"/>
                    </w:rPr>
                    <w:t>产生源强</w:t>
                  </w:r>
                </w:p>
              </w:tc>
              <w:tc>
                <w:tcPr>
                  <w:tcW w:w="720" w:type="dxa"/>
                  <w:tcBorders>
                    <w:tl2br w:val="nil"/>
                    <w:tr2bl w:val="nil"/>
                  </w:tcBorders>
                  <w:vAlign w:val="center"/>
                </w:tcPr>
                <w:p w14:paraId="5655BBD0">
                  <w:pPr>
                    <w:snapToGrid w:val="0"/>
                    <w:spacing w:before="72" w:beforeLines="30" w:after="72" w:afterLines="30"/>
                    <w:jc w:val="center"/>
                    <w:rPr>
                      <w:rFonts w:ascii="宋体" w:hAnsi="宋体" w:cs="宋体"/>
                      <w:color w:val="auto"/>
                      <w:highlight w:val="none"/>
                    </w:rPr>
                  </w:pPr>
                  <w:r>
                    <w:rPr>
                      <w:rFonts w:hint="eastAsia" w:ascii="宋体" w:hAnsi="宋体" w:cs="宋体"/>
                      <w:color w:val="auto"/>
                      <w:szCs w:val="21"/>
                      <w:highlight w:val="none"/>
                    </w:rPr>
                    <w:t>类型</w:t>
                  </w:r>
                </w:p>
              </w:tc>
              <w:tc>
                <w:tcPr>
                  <w:tcW w:w="1773" w:type="dxa"/>
                  <w:tcBorders>
                    <w:tl2br w:val="nil"/>
                    <w:tr2bl w:val="nil"/>
                  </w:tcBorders>
                  <w:vAlign w:val="center"/>
                </w:tcPr>
                <w:p w14:paraId="72F554C5">
                  <w:pPr>
                    <w:snapToGrid w:val="0"/>
                    <w:spacing w:before="72" w:beforeLines="30" w:after="72" w:afterLines="30"/>
                    <w:jc w:val="center"/>
                    <w:rPr>
                      <w:rFonts w:ascii="宋体" w:hAnsi="宋体" w:cs="宋体"/>
                      <w:color w:val="auto"/>
                      <w:highlight w:val="none"/>
                    </w:rPr>
                  </w:pPr>
                  <w:r>
                    <w:rPr>
                      <w:rFonts w:hint="eastAsia" w:cs="宋体"/>
                      <w:color w:val="auto"/>
                      <w:szCs w:val="21"/>
                      <w:highlight w:val="none"/>
                    </w:rPr>
                    <w:t>治理措施</w:t>
                  </w:r>
                </w:p>
              </w:tc>
              <w:tc>
                <w:tcPr>
                  <w:tcW w:w="1100" w:type="dxa"/>
                  <w:tcBorders>
                    <w:tl2br w:val="nil"/>
                    <w:tr2bl w:val="nil"/>
                  </w:tcBorders>
                  <w:vAlign w:val="center"/>
                </w:tcPr>
                <w:p w14:paraId="12804F34">
                  <w:pPr>
                    <w:snapToGrid w:val="0"/>
                    <w:spacing w:before="72" w:beforeLines="30" w:after="72" w:afterLines="30"/>
                    <w:jc w:val="center"/>
                    <w:rPr>
                      <w:rFonts w:ascii="宋体" w:hAnsi="宋体" w:cs="宋体"/>
                      <w:color w:val="auto"/>
                      <w:highlight w:val="none"/>
                    </w:rPr>
                  </w:pPr>
                  <w:r>
                    <w:rPr>
                      <w:rFonts w:hint="eastAsia" w:ascii="宋体" w:hAnsi="宋体" w:cs="宋体"/>
                      <w:color w:val="auto"/>
                      <w:szCs w:val="21"/>
                      <w:highlight w:val="none"/>
                    </w:rPr>
                    <w:t>排放源强</w:t>
                  </w:r>
                </w:p>
              </w:tc>
            </w:tr>
            <w:tr w14:paraId="4FD203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4D3106E1">
                  <w:pPr>
                    <w:jc w:val="center"/>
                    <w:rPr>
                      <w:color w:val="auto"/>
                      <w:spacing w:val="-1"/>
                      <w:highlight w:val="none"/>
                    </w:rPr>
                  </w:pPr>
                  <w:r>
                    <w:rPr>
                      <w:color w:val="auto"/>
                      <w:spacing w:val="-1"/>
                      <w:szCs w:val="21"/>
                      <w:highlight w:val="none"/>
                    </w:rPr>
                    <w:t>1</w:t>
                  </w:r>
                </w:p>
              </w:tc>
              <w:tc>
                <w:tcPr>
                  <w:tcW w:w="1900" w:type="dxa"/>
                  <w:tcBorders>
                    <w:tl2br w:val="nil"/>
                    <w:tr2bl w:val="nil"/>
                  </w:tcBorders>
                  <w:vAlign w:val="center"/>
                </w:tcPr>
                <w:p w14:paraId="2E836703">
                  <w:pPr>
                    <w:snapToGrid w:val="0"/>
                    <w:jc w:val="center"/>
                    <w:rPr>
                      <w:color w:val="auto"/>
                      <w:spacing w:val="-1"/>
                      <w:szCs w:val="21"/>
                      <w:highlight w:val="none"/>
                    </w:rPr>
                  </w:pPr>
                  <w:r>
                    <w:rPr>
                      <w:color w:val="auto"/>
                      <w:spacing w:val="7"/>
                      <w:highlight w:val="none"/>
                    </w:rPr>
                    <w:t>潜污泵</w:t>
                  </w:r>
                </w:p>
              </w:tc>
              <w:tc>
                <w:tcPr>
                  <w:tcW w:w="750" w:type="dxa"/>
                  <w:tcBorders>
                    <w:tl2br w:val="nil"/>
                    <w:tr2bl w:val="nil"/>
                  </w:tcBorders>
                  <w:vAlign w:val="center"/>
                </w:tcPr>
                <w:p w14:paraId="48EDA5C9">
                  <w:pPr>
                    <w:widowControl/>
                    <w:jc w:val="center"/>
                    <w:textAlignment w:val="center"/>
                    <w:rPr>
                      <w:rFonts w:hint="default" w:eastAsia="宋体"/>
                      <w:color w:val="auto"/>
                      <w:spacing w:val="-1"/>
                      <w:highlight w:val="none"/>
                      <w:lang w:val="en-US" w:eastAsia="zh-CN"/>
                    </w:rPr>
                  </w:pPr>
                  <w:r>
                    <w:rPr>
                      <w:rFonts w:hint="eastAsia"/>
                      <w:color w:val="auto"/>
                      <w:szCs w:val="21"/>
                      <w:highlight w:val="none"/>
                      <w:lang w:val="en-US" w:eastAsia="zh-CN"/>
                    </w:rPr>
                    <w:t>12</w:t>
                  </w:r>
                </w:p>
              </w:tc>
              <w:tc>
                <w:tcPr>
                  <w:tcW w:w="1273" w:type="dxa"/>
                  <w:tcBorders>
                    <w:tl2br w:val="nil"/>
                    <w:tr2bl w:val="nil"/>
                  </w:tcBorders>
                  <w:vAlign w:val="center"/>
                </w:tcPr>
                <w:p w14:paraId="76EAC3DC">
                  <w:pPr>
                    <w:jc w:val="center"/>
                    <w:rPr>
                      <w:rFonts w:hint="default" w:eastAsia="宋体"/>
                      <w:color w:val="auto"/>
                      <w:highlight w:val="none"/>
                      <w:lang w:val="en-US" w:eastAsia="zh-CN"/>
                    </w:rPr>
                  </w:pPr>
                  <w:r>
                    <w:rPr>
                      <w:rFonts w:hint="eastAsia"/>
                      <w:color w:val="auto"/>
                      <w:szCs w:val="21"/>
                      <w:highlight w:val="none"/>
                      <w:lang w:val="en-US" w:eastAsia="zh-CN"/>
                    </w:rPr>
                    <w:t>85</w:t>
                  </w:r>
                </w:p>
              </w:tc>
              <w:tc>
                <w:tcPr>
                  <w:tcW w:w="720" w:type="dxa"/>
                  <w:tcBorders>
                    <w:tl2br w:val="nil"/>
                    <w:tr2bl w:val="nil"/>
                  </w:tcBorders>
                  <w:vAlign w:val="center"/>
                </w:tcPr>
                <w:p w14:paraId="700B02DF">
                  <w:pPr>
                    <w:jc w:val="center"/>
                    <w:rPr>
                      <w:color w:val="auto"/>
                      <w:highlight w:val="none"/>
                    </w:rPr>
                  </w:pPr>
                  <w:r>
                    <w:rPr>
                      <w:rFonts w:hint="eastAsia"/>
                      <w:color w:val="auto"/>
                      <w:highlight w:val="none"/>
                    </w:rPr>
                    <w:t>稳态</w:t>
                  </w:r>
                </w:p>
              </w:tc>
              <w:tc>
                <w:tcPr>
                  <w:tcW w:w="1773" w:type="dxa"/>
                  <w:vMerge w:val="restart"/>
                  <w:tcBorders>
                    <w:tl2br w:val="nil"/>
                    <w:tr2bl w:val="nil"/>
                  </w:tcBorders>
                  <w:vAlign w:val="center"/>
                </w:tcPr>
                <w:p w14:paraId="42726637">
                  <w:pPr>
                    <w:rPr>
                      <w:color w:val="auto"/>
                      <w:highlight w:val="none"/>
                    </w:rPr>
                  </w:pPr>
                  <w:r>
                    <w:rPr>
                      <w:rFonts w:hint="eastAsia" w:ascii="宋体" w:hAnsi="宋体" w:cs="宋体"/>
                      <w:color w:val="auto"/>
                      <w:szCs w:val="21"/>
                      <w:highlight w:val="none"/>
                    </w:rPr>
                    <w:t>选用</w:t>
                  </w:r>
                  <w:r>
                    <w:rPr>
                      <w:rFonts w:hint="eastAsia" w:cs="宋体"/>
                      <w:color w:val="auto"/>
                      <w:szCs w:val="21"/>
                      <w:highlight w:val="none"/>
                    </w:rPr>
                    <w:t>低噪声设备，</w:t>
                  </w:r>
                  <w:r>
                    <w:rPr>
                      <w:rFonts w:hint="eastAsia" w:ascii="宋体" w:hAnsi="宋体" w:cs="宋体"/>
                      <w:color w:val="auto"/>
                      <w:szCs w:val="21"/>
                      <w:highlight w:val="none"/>
                    </w:rPr>
                    <w:t>合理布局；设置减振垫、厂房</w:t>
                  </w:r>
                  <w:r>
                    <w:rPr>
                      <w:rFonts w:hint="eastAsia" w:ascii="宋体" w:hAnsi="宋体" w:cs="宋体"/>
                      <w:color w:val="auto"/>
                      <w:szCs w:val="21"/>
                      <w:highlight w:val="none"/>
                      <w:lang w:eastAsia="zh-CN"/>
                    </w:rPr>
                    <w:t>封闭</w:t>
                  </w:r>
                  <w:r>
                    <w:rPr>
                      <w:rFonts w:hint="eastAsia" w:ascii="宋体" w:hAnsi="宋体" w:cs="宋体"/>
                      <w:color w:val="auto"/>
                      <w:szCs w:val="21"/>
                      <w:highlight w:val="none"/>
                    </w:rPr>
                    <w:t>、</w:t>
                  </w:r>
                  <w:r>
                    <w:rPr>
                      <w:rFonts w:hint="eastAsia" w:cs="宋体"/>
                      <w:color w:val="auto"/>
                      <w:szCs w:val="21"/>
                      <w:highlight w:val="none"/>
                    </w:rPr>
                    <w:t>距离衰减</w:t>
                  </w:r>
                  <w:r>
                    <w:rPr>
                      <w:rFonts w:hint="eastAsia" w:ascii="宋体" w:hAnsi="宋体" w:cs="宋体"/>
                      <w:color w:val="auto"/>
                      <w:szCs w:val="21"/>
                      <w:highlight w:val="none"/>
                    </w:rPr>
                    <w:t>等</w:t>
                  </w:r>
                </w:p>
              </w:tc>
              <w:tc>
                <w:tcPr>
                  <w:tcW w:w="1100" w:type="dxa"/>
                  <w:tcBorders>
                    <w:tl2br w:val="nil"/>
                    <w:tr2bl w:val="nil"/>
                  </w:tcBorders>
                  <w:vAlign w:val="center"/>
                </w:tcPr>
                <w:p w14:paraId="6D7E4F1B">
                  <w:pPr>
                    <w:jc w:val="center"/>
                    <w:rPr>
                      <w:rFonts w:hint="default" w:eastAsia="宋体"/>
                      <w:color w:val="auto"/>
                      <w:highlight w:val="none"/>
                      <w:lang w:val="en-US" w:eastAsia="zh-CN"/>
                    </w:rPr>
                  </w:pPr>
                  <w:r>
                    <w:rPr>
                      <w:color w:val="auto"/>
                      <w:highlight w:val="none"/>
                    </w:rPr>
                    <w:t>＜</w:t>
                  </w:r>
                  <w:r>
                    <w:rPr>
                      <w:rFonts w:hint="eastAsia"/>
                      <w:color w:val="auto"/>
                      <w:highlight w:val="none"/>
                      <w:lang w:val="en-US" w:eastAsia="zh-CN"/>
                    </w:rPr>
                    <w:t>65</w:t>
                  </w:r>
                </w:p>
              </w:tc>
            </w:tr>
            <w:tr w14:paraId="485B2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0DE6CF63">
                  <w:pPr>
                    <w:jc w:val="center"/>
                    <w:rPr>
                      <w:color w:val="auto"/>
                      <w:spacing w:val="-1"/>
                      <w:highlight w:val="none"/>
                    </w:rPr>
                  </w:pPr>
                  <w:r>
                    <w:rPr>
                      <w:color w:val="auto"/>
                      <w:spacing w:val="-1"/>
                      <w:szCs w:val="21"/>
                      <w:highlight w:val="none"/>
                    </w:rPr>
                    <w:t>2</w:t>
                  </w:r>
                </w:p>
              </w:tc>
              <w:tc>
                <w:tcPr>
                  <w:tcW w:w="1900" w:type="dxa"/>
                  <w:tcBorders>
                    <w:tl2br w:val="nil"/>
                    <w:tr2bl w:val="nil"/>
                  </w:tcBorders>
                  <w:vAlign w:val="center"/>
                </w:tcPr>
                <w:p w14:paraId="11718581">
                  <w:pPr>
                    <w:snapToGrid w:val="0"/>
                    <w:jc w:val="center"/>
                    <w:rPr>
                      <w:color w:val="auto"/>
                      <w:spacing w:val="-1"/>
                      <w:szCs w:val="21"/>
                      <w:highlight w:val="none"/>
                    </w:rPr>
                  </w:pPr>
                  <w:r>
                    <w:rPr>
                      <w:color w:val="auto"/>
                      <w:spacing w:val="4"/>
                      <w:highlight w:val="none"/>
                    </w:rPr>
                    <w:t>回转式风机</w:t>
                  </w:r>
                </w:p>
              </w:tc>
              <w:tc>
                <w:tcPr>
                  <w:tcW w:w="750" w:type="dxa"/>
                  <w:tcBorders>
                    <w:tl2br w:val="nil"/>
                    <w:tr2bl w:val="nil"/>
                  </w:tcBorders>
                  <w:vAlign w:val="center"/>
                </w:tcPr>
                <w:p w14:paraId="5A4191F6">
                  <w:pPr>
                    <w:jc w:val="center"/>
                    <w:rPr>
                      <w:color w:val="auto"/>
                      <w:highlight w:val="none"/>
                    </w:rPr>
                  </w:pPr>
                  <w:r>
                    <w:rPr>
                      <w:rFonts w:hint="eastAsia"/>
                      <w:color w:val="auto"/>
                      <w:szCs w:val="21"/>
                      <w:highlight w:val="none"/>
                    </w:rPr>
                    <w:t>1</w:t>
                  </w:r>
                </w:p>
              </w:tc>
              <w:tc>
                <w:tcPr>
                  <w:tcW w:w="1273" w:type="dxa"/>
                  <w:tcBorders>
                    <w:tl2br w:val="nil"/>
                    <w:tr2bl w:val="nil"/>
                  </w:tcBorders>
                  <w:vAlign w:val="center"/>
                </w:tcPr>
                <w:p w14:paraId="6CFD5A08">
                  <w:pPr>
                    <w:jc w:val="center"/>
                    <w:rPr>
                      <w:rFonts w:hint="default" w:eastAsia="宋体"/>
                      <w:color w:val="auto"/>
                      <w:highlight w:val="none"/>
                      <w:lang w:val="en-US" w:eastAsia="zh-CN"/>
                    </w:rPr>
                  </w:pPr>
                  <w:r>
                    <w:rPr>
                      <w:rFonts w:hint="eastAsia"/>
                      <w:color w:val="auto"/>
                      <w:szCs w:val="21"/>
                      <w:highlight w:val="none"/>
                      <w:lang w:val="en-US" w:eastAsia="zh-CN"/>
                    </w:rPr>
                    <w:t>90</w:t>
                  </w:r>
                </w:p>
              </w:tc>
              <w:tc>
                <w:tcPr>
                  <w:tcW w:w="720" w:type="dxa"/>
                  <w:tcBorders>
                    <w:tl2br w:val="nil"/>
                    <w:tr2bl w:val="nil"/>
                  </w:tcBorders>
                  <w:vAlign w:val="center"/>
                </w:tcPr>
                <w:p w14:paraId="5A4E7E13">
                  <w:pPr>
                    <w:jc w:val="center"/>
                    <w:rPr>
                      <w:color w:val="auto"/>
                      <w:highlight w:val="none"/>
                    </w:rPr>
                  </w:pPr>
                  <w:r>
                    <w:rPr>
                      <w:rFonts w:hint="eastAsia"/>
                      <w:color w:val="auto"/>
                      <w:highlight w:val="none"/>
                    </w:rPr>
                    <w:t>稳态</w:t>
                  </w:r>
                </w:p>
              </w:tc>
              <w:tc>
                <w:tcPr>
                  <w:tcW w:w="1773" w:type="dxa"/>
                  <w:vMerge w:val="continue"/>
                  <w:tcBorders>
                    <w:tl2br w:val="nil"/>
                    <w:tr2bl w:val="nil"/>
                  </w:tcBorders>
                </w:tcPr>
                <w:p w14:paraId="594DB583">
                  <w:pPr>
                    <w:rPr>
                      <w:rFonts w:ascii="Calibri" w:hAnsi="Calibri" w:cs="Calibri"/>
                      <w:color w:val="auto"/>
                      <w:szCs w:val="22"/>
                      <w:highlight w:val="none"/>
                    </w:rPr>
                  </w:pPr>
                </w:p>
              </w:tc>
              <w:tc>
                <w:tcPr>
                  <w:tcW w:w="1100" w:type="dxa"/>
                  <w:tcBorders>
                    <w:tl2br w:val="nil"/>
                    <w:tr2bl w:val="nil"/>
                  </w:tcBorders>
                  <w:vAlign w:val="center"/>
                </w:tcPr>
                <w:p w14:paraId="1C2F5BAC">
                  <w:pPr>
                    <w:jc w:val="center"/>
                    <w:rPr>
                      <w:rFonts w:hint="default" w:eastAsia="宋体"/>
                      <w:color w:val="auto"/>
                      <w:highlight w:val="none"/>
                      <w:lang w:val="en-US" w:eastAsia="zh-CN"/>
                    </w:rPr>
                  </w:pPr>
                  <w:r>
                    <w:rPr>
                      <w:color w:val="auto"/>
                      <w:highlight w:val="none"/>
                    </w:rPr>
                    <w:t>＜</w:t>
                  </w:r>
                  <w:r>
                    <w:rPr>
                      <w:rFonts w:hint="eastAsia"/>
                      <w:color w:val="auto"/>
                      <w:highlight w:val="none"/>
                      <w:lang w:val="en-US" w:eastAsia="zh-CN"/>
                    </w:rPr>
                    <w:t>70</w:t>
                  </w:r>
                </w:p>
              </w:tc>
            </w:tr>
            <w:tr w14:paraId="4F0C2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552715D2">
                  <w:pPr>
                    <w:jc w:val="center"/>
                    <w:rPr>
                      <w:color w:val="auto"/>
                      <w:spacing w:val="-1"/>
                      <w:highlight w:val="none"/>
                    </w:rPr>
                  </w:pPr>
                  <w:r>
                    <w:rPr>
                      <w:color w:val="auto"/>
                      <w:spacing w:val="-1"/>
                      <w:szCs w:val="21"/>
                      <w:highlight w:val="none"/>
                    </w:rPr>
                    <w:t>3</w:t>
                  </w:r>
                </w:p>
              </w:tc>
              <w:tc>
                <w:tcPr>
                  <w:tcW w:w="1900" w:type="dxa"/>
                  <w:tcBorders>
                    <w:tl2br w:val="nil"/>
                    <w:tr2bl w:val="nil"/>
                  </w:tcBorders>
                  <w:vAlign w:val="center"/>
                </w:tcPr>
                <w:p w14:paraId="5D0C7D66">
                  <w:pPr>
                    <w:snapToGrid w:val="0"/>
                    <w:jc w:val="center"/>
                    <w:rPr>
                      <w:color w:val="auto"/>
                      <w:spacing w:val="-1"/>
                      <w:szCs w:val="21"/>
                      <w:highlight w:val="none"/>
                    </w:rPr>
                  </w:pPr>
                  <w:r>
                    <w:rPr>
                      <w:color w:val="auto"/>
                      <w:spacing w:val="8"/>
                      <w:highlight w:val="none"/>
                    </w:rPr>
                    <w:t>传动刮泥机</w:t>
                  </w:r>
                </w:p>
              </w:tc>
              <w:tc>
                <w:tcPr>
                  <w:tcW w:w="750" w:type="dxa"/>
                  <w:tcBorders>
                    <w:tl2br w:val="nil"/>
                    <w:tr2bl w:val="nil"/>
                  </w:tcBorders>
                  <w:vAlign w:val="center"/>
                </w:tcPr>
                <w:p w14:paraId="3E13F6BB">
                  <w:pPr>
                    <w:jc w:val="center"/>
                    <w:rPr>
                      <w:rFonts w:hint="eastAsia" w:eastAsia="宋体"/>
                      <w:color w:val="auto"/>
                      <w:highlight w:val="none"/>
                      <w:lang w:eastAsia="zh-CN"/>
                    </w:rPr>
                  </w:pPr>
                  <w:r>
                    <w:rPr>
                      <w:rFonts w:hint="eastAsia"/>
                      <w:color w:val="auto"/>
                      <w:szCs w:val="21"/>
                      <w:highlight w:val="none"/>
                      <w:lang w:val="en-US" w:eastAsia="zh-CN"/>
                    </w:rPr>
                    <w:t>2</w:t>
                  </w:r>
                </w:p>
              </w:tc>
              <w:tc>
                <w:tcPr>
                  <w:tcW w:w="1273" w:type="dxa"/>
                  <w:tcBorders>
                    <w:tl2br w:val="nil"/>
                    <w:tr2bl w:val="nil"/>
                  </w:tcBorders>
                  <w:vAlign w:val="center"/>
                </w:tcPr>
                <w:p w14:paraId="4B614192">
                  <w:pPr>
                    <w:jc w:val="center"/>
                    <w:rPr>
                      <w:rFonts w:hint="default" w:eastAsia="宋体"/>
                      <w:color w:val="auto"/>
                      <w:highlight w:val="none"/>
                      <w:lang w:val="en-US" w:eastAsia="zh-CN"/>
                    </w:rPr>
                  </w:pPr>
                  <w:r>
                    <w:rPr>
                      <w:rFonts w:hint="eastAsia"/>
                      <w:color w:val="auto"/>
                      <w:szCs w:val="21"/>
                      <w:highlight w:val="none"/>
                      <w:lang w:val="en-US" w:eastAsia="zh-CN"/>
                    </w:rPr>
                    <w:t>80</w:t>
                  </w:r>
                </w:p>
              </w:tc>
              <w:tc>
                <w:tcPr>
                  <w:tcW w:w="720" w:type="dxa"/>
                  <w:tcBorders>
                    <w:tl2br w:val="nil"/>
                    <w:tr2bl w:val="nil"/>
                  </w:tcBorders>
                  <w:vAlign w:val="center"/>
                </w:tcPr>
                <w:p w14:paraId="282B2BF1">
                  <w:pPr>
                    <w:jc w:val="center"/>
                    <w:rPr>
                      <w:color w:val="auto"/>
                      <w:highlight w:val="none"/>
                    </w:rPr>
                  </w:pPr>
                  <w:r>
                    <w:rPr>
                      <w:rFonts w:hint="eastAsia"/>
                      <w:color w:val="auto"/>
                      <w:highlight w:val="none"/>
                    </w:rPr>
                    <w:t>稳态</w:t>
                  </w:r>
                </w:p>
              </w:tc>
              <w:tc>
                <w:tcPr>
                  <w:tcW w:w="1773" w:type="dxa"/>
                  <w:vMerge w:val="continue"/>
                  <w:tcBorders>
                    <w:tl2br w:val="nil"/>
                    <w:tr2bl w:val="nil"/>
                  </w:tcBorders>
                </w:tcPr>
                <w:p w14:paraId="4E570799">
                  <w:pPr>
                    <w:rPr>
                      <w:rFonts w:ascii="Calibri" w:hAnsi="Calibri" w:cs="Calibri"/>
                      <w:color w:val="auto"/>
                      <w:szCs w:val="22"/>
                      <w:highlight w:val="none"/>
                    </w:rPr>
                  </w:pPr>
                </w:p>
              </w:tc>
              <w:tc>
                <w:tcPr>
                  <w:tcW w:w="1100" w:type="dxa"/>
                  <w:tcBorders>
                    <w:tl2br w:val="nil"/>
                    <w:tr2bl w:val="nil"/>
                  </w:tcBorders>
                  <w:vAlign w:val="center"/>
                </w:tcPr>
                <w:p w14:paraId="2C877D4F">
                  <w:pPr>
                    <w:jc w:val="center"/>
                    <w:rPr>
                      <w:rFonts w:hint="default" w:eastAsia="宋体"/>
                      <w:color w:val="auto"/>
                      <w:highlight w:val="none"/>
                      <w:lang w:val="en-US" w:eastAsia="zh-CN"/>
                    </w:rPr>
                  </w:pPr>
                  <w:r>
                    <w:rPr>
                      <w:color w:val="auto"/>
                      <w:highlight w:val="none"/>
                    </w:rPr>
                    <w:t>＜</w:t>
                  </w:r>
                  <w:r>
                    <w:rPr>
                      <w:rFonts w:hint="eastAsia"/>
                      <w:color w:val="auto"/>
                      <w:highlight w:val="none"/>
                      <w:lang w:val="en-US" w:eastAsia="zh-CN"/>
                    </w:rPr>
                    <w:t>60</w:t>
                  </w:r>
                </w:p>
              </w:tc>
            </w:tr>
            <w:tr w14:paraId="11FC4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09E871EE">
                  <w:pPr>
                    <w:jc w:val="center"/>
                    <w:rPr>
                      <w:color w:val="auto"/>
                      <w:spacing w:val="-1"/>
                      <w:szCs w:val="21"/>
                      <w:highlight w:val="none"/>
                    </w:rPr>
                  </w:pPr>
                  <w:r>
                    <w:rPr>
                      <w:rFonts w:hint="eastAsia"/>
                      <w:color w:val="auto"/>
                      <w:spacing w:val="-1"/>
                      <w:szCs w:val="21"/>
                      <w:highlight w:val="none"/>
                    </w:rPr>
                    <w:t>4</w:t>
                  </w:r>
                </w:p>
              </w:tc>
              <w:tc>
                <w:tcPr>
                  <w:tcW w:w="1900" w:type="dxa"/>
                  <w:tcBorders>
                    <w:tl2br w:val="nil"/>
                    <w:tr2bl w:val="nil"/>
                  </w:tcBorders>
                  <w:vAlign w:val="center"/>
                </w:tcPr>
                <w:p w14:paraId="7301239C">
                  <w:pPr>
                    <w:snapToGrid w:val="0"/>
                    <w:jc w:val="center"/>
                    <w:rPr>
                      <w:color w:val="auto"/>
                      <w:szCs w:val="21"/>
                      <w:highlight w:val="none"/>
                    </w:rPr>
                  </w:pPr>
                  <w:r>
                    <w:rPr>
                      <w:color w:val="auto"/>
                      <w:spacing w:val="8"/>
                      <w:highlight w:val="none"/>
                    </w:rPr>
                    <w:t>桨叶式搅拌机</w:t>
                  </w:r>
                </w:p>
              </w:tc>
              <w:tc>
                <w:tcPr>
                  <w:tcW w:w="750" w:type="dxa"/>
                  <w:tcBorders>
                    <w:tl2br w:val="nil"/>
                    <w:tr2bl w:val="nil"/>
                  </w:tcBorders>
                  <w:vAlign w:val="center"/>
                </w:tcPr>
                <w:p w14:paraId="0F27200D">
                  <w:pPr>
                    <w:pStyle w:val="28"/>
                    <w:widowControl w:val="0"/>
                    <w:adjustRightInd w:val="0"/>
                    <w:snapToGrid w:val="0"/>
                    <w:spacing w:before="0" w:beforeAutospacing="0" w:after="0" w:afterAutospacing="0"/>
                    <w:jc w:val="center"/>
                    <w:rPr>
                      <w:rFonts w:hint="eastAsia" w:ascii="Times New Roman" w:hAnsi="Times New Roman" w:eastAsia="宋体"/>
                      <w:color w:val="auto"/>
                      <w:kern w:val="2"/>
                      <w:sz w:val="21"/>
                      <w:szCs w:val="21"/>
                      <w:highlight w:val="none"/>
                      <w:lang w:eastAsia="zh-CN"/>
                    </w:rPr>
                  </w:pPr>
                  <w:r>
                    <w:rPr>
                      <w:rFonts w:hint="eastAsia" w:ascii="Times New Roman" w:hAnsi="Times New Roman"/>
                      <w:color w:val="auto"/>
                      <w:kern w:val="2"/>
                      <w:sz w:val="21"/>
                      <w:szCs w:val="21"/>
                      <w:highlight w:val="none"/>
                      <w:lang w:val="en-US" w:eastAsia="zh-CN"/>
                    </w:rPr>
                    <w:t>2</w:t>
                  </w:r>
                </w:p>
              </w:tc>
              <w:tc>
                <w:tcPr>
                  <w:tcW w:w="1273" w:type="dxa"/>
                  <w:tcBorders>
                    <w:tl2br w:val="nil"/>
                    <w:tr2bl w:val="nil"/>
                  </w:tcBorders>
                  <w:vAlign w:val="center"/>
                </w:tcPr>
                <w:p w14:paraId="2FFE035A">
                  <w:pPr>
                    <w:jc w:val="center"/>
                    <w:rPr>
                      <w:rFonts w:hint="eastAsia" w:eastAsia="宋体"/>
                      <w:color w:val="auto"/>
                      <w:szCs w:val="21"/>
                      <w:highlight w:val="none"/>
                      <w:lang w:val="en-US" w:eastAsia="zh-CN"/>
                    </w:rPr>
                  </w:pPr>
                  <w:r>
                    <w:rPr>
                      <w:rFonts w:hint="eastAsia"/>
                      <w:color w:val="auto"/>
                      <w:szCs w:val="21"/>
                      <w:highlight w:val="none"/>
                    </w:rPr>
                    <w:t>8</w:t>
                  </w:r>
                  <w:r>
                    <w:rPr>
                      <w:rFonts w:hint="eastAsia"/>
                      <w:color w:val="auto"/>
                      <w:szCs w:val="21"/>
                      <w:highlight w:val="none"/>
                      <w:lang w:val="en-US" w:eastAsia="zh-CN"/>
                    </w:rPr>
                    <w:t>5</w:t>
                  </w:r>
                </w:p>
              </w:tc>
              <w:tc>
                <w:tcPr>
                  <w:tcW w:w="720" w:type="dxa"/>
                  <w:tcBorders>
                    <w:tl2br w:val="nil"/>
                    <w:tr2bl w:val="nil"/>
                  </w:tcBorders>
                  <w:vAlign w:val="center"/>
                </w:tcPr>
                <w:p w14:paraId="14802F1D">
                  <w:pPr>
                    <w:jc w:val="center"/>
                    <w:rPr>
                      <w:color w:val="auto"/>
                      <w:highlight w:val="none"/>
                    </w:rPr>
                  </w:pPr>
                  <w:r>
                    <w:rPr>
                      <w:rFonts w:hint="eastAsia"/>
                      <w:color w:val="auto"/>
                      <w:highlight w:val="none"/>
                    </w:rPr>
                    <w:t>稳态</w:t>
                  </w:r>
                </w:p>
              </w:tc>
              <w:tc>
                <w:tcPr>
                  <w:tcW w:w="1773" w:type="dxa"/>
                  <w:vMerge w:val="continue"/>
                  <w:tcBorders>
                    <w:tl2br w:val="nil"/>
                    <w:tr2bl w:val="nil"/>
                  </w:tcBorders>
                </w:tcPr>
                <w:p w14:paraId="7DF9D4D5">
                  <w:pPr>
                    <w:rPr>
                      <w:rFonts w:ascii="Calibri" w:hAnsi="Calibri" w:cs="Calibri"/>
                      <w:color w:val="auto"/>
                      <w:szCs w:val="22"/>
                      <w:highlight w:val="none"/>
                    </w:rPr>
                  </w:pPr>
                </w:p>
              </w:tc>
              <w:tc>
                <w:tcPr>
                  <w:tcW w:w="1100" w:type="dxa"/>
                  <w:tcBorders>
                    <w:tl2br w:val="nil"/>
                    <w:tr2bl w:val="nil"/>
                  </w:tcBorders>
                  <w:vAlign w:val="center"/>
                </w:tcPr>
                <w:p w14:paraId="29EC391F">
                  <w:pPr>
                    <w:jc w:val="center"/>
                    <w:rPr>
                      <w:color w:val="auto"/>
                      <w:highlight w:val="none"/>
                    </w:rPr>
                  </w:pPr>
                  <w:r>
                    <w:rPr>
                      <w:color w:val="auto"/>
                      <w:highlight w:val="none"/>
                    </w:rPr>
                    <w:t>＜</w:t>
                  </w:r>
                  <w:r>
                    <w:rPr>
                      <w:rFonts w:hint="eastAsia"/>
                      <w:color w:val="auto"/>
                      <w:highlight w:val="none"/>
                    </w:rPr>
                    <w:t>65</w:t>
                  </w:r>
                </w:p>
              </w:tc>
            </w:tr>
            <w:tr w14:paraId="33AC01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67BA651B">
                  <w:pPr>
                    <w:jc w:val="center"/>
                    <w:rPr>
                      <w:color w:val="auto"/>
                      <w:spacing w:val="-1"/>
                      <w:highlight w:val="none"/>
                    </w:rPr>
                  </w:pPr>
                  <w:r>
                    <w:rPr>
                      <w:rFonts w:hint="eastAsia"/>
                      <w:color w:val="auto"/>
                      <w:spacing w:val="-1"/>
                      <w:szCs w:val="21"/>
                      <w:highlight w:val="none"/>
                    </w:rPr>
                    <w:t>5</w:t>
                  </w:r>
                </w:p>
              </w:tc>
              <w:tc>
                <w:tcPr>
                  <w:tcW w:w="1900" w:type="dxa"/>
                  <w:tcBorders>
                    <w:tl2br w:val="nil"/>
                    <w:tr2bl w:val="nil"/>
                  </w:tcBorders>
                  <w:vAlign w:val="center"/>
                </w:tcPr>
                <w:p w14:paraId="0906D451">
                  <w:pPr>
                    <w:snapToGrid w:val="0"/>
                    <w:jc w:val="center"/>
                    <w:rPr>
                      <w:rFonts w:hint="eastAsia" w:eastAsia="宋体"/>
                      <w:color w:val="auto"/>
                      <w:szCs w:val="21"/>
                      <w:highlight w:val="none"/>
                      <w:lang w:eastAsia="zh-CN"/>
                    </w:rPr>
                  </w:pPr>
                  <w:r>
                    <w:rPr>
                      <w:color w:val="auto"/>
                      <w:spacing w:val="6"/>
                      <w:highlight w:val="none"/>
                    </w:rPr>
                    <w:t>螺杆泵</w:t>
                  </w:r>
                </w:p>
              </w:tc>
              <w:tc>
                <w:tcPr>
                  <w:tcW w:w="750" w:type="dxa"/>
                  <w:tcBorders>
                    <w:tl2br w:val="nil"/>
                    <w:tr2bl w:val="nil"/>
                  </w:tcBorders>
                  <w:vAlign w:val="center"/>
                </w:tcPr>
                <w:p w14:paraId="373152C1">
                  <w:pPr>
                    <w:pStyle w:val="28"/>
                    <w:widowControl w:val="0"/>
                    <w:adjustRightInd w:val="0"/>
                    <w:snapToGrid w:val="0"/>
                    <w:spacing w:before="0" w:beforeAutospacing="0" w:after="0" w:afterAutospacing="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7</w:t>
                  </w:r>
                </w:p>
              </w:tc>
              <w:tc>
                <w:tcPr>
                  <w:tcW w:w="1273" w:type="dxa"/>
                  <w:tcBorders>
                    <w:tl2br w:val="nil"/>
                    <w:tr2bl w:val="nil"/>
                  </w:tcBorders>
                  <w:vAlign w:val="center"/>
                </w:tcPr>
                <w:p w14:paraId="177A04EB">
                  <w:pPr>
                    <w:jc w:val="center"/>
                    <w:rPr>
                      <w:rFonts w:hint="default" w:eastAsia="宋体"/>
                      <w:color w:val="auto"/>
                      <w:highlight w:val="none"/>
                      <w:lang w:val="en-US" w:eastAsia="zh-CN"/>
                    </w:rPr>
                  </w:pPr>
                  <w:r>
                    <w:rPr>
                      <w:rFonts w:hint="eastAsia"/>
                      <w:color w:val="auto"/>
                      <w:szCs w:val="21"/>
                      <w:highlight w:val="none"/>
                      <w:lang w:val="en-US" w:eastAsia="zh-CN"/>
                    </w:rPr>
                    <w:t>85</w:t>
                  </w:r>
                </w:p>
              </w:tc>
              <w:tc>
                <w:tcPr>
                  <w:tcW w:w="720" w:type="dxa"/>
                  <w:tcBorders>
                    <w:tl2br w:val="nil"/>
                    <w:tr2bl w:val="nil"/>
                  </w:tcBorders>
                  <w:vAlign w:val="center"/>
                </w:tcPr>
                <w:p w14:paraId="5D04E128">
                  <w:pPr>
                    <w:jc w:val="center"/>
                    <w:rPr>
                      <w:color w:val="auto"/>
                      <w:highlight w:val="none"/>
                    </w:rPr>
                  </w:pPr>
                  <w:r>
                    <w:rPr>
                      <w:rFonts w:hint="eastAsia"/>
                      <w:color w:val="auto"/>
                      <w:highlight w:val="none"/>
                    </w:rPr>
                    <w:t>稳态</w:t>
                  </w:r>
                </w:p>
              </w:tc>
              <w:tc>
                <w:tcPr>
                  <w:tcW w:w="1773" w:type="dxa"/>
                  <w:vMerge w:val="continue"/>
                  <w:tcBorders>
                    <w:tl2br w:val="nil"/>
                    <w:tr2bl w:val="nil"/>
                  </w:tcBorders>
                </w:tcPr>
                <w:p w14:paraId="29F1B9BC">
                  <w:pPr>
                    <w:rPr>
                      <w:rFonts w:ascii="Calibri" w:hAnsi="Calibri" w:cs="Calibri"/>
                      <w:color w:val="auto"/>
                      <w:szCs w:val="22"/>
                      <w:highlight w:val="none"/>
                    </w:rPr>
                  </w:pPr>
                </w:p>
              </w:tc>
              <w:tc>
                <w:tcPr>
                  <w:tcW w:w="1100" w:type="dxa"/>
                  <w:tcBorders>
                    <w:tl2br w:val="nil"/>
                    <w:tr2bl w:val="nil"/>
                  </w:tcBorders>
                  <w:vAlign w:val="center"/>
                </w:tcPr>
                <w:p w14:paraId="7A61DDD9">
                  <w:pPr>
                    <w:jc w:val="center"/>
                    <w:rPr>
                      <w:rFonts w:hint="eastAsia" w:eastAsia="宋体"/>
                      <w:color w:val="auto"/>
                      <w:highlight w:val="none"/>
                      <w:lang w:eastAsia="zh-CN"/>
                    </w:rPr>
                  </w:pPr>
                  <w:r>
                    <w:rPr>
                      <w:color w:val="auto"/>
                      <w:highlight w:val="none"/>
                    </w:rPr>
                    <w:t>＜</w:t>
                  </w:r>
                  <w:r>
                    <w:rPr>
                      <w:rFonts w:hint="eastAsia"/>
                      <w:color w:val="auto"/>
                      <w:highlight w:val="none"/>
                    </w:rPr>
                    <w:t>6</w:t>
                  </w:r>
                  <w:r>
                    <w:rPr>
                      <w:rFonts w:hint="eastAsia"/>
                      <w:color w:val="auto"/>
                      <w:highlight w:val="none"/>
                      <w:lang w:val="en-US" w:eastAsia="zh-CN"/>
                    </w:rPr>
                    <w:t>5</w:t>
                  </w:r>
                </w:p>
              </w:tc>
            </w:tr>
            <w:tr w14:paraId="16BDE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04E3069B">
                  <w:pPr>
                    <w:jc w:val="center"/>
                    <w:rPr>
                      <w:rFonts w:hint="eastAsia" w:eastAsia="宋体"/>
                      <w:color w:val="auto"/>
                      <w:spacing w:val="-1"/>
                      <w:szCs w:val="21"/>
                      <w:highlight w:val="none"/>
                      <w:lang w:val="en-US" w:eastAsia="zh-CN"/>
                    </w:rPr>
                  </w:pPr>
                  <w:r>
                    <w:rPr>
                      <w:rFonts w:hint="eastAsia"/>
                      <w:color w:val="auto"/>
                      <w:spacing w:val="-1"/>
                      <w:szCs w:val="21"/>
                      <w:highlight w:val="none"/>
                      <w:lang w:val="en-US" w:eastAsia="zh-CN"/>
                    </w:rPr>
                    <w:t>6</w:t>
                  </w:r>
                </w:p>
              </w:tc>
              <w:tc>
                <w:tcPr>
                  <w:tcW w:w="1900" w:type="dxa"/>
                  <w:tcBorders>
                    <w:tl2br w:val="nil"/>
                    <w:tr2bl w:val="nil"/>
                  </w:tcBorders>
                  <w:vAlign w:val="center"/>
                </w:tcPr>
                <w:p w14:paraId="30EF10BC">
                  <w:pPr>
                    <w:snapToGrid w:val="0"/>
                    <w:jc w:val="center"/>
                    <w:rPr>
                      <w:color w:val="auto"/>
                      <w:spacing w:val="6"/>
                      <w:highlight w:val="none"/>
                    </w:rPr>
                  </w:pPr>
                  <w:r>
                    <w:rPr>
                      <w:color w:val="auto"/>
                      <w:spacing w:val="6"/>
                      <w:highlight w:val="none"/>
                    </w:rPr>
                    <w:t>真空泵</w:t>
                  </w:r>
                </w:p>
              </w:tc>
              <w:tc>
                <w:tcPr>
                  <w:tcW w:w="750" w:type="dxa"/>
                  <w:tcBorders>
                    <w:tl2br w:val="nil"/>
                    <w:tr2bl w:val="nil"/>
                  </w:tcBorders>
                  <w:vAlign w:val="center"/>
                </w:tcPr>
                <w:p w14:paraId="3BB56715">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1</w:t>
                  </w:r>
                </w:p>
              </w:tc>
              <w:tc>
                <w:tcPr>
                  <w:tcW w:w="1273" w:type="dxa"/>
                  <w:tcBorders>
                    <w:tl2br w:val="nil"/>
                    <w:tr2bl w:val="nil"/>
                  </w:tcBorders>
                  <w:vAlign w:val="center"/>
                </w:tcPr>
                <w:p w14:paraId="28E88CFE">
                  <w:pPr>
                    <w:jc w:val="center"/>
                    <w:rPr>
                      <w:rFonts w:hint="default"/>
                      <w:color w:val="auto"/>
                      <w:szCs w:val="21"/>
                      <w:highlight w:val="none"/>
                      <w:lang w:val="en-US" w:eastAsia="zh-CN"/>
                    </w:rPr>
                  </w:pPr>
                  <w:r>
                    <w:rPr>
                      <w:rFonts w:hint="eastAsia"/>
                      <w:color w:val="auto"/>
                      <w:szCs w:val="21"/>
                      <w:highlight w:val="none"/>
                      <w:lang w:val="en-US" w:eastAsia="zh-CN"/>
                    </w:rPr>
                    <w:t>85</w:t>
                  </w:r>
                </w:p>
              </w:tc>
              <w:tc>
                <w:tcPr>
                  <w:tcW w:w="720" w:type="dxa"/>
                  <w:tcBorders>
                    <w:tl2br w:val="nil"/>
                    <w:tr2bl w:val="nil"/>
                  </w:tcBorders>
                  <w:vAlign w:val="center"/>
                </w:tcPr>
                <w:p w14:paraId="0CED4BEF">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646D4E0B">
                  <w:pPr>
                    <w:rPr>
                      <w:rFonts w:ascii="Calibri" w:hAnsi="Calibri" w:cs="Calibri"/>
                      <w:color w:val="auto"/>
                      <w:szCs w:val="22"/>
                      <w:highlight w:val="none"/>
                    </w:rPr>
                  </w:pPr>
                </w:p>
              </w:tc>
              <w:tc>
                <w:tcPr>
                  <w:tcW w:w="1100" w:type="dxa"/>
                  <w:tcBorders>
                    <w:tl2br w:val="nil"/>
                    <w:tr2bl w:val="nil"/>
                  </w:tcBorders>
                  <w:vAlign w:val="center"/>
                </w:tcPr>
                <w:p w14:paraId="64D396CF">
                  <w:pPr>
                    <w:jc w:val="center"/>
                    <w:rPr>
                      <w:color w:val="auto"/>
                      <w:highlight w:val="none"/>
                    </w:rPr>
                  </w:pPr>
                  <w:r>
                    <w:rPr>
                      <w:color w:val="auto"/>
                      <w:highlight w:val="none"/>
                    </w:rPr>
                    <w:t>＜</w:t>
                  </w:r>
                  <w:r>
                    <w:rPr>
                      <w:rFonts w:hint="eastAsia"/>
                      <w:color w:val="auto"/>
                      <w:highlight w:val="none"/>
                    </w:rPr>
                    <w:t>6</w:t>
                  </w:r>
                  <w:r>
                    <w:rPr>
                      <w:rFonts w:hint="eastAsia"/>
                      <w:color w:val="auto"/>
                      <w:highlight w:val="none"/>
                      <w:lang w:val="en-US" w:eastAsia="zh-CN"/>
                    </w:rPr>
                    <w:t>5</w:t>
                  </w:r>
                </w:p>
              </w:tc>
            </w:tr>
            <w:tr w14:paraId="7EB57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2078C068">
                  <w:pPr>
                    <w:jc w:val="center"/>
                    <w:rPr>
                      <w:rFonts w:hint="eastAsia" w:eastAsia="宋体"/>
                      <w:color w:val="auto"/>
                      <w:spacing w:val="-1"/>
                      <w:szCs w:val="21"/>
                      <w:highlight w:val="none"/>
                      <w:lang w:val="en-US" w:eastAsia="zh-CN"/>
                    </w:rPr>
                  </w:pPr>
                  <w:r>
                    <w:rPr>
                      <w:rFonts w:hint="eastAsia"/>
                      <w:color w:val="auto"/>
                      <w:spacing w:val="-1"/>
                      <w:szCs w:val="21"/>
                      <w:highlight w:val="none"/>
                      <w:lang w:val="en-US" w:eastAsia="zh-CN"/>
                    </w:rPr>
                    <w:t>7</w:t>
                  </w:r>
                </w:p>
              </w:tc>
              <w:tc>
                <w:tcPr>
                  <w:tcW w:w="1900" w:type="dxa"/>
                  <w:tcBorders>
                    <w:tl2br w:val="nil"/>
                    <w:tr2bl w:val="nil"/>
                  </w:tcBorders>
                  <w:vAlign w:val="center"/>
                </w:tcPr>
                <w:p w14:paraId="19001984">
                  <w:pPr>
                    <w:snapToGrid w:val="0"/>
                    <w:jc w:val="center"/>
                    <w:rPr>
                      <w:color w:val="auto"/>
                      <w:spacing w:val="6"/>
                      <w:highlight w:val="none"/>
                    </w:rPr>
                  </w:pPr>
                  <w:r>
                    <w:rPr>
                      <w:color w:val="auto"/>
                      <w:spacing w:val="7"/>
                      <w:highlight w:val="none"/>
                    </w:rPr>
                    <w:t>叠螺浓缩机</w:t>
                  </w:r>
                </w:p>
              </w:tc>
              <w:tc>
                <w:tcPr>
                  <w:tcW w:w="750" w:type="dxa"/>
                  <w:tcBorders>
                    <w:tl2br w:val="nil"/>
                    <w:tr2bl w:val="nil"/>
                  </w:tcBorders>
                  <w:vAlign w:val="center"/>
                </w:tcPr>
                <w:p w14:paraId="1C918E45">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1</w:t>
                  </w:r>
                </w:p>
              </w:tc>
              <w:tc>
                <w:tcPr>
                  <w:tcW w:w="1273" w:type="dxa"/>
                  <w:tcBorders>
                    <w:tl2br w:val="nil"/>
                    <w:tr2bl w:val="nil"/>
                  </w:tcBorders>
                  <w:vAlign w:val="center"/>
                </w:tcPr>
                <w:p w14:paraId="56B6C6F4">
                  <w:pPr>
                    <w:jc w:val="center"/>
                    <w:rPr>
                      <w:rFonts w:hint="default"/>
                      <w:color w:val="auto"/>
                      <w:szCs w:val="21"/>
                      <w:highlight w:val="none"/>
                      <w:lang w:val="en-US" w:eastAsia="zh-CN"/>
                    </w:rPr>
                  </w:pPr>
                  <w:r>
                    <w:rPr>
                      <w:rFonts w:hint="eastAsia"/>
                      <w:color w:val="auto"/>
                      <w:szCs w:val="21"/>
                      <w:highlight w:val="none"/>
                      <w:lang w:val="en-US" w:eastAsia="zh-CN"/>
                    </w:rPr>
                    <w:t>85</w:t>
                  </w:r>
                </w:p>
              </w:tc>
              <w:tc>
                <w:tcPr>
                  <w:tcW w:w="720" w:type="dxa"/>
                  <w:tcBorders>
                    <w:tl2br w:val="nil"/>
                    <w:tr2bl w:val="nil"/>
                  </w:tcBorders>
                  <w:vAlign w:val="center"/>
                </w:tcPr>
                <w:p w14:paraId="3D0E1E0F">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5D5A4372">
                  <w:pPr>
                    <w:rPr>
                      <w:rFonts w:ascii="Calibri" w:hAnsi="Calibri" w:cs="Calibri"/>
                      <w:color w:val="auto"/>
                      <w:szCs w:val="22"/>
                      <w:highlight w:val="none"/>
                    </w:rPr>
                  </w:pPr>
                </w:p>
              </w:tc>
              <w:tc>
                <w:tcPr>
                  <w:tcW w:w="1100" w:type="dxa"/>
                  <w:tcBorders>
                    <w:tl2br w:val="nil"/>
                    <w:tr2bl w:val="nil"/>
                  </w:tcBorders>
                  <w:vAlign w:val="center"/>
                </w:tcPr>
                <w:p w14:paraId="4CDBE58E">
                  <w:pPr>
                    <w:jc w:val="center"/>
                    <w:rPr>
                      <w:color w:val="auto"/>
                      <w:highlight w:val="none"/>
                    </w:rPr>
                  </w:pPr>
                  <w:r>
                    <w:rPr>
                      <w:color w:val="auto"/>
                      <w:highlight w:val="none"/>
                    </w:rPr>
                    <w:t>＜</w:t>
                  </w:r>
                  <w:r>
                    <w:rPr>
                      <w:rFonts w:hint="eastAsia"/>
                      <w:color w:val="auto"/>
                      <w:highlight w:val="none"/>
                    </w:rPr>
                    <w:t>6</w:t>
                  </w:r>
                  <w:r>
                    <w:rPr>
                      <w:rFonts w:hint="eastAsia"/>
                      <w:color w:val="auto"/>
                      <w:highlight w:val="none"/>
                      <w:lang w:val="en-US" w:eastAsia="zh-CN"/>
                    </w:rPr>
                    <w:t>5</w:t>
                  </w:r>
                </w:p>
              </w:tc>
            </w:tr>
            <w:tr w14:paraId="7AE1F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1B5EE60C">
                  <w:pPr>
                    <w:jc w:val="center"/>
                    <w:rPr>
                      <w:rFonts w:hint="eastAsia" w:eastAsia="宋体"/>
                      <w:color w:val="auto"/>
                      <w:spacing w:val="-1"/>
                      <w:szCs w:val="21"/>
                      <w:highlight w:val="none"/>
                      <w:lang w:val="en-US" w:eastAsia="zh-CN"/>
                    </w:rPr>
                  </w:pPr>
                  <w:r>
                    <w:rPr>
                      <w:rFonts w:hint="eastAsia"/>
                      <w:color w:val="auto"/>
                      <w:spacing w:val="-1"/>
                      <w:szCs w:val="21"/>
                      <w:highlight w:val="none"/>
                      <w:lang w:val="en-US" w:eastAsia="zh-CN"/>
                    </w:rPr>
                    <w:t>8</w:t>
                  </w:r>
                </w:p>
              </w:tc>
              <w:tc>
                <w:tcPr>
                  <w:tcW w:w="1900" w:type="dxa"/>
                  <w:tcBorders>
                    <w:tl2br w:val="nil"/>
                    <w:tr2bl w:val="nil"/>
                  </w:tcBorders>
                  <w:vAlign w:val="center"/>
                </w:tcPr>
                <w:p w14:paraId="3BEDA2B6">
                  <w:pPr>
                    <w:snapToGrid w:val="0"/>
                    <w:jc w:val="center"/>
                    <w:rPr>
                      <w:color w:val="auto"/>
                      <w:spacing w:val="7"/>
                      <w:highlight w:val="none"/>
                    </w:rPr>
                  </w:pPr>
                  <w:r>
                    <w:rPr>
                      <w:color w:val="auto"/>
                      <w:spacing w:val="8"/>
                      <w:highlight w:val="none"/>
                    </w:rPr>
                    <w:t>立式多级离心泵</w:t>
                  </w:r>
                </w:p>
              </w:tc>
              <w:tc>
                <w:tcPr>
                  <w:tcW w:w="750" w:type="dxa"/>
                  <w:tcBorders>
                    <w:tl2br w:val="nil"/>
                    <w:tr2bl w:val="nil"/>
                  </w:tcBorders>
                  <w:vAlign w:val="center"/>
                </w:tcPr>
                <w:p w14:paraId="0BB2CF59">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2</w:t>
                  </w:r>
                </w:p>
              </w:tc>
              <w:tc>
                <w:tcPr>
                  <w:tcW w:w="1273" w:type="dxa"/>
                  <w:tcBorders>
                    <w:tl2br w:val="nil"/>
                    <w:tr2bl w:val="nil"/>
                  </w:tcBorders>
                  <w:vAlign w:val="center"/>
                </w:tcPr>
                <w:p w14:paraId="2DA149DF">
                  <w:pPr>
                    <w:jc w:val="center"/>
                    <w:rPr>
                      <w:rFonts w:hint="default"/>
                      <w:color w:val="auto"/>
                      <w:szCs w:val="21"/>
                      <w:highlight w:val="none"/>
                      <w:lang w:val="en-US" w:eastAsia="zh-CN"/>
                    </w:rPr>
                  </w:pPr>
                  <w:r>
                    <w:rPr>
                      <w:rFonts w:hint="eastAsia"/>
                      <w:color w:val="auto"/>
                      <w:szCs w:val="21"/>
                      <w:highlight w:val="none"/>
                      <w:lang w:val="en-US" w:eastAsia="zh-CN"/>
                    </w:rPr>
                    <w:t>85</w:t>
                  </w:r>
                </w:p>
              </w:tc>
              <w:tc>
                <w:tcPr>
                  <w:tcW w:w="720" w:type="dxa"/>
                  <w:tcBorders>
                    <w:tl2br w:val="nil"/>
                    <w:tr2bl w:val="nil"/>
                  </w:tcBorders>
                  <w:vAlign w:val="center"/>
                </w:tcPr>
                <w:p w14:paraId="6B63C6BE">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1A0C8B38">
                  <w:pPr>
                    <w:rPr>
                      <w:rFonts w:ascii="Calibri" w:hAnsi="Calibri" w:cs="Calibri"/>
                      <w:color w:val="auto"/>
                      <w:szCs w:val="22"/>
                      <w:highlight w:val="none"/>
                    </w:rPr>
                  </w:pPr>
                </w:p>
              </w:tc>
              <w:tc>
                <w:tcPr>
                  <w:tcW w:w="1100" w:type="dxa"/>
                  <w:tcBorders>
                    <w:tl2br w:val="nil"/>
                    <w:tr2bl w:val="nil"/>
                  </w:tcBorders>
                  <w:vAlign w:val="center"/>
                </w:tcPr>
                <w:p w14:paraId="1E66720E">
                  <w:pPr>
                    <w:jc w:val="center"/>
                    <w:rPr>
                      <w:color w:val="auto"/>
                      <w:highlight w:val="none"/>
                    </w:rPr>
                  </w:pPr>
                  <w:r>
                    <w:rPr>
                      <w:color w:val="auto"/>
                      <w:highlight w:val="none"/>
                    </w:rPr>
                    <w:t>＜</w:t>
                  </w:r>
                  <w:r>
                    <w:rPr>
                      <w:rFonts w:hint="eastAsia"/>
                      <w:color w:val="auto"/>
                      <w:highlight w:val="none"/>
                    </w:rPr>
                    <w:t>6</w:t>
                  </w:r>
                  <w:r>
                    <w:rPr>
                      <w:rFonts w:hint="eastAsia"/>
                      <w:color w:val="auto"/>
                      <w:highlight w:val="none"/>
                      <w:lang w:val="en-US" w:eastAsia="zh-CN"/>
                    </w:rPr>
                    <w:t>5</w:t>
                  </w:r>
                </w:p>
              </w:tc>
            </w:tr>
            <w:tr w14:paraId="67CFBA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6332A251">
                  <w:pPr>
                    <w:jc w:val="center"/>
                    <w:rPr>
                      <w:rFonts w:hint="eastAsia" w:eastAsia="宋体"/>
                      <w:color w:val="auto"/>
                      <w:spacing w:val="-1"/>
                      <w:szCs w:val="21"/>
                      <w:highlight w:val="none"/>
                      <w:lang w:val="en-US" w:eastAsia="zh-CN"/>
                    </w:rPr>
                  </w:pPr>
                  <w:r>
                    <w:rPr>
                      <w:rFonts w:hint="eastAsia"/>
                      <w:color w:val="auto"/>
                      <w:spacing w:val="-1"/>
                      <w:szCs w:val="21"/>
                      <w:highlight w:val="none"/>
                      <w:lang w:val="en-US" w:eastAsia="zh-CN"/>
                    </w:rPr>
                    <w:t>9</w:t>
                  </w:r>
                </w:p>
              </w:tc>
              <w:tc>
                <w:tcPr>
                  <w:tcW w:w="1900" w:type="dxa"/>
                  <w:tcBorders>
                    <w:tl2br w:val="nil"/>
                    <w:tr2bl w:val="nil"/>
                  </w:tcBorders>
                  <w:vAlign w:val="center"/>
                </w:tcPr>
                <w:p w14:paraId="5F6F7BB4">
                  <w:pPr>
                    <w:snapToGrid w:val="0"/>
                    <w:jc w:val="center"/>
                    <w:rPr>
                      <w:color w:val="auto"/>
                      <w:spacing w:val="7"/>
                      <w:highlight w:val="none"/>
                    </w:rPr>
                  </w:pPr>
                  <w:r>
                    <w:rPr>
                      <w:color w:val="auto"/>
                      <w:spacing w:val="7"/>
                      <w:highlight w:val="none"/>
                    </w:rPr>
                    <w:t>螺杆空压机</w:t>
                  </w:r>
                </w:p>
              </w:tc>
              <w:tc>
                <w:tcPr>
                  <w:tcW w:w="750" w:type="dxa"/>
                  <w:tcBorders>
                    <w:tl2br w:val="nil"/>
                    <w:tr2bl w:val="nil"/>
                  </w:tcBorders>
                  <w:vAlign w:val="center"/>
                </w:tcPr>
                <w:p w14:paraId="1AB1B8D5">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1</w:t>
                  </w:r>
                </w:p>
              </w:tc>
              <w:tc>
                <w:tcPr>
                  <w:tcW w:w="1273" w:type="dxa"/>
                  <w:tcBorders>
                    <w:tl2br w:val="nil"/>
                    <w:tr2bl w:val="nil"/>
                  </w:tcBorders>
                  <w:vAlign w:val="center"/>
                </w:tcPr>
                <w:p w14:paraId="17D71D0F">
                  <w:pPr>
                    <w:jc w:val="center"/>
                    <w:rPr>
                      <w:rFonts w:hint="default"/>
                      <w:color w:val="auto"/>
                      <w:szCs w:val="21"/>
                      <w:highlight w:val="none"/>
                      <w:lang w:val="en-US" w:eastAsia="zh-CN"/>
                    </w:rPr>
                  </w:pPr>
                  <w:r>
                    <w:rPr>
                      <w:rFonts w:hint="eastAsia"/>
                      <w:color w:val="auto"/>
                      <w:szCs w:val="21"/>
                      <w:highlight w:val="none"/>
                      <w:lang w:val="en-US" w:eastAsia="zh-CN"/>
                    </w:rPr>
                    <w:t>90</w:t>
                  </w:r>
                </w:p>
              </w:tc>
              <w:tc>
                <w:tcPr>
                  <w:tcW w:w="720" w:type="dxa"/>
                  <w:tcBorders>
                    <w:tl2br w:val="nil"/>
                    <w:tr2bl w:val="nil"/>
                  </w:tcBorders>
                  <w:vAlign w:val="center"/>
                </w:tcPr>
                <w:p w14:paraId="20276E43">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2F638E14">
                  <w:pPr>
                    <w:rPr>
                      <w:rFonts w:ascii="Calibri" w:hAnsi="Calibri" w:cs="Calibri"/>
                      <w:color w:val="auto"/>
                      <w:szCs w:val="22"/>
                      <w:highlight w:val="none"/>
                    </w:rPr>
                  </w:pPr>
                </w:p>
              </w:tc>
              <w:tc>
                <w:tcPr>
                  <w:tcW w:w="1100" w:type="dxa"/>
                  <w:tcBorders>
                    <w:tl2br w:val="nil"/>
                    <w:tr2bl w:val="nil"/>
                  </w:tcBorders>
                  <w:vAlign w:val="center"/>
                </w:tcPr>
                <w:p w14:paraId="0A7F9AE2">
                  <w:pPr>
                    <w:jc w:val="center"/>
                    <w:rPr>
                      <w:rFonts w:hint="default" w:eastAsia="宋体"/>
                      <w:color w:val="auto"/>
                      <w:highlight w:val="none"/>
                      <w:lang w:val="en-US" w:eastAsia="zh-CN"/>
                    </w:rPr>
                  </w:pPr>
                  <w:r>
                    <w:rPr>
                      <w:color w:val="auto"/>
                      <w:highlight w:val="none"/>
                    </w:rPr>
                    <w:t>＜</w:t>
                  </w:r>
                  <w:r>
                    <w:rPr>
                      <w:rFonts w:hint="eastAsia"/>
                      <w:color w:val="auto"/>
                      <w:highlight w:val="none"/>
                      <w:lang w:val="en-US" w:eastAsia="zh-CN"/>
                    </w:rPr>
                    <w:t>70</w:t>
                  </w:r>
                </w:p>
              </w:tc>
            </w:tr>
            <w:tr w14:paraId="116AF4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3099415C">
                  <w:pPr>
                    <w:jc w:val="center"/>
                    <w:rPr>
                      <w:rFonts w:hint="default" w:eastAsia="宋体"/>
                      <w:color w:val="auto"/>
                      <w:spacing w:val="-1"/>
                      <w:szCs w:val="21"/>
                      <w:highlight w:val="none"/>
                      <w:lang w:val="en-US" w:eastAsia="zh-CN"/>
                    </w:rPr>
                  </w:pPr>
                  <w:r>
                    <w:rPr>
                      <w:rFonts w:hint="eastAsia"/>
                      <w:color w:val="auto"/>
                      <w:spacing w:val="-1"/>
                      <w:szCs w:val="21"/>
                      <w:highlight w:val="none"/>
                      <w:lang w:val="en-US" w:eastAsia="zh-CN"/>
                    </w:rPr>
                    <w:t>10</w:t>
                  </w:r>
                </w:p>
              </w:tc>
              <w:tc>
                <w:tcPr>
                  <w:tcW w:w="1900" w:type="dxa"/>
                  <w:tcBorders>
                    <w:tl2br w:val="nil"/>
                    <w:tr2bl w:val="nil"/>
                  </w:tcBorders>
                  <w:vAlign w:val="center"/>
                </w:tcPr>
                <w:p w14:paraId="4B8E78B2">
                  <w:pPr>
                    <w:snapToGrid w:val="0"/>
                    <w:jc w:val="center"/>
                    <w:rPr>
                      <w:color w:val="auto"/>
                      <w:spacing w:val="7"/>
                      <w:highlight w:val="none"/>
                    </w:rPr>
                  </w:pPr>
                  <w:r>
                    <w:rPr>
                      <w:color w:val="auto"/>
                      <w:spacing w:val="6"/>
                      <w:highlight w:val="none"/>
                    </w:rPr>
                    <w:t>化工泵</w:t>
                  </w:r>
                </w:p>
              </w:tc>
              <w:tc>
                <w:tcPr>
                  <w:tcW w:w="750" w:type="dxa"/>
                  <w:tcBorders>
                    <w:tl2br w:val="nil"/>
                    <w:tr2bl w:val="nil"/>
                  </w:tcBorders>
                  <w:vAlign w:val="center"/>
                </w:tcPr>
                <w:p w14:paraId="1608442C">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3</w:t>
                  </w:r>
                </w:p>
              </w:tc>
              <w:tc>
                <w:tcPr>
                  <w:tcW w:w="1273" w:type="dxa"/>
                  <w:tcBorders>
                    <w:tl2br w:val="nil"/>
                    <w:tr2bl w:val="nil"/>
                  </w:tcBorders>
                  <w:vAlign w:val="center"/>
                </w:tcPr>
                <w:p w14:paraId="50C0224C">
                  <w:pPr>
                    <w:jc w:val="center"/>
                    <w:rPr>
                      <w:rFonts w:hint="default"/>
                      <w:color w:val="auto"/>
                      <w:szCs w:val="21"/>
                      <w:highlight w:val="none"/>
                      <w:lang w:val="en-US" w:eastAsia="zh-CN"/>
                    </w:rPr>
                  </w:pPr>
                  <w:r>
                    <w:rPr>
                      <w:rFonts w:hint="eastAsia"/>
                      <w:color w:val="auto"/>
                      <w:szCs w:val="21"/>
                      <w:highlight w:val="none"/>
                      <w:lang w:val="en-US" w:eastAsia="zh-CN"/>
                    </w:rPr>
                    <w:t>85</w:t>
                  </w:r>
                </w:p>
              </w:tc>
              <w:tc>
                <w:tcPr>
                  <w:tcW w:w="720" w:type="dxa"/>
                  <w:tcBorders>
                    <w:tl2br w:val="nil"/>
                    <w:tr2bl w:val="nil"/>
                  </w:tcBorders>
                  <w:vAlign w:val="center"/>
                </w:tcPr>
                <w:p w14:paraId="36F9D2DC">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7219A589">
                  <w:pPr>
                    <w:rPr>
                      <w:rFonts w:ascii="Calibri" w:hAnsi="Calibri" w:cs="Calibri"/>
                      <w:color w:val="auto"/>
                      <w:szCs w:val="22"/>
                      <w:highlight w:val="none"/>
                    </w:rPr>
                  </w:pPr>
                </w:p>
              </w:tc>
              <w:tc>
                <w:tcPr>
                  <w:tcW w:w="1100" w:type="dxa"/>
                  <w:tcBorders>
                    <w:tl2br w:val="nil"/>
                    <w:tr2bl w:val="nil"/>
                  </w:tcBorders>
                  <w:vAlign w:val="center"/>
                </w:tcPr>
                <w:p w14:paraId="5DA73D6C">
                  <w:pPr>
                    <w:jc w:val="center"/>
                    <w:rPr>
                      <w:color w:val="auto"/>
                      <w:highlight w:val="none"/>
                    </w:rPr>
                  </w:pPr>
                  <w:r>
                    <w:rPr>
                      <w:color w:val="auto"/>
                      <w:highlight w:val="none"/>
                    </w:rPr>
                    <w:t>＜</w:t>
                  </w:r>
                  <w:r>
                    <w:rPr>
                      <w:rFonts w:hint="eastAsia"/>
                      <w:color w:val="auto"/>
                      <w:highlight w:val="none"/>
                    </w:rPr>
                    <w:t>6</w:t>
                  </w:r>
                  <w:r>
                    <w:rPr>
                      <w:rFonts w:hint="eastAsia"/>
                      <w:color w:val="auto"/>
                      <w:highlight w:val="none"/>
                      <w:lang w:val="en-US" w:eastAsia="zh-CN"/>
                    </w:rPr>
                    <w:t>5</w:t>
                  </w:r>
                </w:p>
              </w:tc>
            </w:tr>
            <w:tr w14:paraId="5074A9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72BF218B">
                  <w:pPr>
                    <w:jc w:val="center"/>
                    <w:rPr>
                      <w:rFonts w:hint="default" w:eastAsia="宋体"/>
                      <w:color w:val="auto"/>
                      <w:spacing w:val="-1"/>
                      <w:szCs w:val="21"/>
                      <w:highlight w:val="none"/>
                      <w:lang w:val="en-US" w:eastAsia="zh-CN"/>
                    </w:rPr>
                  </w:pPr>
                  <w:r>
                    <w:rPr>
                      <w:rFonts w:hint="eastAsia"/>
                      <w:color w:val="auto"/>
                      <w:spacing w:val="-1"/>
                      <w:szCs w:val="21"/>
                      <w:highlight w:val="none"/>
                      <w:lang w:val="en-US" w:eastAsia="zh-CN"/>
                    </w:rPr>
                    <w:t>11</w:t>
                  </w:r>
                </w:p>
              </w:tc>
              <w:tc>
                <w:tcPr>
                  <w:tcW w:w="1900" w:type="dxa"/>
                  <w:tcBorders>
                    <w:tl2br w:val="nil"/>
                    <w:tr2bl w:val="nil"/>
                  </w:tcBorders>
                  <w:vAlign w:val="center"/>
                </w:tcPr>
                <w:p w14:paraId="480A4122">
                  <w:pPr>
                    <w:snapToGrid w:val="0"/>
                    <w:jc w:val="center"/>
                    <w:rPr>
                      <w:color w:val="auto"/>
                      <w:spacing w:val="7"/>
                      <w:highlight w:val="none"/>
                    </w:rPr>
                  </w:pPr>
                  <w:r>
                    <w:rPr>
                      <w:color w:val="auto"/>
                      <w:spacing w:val="7"/>
                      <w:highlight w:val="none"/>
                    </w:rPr>
                    <w:t>轴流风机</w:t>
                  </w:r>
                </w:p>
              </w:tc>
              <w:tc>
                <w:tcPr>
                  <w:tcW w:w="750" w:type="dxa"/>
                  <w:tcBorders>
                    <w:tl2br w:val="nil"/>
                    <w:tr2bl w:val="nil"/>
                  </w:tcBorders>
                  <w:vAlign w:val="center"/>
                </w:tcPr>
                <w:p w14:paraId="61F28D94">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4</w:t>
                  </w:r>
                </w:p>
              </w:tc>
              <w:tc>
                <w:tcPr>
                  <w:tcW w:w="1273" w:type="dxa"/>
                  <w:tcBorders>
                    <w:tl2br w:val="nil"/>
                    <w:tr2bl w:val="nil"/>
                  </w:tcBorders>
                  <w:vAlign w:val="center"/>
                </w:tcPr>
                <w:p w14:paraId="6DC94348">
                  <w:pPr>
                    <w:jc w:val="center"/>
                    <w:rPr>
                      <w:rFonts w:hint="default"/>
                      <w:color w:val="auto"/>
                      <w:szCs w:val="21"/>
                      <w:highlight w:val="none"/>
                      <w:lang w:val="en-US" w:eastAsia="zh-CN"/>
                    </w:rPr>
                  </w:pPr>
                  <w:r>
                    <w:rPr>
                      <w:rFonts w:hint="eastAsia"/>
                      <w:color w:val="auto"/>
                      <w:szCs w:val="21"/>
                      <w:highlight w:val="none"/>
                      <w:lang w:val="en-US" w:eastAsia="zh-CN"/>
                    </w:rPr>
                    <w:t>90</w:t>
                  </w:r>
                </w:p>
              </w:tc>
              <w:tc>
                <w:tcPr>
                  <w:tcW w:w="720" w:type="dxa"/>
                  <w:tcBorders>
                    <w:tl2br w:val="nil"/>
                    <w:tr2bl w:val="nil"/>
                  </w:tcBorders>
                  <w:vAlign w:val="center"/>
                </w:tcPr>
                <w:p w14:paraId="6B62718C">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56F4C487">
                  <w:pPr>
                    <w:rPr>
                      <w:rFonts w:ascii="Calibri" w:hAnsi="Calibri" w:cs="Calibri"/>
                      <w:color w:val="auto"/>
                      <w:szCs w:val="22"/>
                      <w:highlight w:val="none"/>
                    </w:rPr>
                  </w:pPr>
                </w:p>
              </w:tc>
              <w:tc>
                <w:tcPr>
                  <w:tcW w:w="1100" w:type="dxa"/>
                  <w:tcBorders>
                    <w:tl2br w:val="nil"/>
                    <w:tr2bl w:val="nil"/>
                  </w:tcBorders>
                  <w:vAlign w:val="center"/>
                </w:tcPr>
                <w:p w14:paraId="7A011776">
                  <w:pPr>
                    <w:jc w:val="center"/>
                    <w:rPr>
                      <w:rFonts w:hint="default" w:eastAsia="宋体"/>
                      <w:color w:val="auto"/>
                      <w:highlight w:val="none"/>
                      <w:lang w:val="en-US" w:eastAsia="zh-CN"/>
                    </w:rPr>
                  </w:pPr>
                  <w:r>
                    <w:rPr>
                      <w:color w:val="auto"/>
                      <w:highlight w:val="none"/>
                    </w:rPr>
                    <w:t>＜</w:t>
                  </w:r>
                  <w:r>
                    <w:rPr>
                      <w:rFonts w:hint="eastAsia"/>
                      <w:color w:val="auto"/>
                      <w:highlight w:val="none"/>
                      <w:lang w:val="en-US" w:eastAsia="zh-CN"/>
                    </w:rPr>
                    <w:t>70</w:t>
                  </w:r>
                </w:p>
              </w:tc>
            </w:tr>
            <w:tr w14:paraId="3BBD7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27DBB9D3">
                  <w:pPr>
                    <w:jc w:val="center"/>
                    <w:rPr>
                      <w:rFonts w:hint="default" w:eastAsia="宋体"/>
                      <w:color w:val="auto"/>
                      <w:spacing w:val="-1"/>
                      <w:szCs w:val="21"/>
                      <w:highlight w:val="none"/>
                      <w:lang w:val="en-US" w:eastAsia="zh-CN"/>
                    </w:rPr>
                  </w:pPr>
                  <w:r>
                    <w:rPr>
                      <w:rFonts w:hint="eastAsia"/>
                      <w:color w:val="auto"/>
                      <w:spacing w:val="-1"/>
                      <w:szCs w:val="21"/>
                      <w:highlight w:val="none"/>
                      <w:lang w:val="en-US" w:eastAsia="zh-CN"/>
                    </w:rPr>
                    <w:t>12</w:t>
                  </w:r>
                </w:p>
              </w:tc>
              <w:tc>
                <w:tcPr>
                  <w:tcW w:w="1900" w:type="dxa"/>
                  <w:tcBorders>
                    <w:tl2br w:val="nil"/>
                    <w:tr2bl w:val="nil"/>
                  </w:tcBorders>
                  <w:vAlign w:val="center"/>
                </w:tcPr>
                <w:p w14:paraId="69CA671D">
                  <w:pPr>
                    <w:snapToGrid w:val="0"/>
                    <w:jc w:val="center"/>
                    <w:rPr>
                      <w:color w:val="auto"/>
                      <w:spacing w:val="7"/>
                      <w:highlight w:val="none"/>
                    </w:rPr>
                  </w:pPr>
                  <w:r>
                    <w:rPr>
                      <w:color w:val="auto"/>
                      <w:spacing w:val="6"/>
                      <w:highlight w:val="none"/>
                    </w:rPr>
                    <w:t>罗茨风机</w:t>
                  </w:r>
                </w:p>
              </w:tc>
              <w:tc>
                <w:tcPr>
                  <w:tcW w:w="750" w:type="dxa"/>
                  <w:tcBorders>
                    <w:tl2br w:val="nil"/>
                    <w:tr2bl w:val="nil"/>
                  </w:tcBorders>
                  <w:vAlign w:val="center"/>
                </w:tcPr>
                <w:p w14:paraId="0F19957E">
                  <w:pPr>
                    <w:pStyle w:val="28"/>
                    <w:widowControl w:val="0"/>
                    <w:adjustRightInd w:val="0"/>
                    <w:snapToGrid w:val="0"/>
                    <w:spacing w:before="0" w:beforeAutospacing="0" w:after="0" w:afterAutospacing="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2</w:t>
                  </w:r>
                </w:p>
              </w:tc>
              <w:tc>
                <w:tcPr>
                  <w:tcW w:w="1273" w:type="dxa"/>
                  <w:tcBorders>
                    <w:tl2br w:val="nil"/>
                    <w:tr2bl w:val="nil"/>
                  </w:tcBorders>
                  <w:vAlign w:val="center"/>
                </w:tcPr>
                <w:p w14:paraId="0ABAF018">
                  <w:pPr>
                    <w:jc w:val="center"/>
                    <w:rPr>
                      <w:rFonts w:hint="default"/>
                      <w:color w:val="auto"/>
                      <w:szCs w:val="21"/>
                      <w:highlight w:val="none"/>
                      <w:lang w:val="en-US" w:eastAsia="zh-CN"/>
                    </w:rPr>
                  </w:pPr>
                  <w:r>
                    <w:rPr>
                      <w:rFonts w:hint="eastAsia"/>
                      <w:color w:val="auto"/>
                      <w:szCs w:val="21"/>
                      <w:highlight w:val="none"/>
                      <w:lang w:val="en-US" w:eastAsia="zh-CN"/>
                    </w:rPr>
                    <w:t>90</w:t>
                  </w:r>
                </w:p>
              </w:tc>
              <w:tc>
                <w:tcPr>
                  <w:tcW w:w="720" w:type="dxa"/>
                  <w:tcBorders>
                    <w:tl2br w:val="nil"/>
                    <w:tr2bl w:val="nil"/>
                  </w:tcBorders>
                  <w:vAlign w:val="center"/>
                </w:tcPr>
                <w:p w14:paraId="5FD0071F">
                  <w:pPr>
                    <w:jc w:val="center"/>
                    <w:rPr>
                      <w:rFonts w:hint="eastAsia"/>
                      <w:color w:val="auto"/>
                      <w:highlight w:val="none"/>
                    </w:rPr>
                  </w:pPr>
                  <w:r>
                    <w:rPr>
                      <w:rFonts w:hint="eastAsia"/>
                      <w:color w:val="auto"/>
                      <w:highlight w:val="none"/>
                    </w:rPr>
                    <w:t>稳态</w:t>
                  </w:r>
                </w:p>
              </w:tc>
              <w:tc>
                <w:tcPr>
                  <w:tcW w:w="1773" w:type="dxa"/>
                  <w:vMerge w:val="continue"/>
                  <w:tcBorders>
                    <w:tl2br w:val="nil"/>
                    <w:tr2bl w:val="nil"/>
                  </w:tcBorders>
                </w:tcPr>
                <w:p w14:paraId="3F41FC2F">
                  <w:pPr>
                    <w:rPr>
                      <w:rFonts w:ascii="Calibri" w:hAnsi="Calibri" w:cs="Calibri"/>
                      <w:color w:val="auto"/>
                      <w:szCs w:val="22"/>
                      <w:highlight w:val="none"/>
                    </w:rPr>
                  </w:pPr>
                </w:p>
              </w:tc>
              <w:tc>
                <w:tcPr>
                  <w:tcW w:w="1100" w:type="dxa"/>
                  <w:tcBorders>
                    <w:tl2br w:val="nil"/>
                    <w:tr2bl w:val="nil"/>
                  </w:tcBorders>
                  <w:vAlign w:val="center"/>
                </w:tcPr>
                <w:p w14:paraId="31E5FDA0">
                  <w:pPr>
                    <w:jc w:val="center"/>
                    <w:rPr>
                      <w:rFonts w:hint="default" w:eastAsia="宋体"/>
                      <w:color w:val="auto"/>
                      <w:highlight w:val="none"/>
                      <w:lang w:val="en-US" w:eastAsia="zh-CN"/>
                    </w:rPr>
                  </w:pPr>
                  <w:r>
                    <w:rPr>
                      <w:color w:val="auto"/>
                      <w:highlight w:val="none"/>
                    </w:rPr>
                    <w:t>＜</w:t>
                  </w:r>
                  <w:r>
                    <w:rPr>
                      <w:rFonts w:hint="eastAsia"/>
                      <w:color w:val="auto"/>
                      <w:highlight w:val="none"/>
                      <w:lang w:val="en-US" w:eastAsia="zh-CN"/>
                    </w:rPr>
                    <w:t>70</w:t>
                  </w:r>
                </w:p>
              </w:tc>
            </w:tr>
            <w:tr w14:paraId="23B161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5" w:type="dxa"/>
                  <w:tcBorders>
                    <w:tl2br w:val="nil"/>
                    <w:tr2bl w:val="nil"/>
                  </w:tcBorders>
                  <w:vAlign w:val="center"/>
                </w:tcPr>
                <w:p w14:paraId="0324CB24">
                  <w:pPr>
                    <w:jc w:val="center"/>
                    <w:rPr>
                      <w:rFonts w:hint="default" w:eastAsia="宋体"/>
                      <w:color w:val="auto"/>
                      <w:spacing w:val="-1"/>
                      <w:highlight w:val="none"/>
                      <w:lang w:val="en-US" w:eastAsia="zh-CN"/>
                    </w:rPr>
                  </w:pPr>
                  <w:r>
                    <w:rPr>
                      <w:rFonts w:hint="eastAsia"/>
                      <w:color w:val="auto"/>
                      <w:spacing w:val="-1"/>
                      <w:highlight w:val="none"/>
                      <w:lang w:val="en-US" w:eastAsia="zh-CN"/>
                    </w:rPr>
                    <w:t>13</w:t>
                  </w:r>
                </w:p>
              </w:tc>
              <w:tc>
                <w:tcPr>
                  <w:tcW w:w="1900" w:type="dxa"/>
                  <w:tcBorders>
                    <w:tl2br w:val="nil"/>
                    <w:tr2bl w:val="nil"/>
                  </w:tcBorders>
                  <w:vAlign w:val="center"/>
                </w:tcPr>
                <w:p w14:paraId="628B5E0E">
                  <w:pPr>
                    <w:pStyle w:val="28"/>
                    <w:widowControl w:val="0"/>
                    <w:adjustRightInd w:val="0"/>
                    <w:snapToGrid w:val="0"/>
                    <w:spacing w:before="0" w:beforeAutospacing="0" w:after="0" w:afterAutospacing="0"/>
                    <w:jc w:val="center"/>
                    <w:rPr>
                      <w:color w:val="auto"/>
                      <w:sz w:val="21"/>
                      <w:szCs w:val="21"/>
                      <w:highlight w:val="none"/>
                    </w:rPr>
                  </w:pPr>
                  <w:r>
                    <w:rPr>
                      <w:rFonts w:hint="eastAsia" w:ascii="Times New Roman" w:hAnsi="Times New Roman"/>
                      <w:color w:val="auto"/>
                      <w:kern w:val="2"/>
                      <w:sz w:val="21"/>
                      <w:szCs w:val="21"/>
                      <w:highlight w:val="none"/>
                    </w:rPr>
                    <w:t>运输车辆</w:t>
                  </w:r>
                </w:p>
              </w:tc>
              <w:tc>
                <w:tcPr>
                  <w:tcW w:w="750" w:type="dxa"/>
                  <w:tcBorders>
                    <w:tl2br w:val="nil"/>
                    <w:tr2bl w:val="nil"/>
                  </w:tcBorders>
                  <w:vAlign w:val="center"/>
                </w:tcPr>
                <w:p w14:paraId="46471816">
                  <w:pPr>
                    <w:pStyle w:val="28"/>
                    <w:widowControl w:val="0"/>
                    <w:adjustRightInd w:val="0"/>
                    <w:snapToGrid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3</w:t>
                  </w:r>
                </w:p>
              </w:tc>
              <w:tc>
                <w:tcPr>
                  <w:tcW w:w="1273" w:type="dxa"/>
                  <w:tcBorders>
                    <w:tl2br w:val="nil"/>
                    <w:tr2bl w:val="nil"/>
                  </w:tcBorders>
                  <w:vAlign w:val="center"/>
                </w:tcPr>
                <w:p w14:paraId="4A3EE3D2">
                  <w:pPr>
                    <w:jc w:val="center"/>
                    <w:rPr>
                      <w:color w:val="auto"/>
                      <w:highlight w:val="none"/>
                    </w:rPr>
                  </w:pPr>
                  <w:r>
                    <w:rPr>
                      <w:rFonts w:hint="eastAsia"/>
                      <w:color w:val="auto"/>
                      <w:szCs w:val="21"/>
                      <w:highlight w:val="none"/>
                    </w:rPr>
                    <w:t>80</w:t>
                  </w:r>
                </w:p>
              </w:tc>
              <w:tc>
                <w:tcPr>
                  <w:tcW w:w="720" w:type="dxa"/>
                  <w:tcBorders>
                    <w:tl2br w:val="nil"/>
                    <w:tr2bl w:val="nil"/>
                  </w:tcBorders>
                  <w:vAlign w:val="center"/>
                </w:tcPr>
                <w:p w14:paraId="063802A6">
                  <w:pPr>
                    <w:jc w:val="center"/>
                    <w:rPr>
                      <w:rFonts w:ascii="宋体" w:hAnsi="宋体" w:cs="宋体"/>
                      <w:color w:val="auto"/>
                      <w:highlight w:val="none"/>
                    </w:rPr>
                  </w:pPr>
                  <w:r>
                    <w:rPr>
                      <w:rFonts w:hint="eastAsia" w:ascii="宋体" w:hAnsi="宋体" w:cs="宋体"/>
                      <w:color w:val="auto"/>
                      <w:highlight w:val="none"/>
                    </w:rPr>
                    <w:t>非稳态</w:t>
                  </w:r>
                </w:p>
              </w:tc>
              <w:tc>
                <w:tcPr>
                  <w:tcW w:w="1773" w:type="dxa"/>
                  <w:tcBorders>
                    <w:tl2br w:val="nil"/>
                    <w:tr2bl w:val="nil"/>
                  </w:tcBorders>
                  <w:vAlign w:val="center"/>
                </w:tcPr>
                <w:p w14:paraId="58B42DE2">
                  <w:pPr>
                    <w:jc w:val="center"/>
                    <w:rPr>
                      <w:rFonts w:ascii="宋体" w:hAnsi="宋体" w:cs="宋体"/>
                      <w:color w:val="auto"/>
                      <w:highlight w:val="none"/>
                    </w:rPr>
                  </w:pPr>
                  <w:r>
                    <w:rPr>
                      <w:rFonts w:hint="eastAsia"/>
                      <w:color w:val="auto"/>
                      <w:szCs w:val="21"/>
                      <w:highlight w:val="none"/>
                    </w:rPr>
                    <w:t>限速限载</w:t>
                  </w:r>
                  <w:r>
                    <w:rPr>
                      <w:color w:val="auto"/>
                      <w:szCs w:val="21"/>
                      <w:highlight w:val="none"/>
                    </w:rPr>
                    <w:t>，</w:t>
                  </w:r>
                  <w:r>
                    <w:rPr>
                      <w:rFonts w:hint="eastAsia"/>
                      <w:color w:val="auto"/>
                      <w:szCs w:val="21"/>
                      <w:highlight w:val="none"/>
                    </w:rPr>
                    <w:t>途经住户时减速</w:t>
                  </w:r>
                  <w:r>
                    <w:rPr>
                      <w:color w:val="auto"/>
                      <w:szCs w:val="21"/>
                      <w:highlight w:val="none"/>
                    </w:rPr>
                    <w:t>慢行</w:t>
                  </w:r>
                </w:p>
              </w:tc>
              <w:tc>
                <w:tcPr>
                  <w:tcW w:w="1100" w:type="dxa"/>
                  <w:tcBorders>
                    <w:tl2br w:val="nil"/>
                    <w:tr2bl w:val="nil"/>
                  </w:tcBorders>
                  <w:vAlign w:val="center"/>
                </w:tcPr>
                <w:p w14:paraId="0B3FAF4E">
                  <w:pPr>
                    <w:jc w:val="center"/>
                    <w:rPr>
                      <w:rFonts w:hint="eastAsia" w:ascii="宋体" w:hAnsi="宋体" w:eastAsia="宋体" w:cs="宋体"/>
                      <w:color w:val="auto"/>
                      <w:highlight w:val="none"/>
                      <w:lang w:val="en-US" w:eastAsia="zh-CN"/>
                    </w:rPr>
                  </w:pPr>
                  <w:r>
                    <w:rPr>
                      <w:color w:val="auto"/>
                      <w:highlight w:val="none"/>
                    </w:rPr>
                    <w:t>＜</w:t>
                  </w:r>
                  <w:r>
                    <w:rPr>
                      <w:rFonts w:hint="eastAsia"/>
                      <w:color w:val="auto"/>
                      <w:highlight w:val="none"/>
                    </w:rPr>
                    <w:t>6</w:t>
                  </w:r>
                  <w:r>
                    <w:rPr>
                      <w:rFonts w:hint="eastAsia"/>
                      <w:color w:val="auto"/>
                      <w:highlight w:val="none"/>
                      <w:lang w:val="en-US" w:eastAsia="zh-CN"/>
                    </w:rPr>
                    <w:t>5</w:t>
                  </w:r>
                </w:p>
              </w:tc>
            </w:tr>
          </w:tbl>
          <w:p w14:paraId="3A48A9F3">
            <w:pPr>
              <w:widowControl/>
              <w:snapToGrid w:val="0"/>
              <w:spacing w:line="360" w:lineRule="auto"/>
              <w:ind w:firstLine="480" w:firstLineChars="200"/>
              <w:jc w:val="left"/>
              <w:rPr>
                <w:rFonts w:ascii="宋体" w:hAnsi="宋体"/>
                <w:color w:val="auto"/>
                <w:sz w:val="24"/>
                <w:highlight w:val="none"/>
              </w:rPr>
            </w:pPr>
            <w:r>
              <w:rPr>
                <w:rFonts w:ascii="宋体" w:hAnsi="宋体"/>
                <w:color w:val="auto"/>
                <w:sz w:val="24"/>
                <w:highlight w:val="none"/>
              </w:rPr>
              <w:t>根据项目噪声污染源的特征，按照《环境影响评价技术导则声环境》（</w:t>
            </w:r>
            <w:r>
              <w:rPr>
                <w:color w:val="auto"/>
                <w:sz w:val="24"/>
                <w:highlight w:val="none"/>
              </w:rPr>
              <w:t>HJ2.4-20</w:t>
            </w:r>
            <w:r>
              <w:rPr>
                <w:rFonts w:hint="eastAsia"/>
                <w:color w:val="auto"/>
                <w:sz w:val="24"/>
                <w:highlight w:val="none"/>
              </w:rPr>
              <w:t>21</w:t>
            </w:r>
            <w:r>
              <w:rPr>
                <w:rFonts w:ascii="宋体" w:hAnsi="宋体"/>
                <w:color w:val="auto"/>
                <w:sz w:val="24"/>
                <w:highlight w:val="none"/>
              </w:rPr>
              <w:t>）要求，采用多声源叠加综合预测模式对项目产生噪声的发散衰减进行模拟预测。</w:t>
            </w:r>
          </w:p>
          <w:p w14:paraId="1D3AFA34">
            <w:pPr>
              <w:snapToGrid w:val="0"/>
              <w:spacing w:line="360" w:lineRule="auto"/>
              <w:ind w:firstLine="480"/>
              <w:rPr>
                <w:rFonts w:hAnsi="宋体"/>
                <w:color w:val="auto"/>
                <w:sz w:val="24"/>
                <w:highlight w:val="none"/>
              </w:rPr>
            </w:pPr>
            <w:r>
              <w:rPr>
                <w:rFonts w:hAnsi="宋体"/>
                <w:color w:val="auto"/>
                <w:sz w:val="24"/>
                <w:highlight w:val="none"/>
              </w:rPr>
              <w:t>①室内声源</w:t>
            </w:r>
          </w:p>
          <w:p w14:paraId="05663618">
            <w:pPr>
              <w:snapToGrid w:val="0"/>
              <w:spacing w:line="360" w:lineRule="auto"/>
              <w:ind w:firstLine="480"/>
              <w:rPr>
                <w:color w:val="auto"/>
                <w:sz w:val="24"/>
                <w:highlight w:val="none"/>
              </w:rPr>
            </w:pPr>
            <w:r>
              <w:rPr>
                <w:rFonts w:hAnsi="宋体"/>
                <w:color w:val="auto"/>
                <w:sz w:val="24"/>
                <w:highlight w:val="none"/>
              </w:rPr>
              <w:t>根据《环境影响评价技术导则</w:t>
            </w:r>
            <w:r>
              <w:rPr>
                <w:color w:val="auto"/>
                <w:sz w:val="24"/>
                <w:highlight w:val="none"/>
              </w:rPr>
              <w:t xml:space="preserve"> </w:t>
            </w:r>
            <w:r>
              <w:rPr>
                <w:rFonts w:hAnsi="宋体"/>
                <w:color w:val="auto"/>
                <w:sz w:val="24"/>
                <w:highlight w:val="none"/>
              </w:rPr>
              <w:t>声环境》（</w:t>
            </w:r>
            <w:r>
              <w:rPr>
                <w:color w:val="auto"/>
                <w:sz w:val="24"/>
                <w:highlight w:val="none"/>
              </w:rPr>
              <w:t>HJ2.4-20</w:t>
            </w:r>
            <w:r>
              <w:rPr>
                <w:rFonts w:hint="eastAsia"/>
                <w:color w:val="auto"/>
                <w:sz w:val="24"/>
                <w:highlight w:val="none"/>
              </w:rPr>
              <w:t>21</w:t>
            </w:r>
            <w:r>
              <w:rPr>
                <w:rFonts w:hAnsi="宋体"/>
                <w:color w:val="auto"/>
                <w:sz w:val="24"/>
                <w:highlight w:val="none"/>
              </w:rPr>
              <w:t>），室内声源可采用等效室外声源声功率级法进行计算。设靠近开口处（或窗户）室内、室外某倍频带的声压级分别为</w:t>
            </w:r>
            <w:r>
              <w:rPr>
                <w:i/>
                <w:color w:val="auto"/>
                <w:sz w:val="24"/>
                <w:highlight w:val="none"/>
              </w:rPr>
              <w:t>L</w:t>
            </w:r>
            <w:r>
              <w:rPr>
                <w:i/>
                <w:color w:val="auto"/>
                <w:sz w:val="24"/>
                <w:highlight w:val="none"/>
                <w:vertAlign w:val="subscript"/>
              </w:rPr>
              <w:t>P1</w:t>
            </w:r>
            <w:r>
              <w:rPr>
                <w:rFonts w:hAnsi="宋体"/>
                <w:color w:val="auto"/>
                <w:sz w:val="24"/>
                <w:highlight w:val="none"/>
              </w:rPr>
              <w:t>和</w:t>
            </w:r>
            <w:r>
              <w:rPr>
                <w:i/>
                <w:color w:val="auto"/>
                <w:sz w:val="24"/>
                <w:highlight w:val="none"/>
              </w:rPr>
              <w:t>L</w:t>
            </w:r>
            <w:r>
              <w:rPr>
                <w:i/>
                <w:color w:val="auto"/>
                <w:sz w:val="24"/>
                <w:highlight w:val="none"/>
                <w:vertAlign w:val="subscript"/>
              </w:rPr>
              <w:t>P2</w:t>
            </w:r>
            <w:r>
              <w:rPr>
                <w:rFonts w:hAnsi="宋体"/>
                <w:color w:val="auto"/>
                <w:sz w:val="24"/>
                <w:highlight w:val="none"/>
              </w:rPr>
              <w:t>。若声源所在室内声场为近似扩散声场，则室外的倍频带声压级可按下式近似求出：</w:t>
            </w:r>
          </w:p>
          <w:p w14:paraId="5F0B7FB5">
            <w:pPr>
              <w:snapToGrid w:val="0"/>
              <w:spacing w:line="360" w:lineRule="auto"/>
              <w:ind w:firstLine="480"/>
              <w:jc w:val="center"/>
              <w:rPr>
                <w:color w:val="auto"/>
                <w:sz w:val="24"/>
                <w:highlight w:val="none"/>
              </w:rPr>
            </w:pPr>
            <w:r>
              <w:rPr>
                <w:color w:val="auto"/>
                <w:sz w:val="24"/>
                <w:highlight w:val="none"/>
                <w:lang w:val="en-GB" w:eastAsia="zh-TW"/>
              </w:rPr>
              <w:object>
                <v:shape id="_x0000_i1027" o:spt="75" type="#_x0000_t75" style="height:14.95pt;width:97.8pt;" o:ole="t" filled="f" o:preferrelative="t" stroked="f" coordsize="21600,21600">
                  <v:path/>
                  <v:fill on="f" focussize="0,0"/>
                  <v:stroke on="f" joinstyle="miter"/>
                  <v:imagedata r:id="rId19" o:title=""/>
                  <o:lock v:ext="edit" aspectratio="t"/>
                  <w10:wrap type="none"/>
                  <w10:anchorlock/>
                </v:shape>
                <o:OLEObject Type="Embed" ProgID="Equation.3" ShapeID="_x0000_i1027" DrawAspect="Content" ObjectID="_1468075727" r:id="rId18">
                  <o:LockedField>false</o:LockedField>
                </o:OLEObject>
              </w:object>
            </w:r>
          </w:p>
          <w:p w14:paraId="3E05C129">
            <w:pPr>
              <w:snapToGrid w:val="0"/>
              <w:spacing w:line="360" w:lineRule="auto"/>
              <w:ind w:firstLine="480"/>
              <w:rPr>
                <w:rFonts w:ascii="宋体" w:hAnsi="宋体"/>
                <w:color w:val="auto"/>
                <w:sz w:val="24"/>
                <w:highlight w:val="none"/>
              </w:rPr>
            </w:pPr>
            <w:r>
              <w:rPr>
                <w:rFonts w:hAnsi="宋体"/>
                <w:color w:val="auto"/>
                <w:sz w:val="24"/>
                <w:highlight w:val="none"/>
              </w:rPr>
              <w:t>式中：</w:t>
            </w:r>
            <w:r>
              <w:rPr>
                <w:color w:val="auto"/>
                <w:sz w:val="24"/>
                <w:highlight w:val="none"/>
                <w:lang w:val="en-GB" w:eastAsia="zh-TW"/>
              </w:rPr>
              <w:object>
                <v:shape id="_x0000_i1028" o:spt="75" type="#_x0000_t75" style="height:13.6pt;width:14.95pt;" o:ole="t" filled="f" o:preferrelative="t" stroked="f" coordsize="21600,21600">
                  <v:path/>
                  <v:fill on="f" focussize="0,0"/>
                  <v:stroke on="f" joinstyle="miter"/>
                  <v:imagedata r:id="rId21" o:title=""/>
                  <o:lock v:ext="edit" aspectratio="t"/>
                  <w10:wrap type="none"/>
                  <w10:anchorlock/>
                </v:shape>
                <o:OLEObject Type="Embed" ProgID="Equation.3" ShapeID="_x0000_i1028" DrawAspect="Content" ObjectID="_1468075728" r:id="rId20">
                  <o:LockedField>false</o:LockedField>
                </o:OLEObject>
              </w:object>
            </w:r>
            <w:r>
              <w:rPr>
                <w:color w:val="auto"/>
                <w:sz w:val="24"/>
                <w:highlight w:val="none"/>
              </w:rPr>
              <w:t>---</w:t>
            </w:r>
            <w:r>
              <w:rPr>
                <w:rFonts w:hAnsi="宋体"/>
                <w:color w:val="auto"/>
                <w:sz w:val="24"/>
                <w:highlight w:val="none"/>
              </w:rPr>
              <w:t>隔墙（或窗户）倍频带的隔声量，</w:t>
            </w:r>
            <w:r>
              <w:rPr>
                <w:color w:val="auto"/>
                <w:sz w:val="24"/>
                <w:highlight w:val="none"/>
              </w:rPr>
              <w:t>dB</w:t>
            </w:r>
            <w:r>
              <w:rPr>
                <w:rFonts w:hAnsi="宋体"/>
                <w:color w:val="auto"/>
                <w:sz w:val="24"/>
                <w:highlight w:val="none"/>
              </w:rPr>
              <w:t>（</w:t>
            </w:r>
            <w:r>
              <w:rPr>
                <w:color w:val="auto"/>
                <w:sz w:val="24"/>
                <w:highlight w:val="none"/>
              </w:rPr>
              <w:t>A</w:t>
            </w:r>
            <w:r>
              <w:rPr>
                <w:rFonts w:hAnsi="宋体"/>
                <w:color w:val="auto"/>
                <w:sz w:val="24"/>
                <w:highlight w:val="none"/>
              </w:rPr>
              <w:t>）。</w:t>
            </w:r>
          </w:p>
          <w:p w14:paraId="07568EE4">
            <w:pPr>
              <w:adjustRightInd w:val="0"/>
              <w:snapToGrid w:val="0"/>
              <w:spacing w:line="360" w:lineRule="auto"/>
              <w:ind w:firstLine="480" w:firstLineChars="200"/>
              <w:jc w:val="left"/>
              <w:rPr>
                <w:color w:val="auto"/>
                <w:spacing w:val="4"/>
                <w:sz w:val="24"/>
                <w:highlight w:val="none"/>
              </w:rPr>
            </w:pPr>
            <w:r>
              <w:rPr>
                <w:rFonts w:hint="eastAsia"/>
                <w:color w:val="auto"/>
                <w:sz w:val="24"/>
                <w:szCs w:val="24"/>
                <w:highlight w:val="none"/>
              </w:rPr>
              <w:t>②</w:t>
            </w:r>
            <w:r>
              <w:rPr>
                <w:rFonts w:ascii="宋体" w:hAnsi="宋体"/>
                <w:color w:val="auto"/>
                <w:spacing w:val="4"/>
                <w:sz w:val="24"/>
                <w:highlight w:val="none"/>
              </w:rPr>
              <w:t>衰减预测</w:t>
            </w:r>
          </w:p>
          <w:p w14:paraId="0FAB2B7C">
            <w:pPr>
              <w:adjustRightInd w:val="0"/>
              <w:snapToGrid w:val="0"/>
              <w:spacing w:line="360" w:lineRule="auto"/>
              <w:ind w:firstLine="420" w:firstLineChars="200"/>
              <w:jc w:val="center"/>
              <w:rPr>
                <w:color w:val="auto"/>
                <w:spacing w:val="4"/>
                <w:sz w:val="24"/>
                <w:highlight w:val="none"/>
              </w:rPr>
            </w:pPr>
            <w:r>
              <w:rPr>
                <w:color w:val="auto"/>
                <w:highlight w:val="none"/>
              </w:rPr>
              <w:fldChar w:fldCharType="begin"/>
            </w:r>
            <w:r>
              <w:rPr>
                <w:color w:val="auto"/>
                <w:highlight w:val="none"/>
              </w:rPr>
              <w:instrText xml:space="preserve"> INCLUDEPICTURE "C:\\Users\\ADMINI~1\\AppData\\Local\\Temp\\ksohtml7844\\wps1.png" \* MERGEFORMATINET </w:instrText>
            </w:r>
            <w:r>
              <w:rPr>
                <w:color w:val="auto"/>
                <w:highlight w:val="none"/>
              </w:rPr>
              <w:fldChar w:fldCharType="separate"/>
            </w:r>
            <w:r>
              <w:rPr>
                <w:color w:val="auto"/>
                <w:highlight w:val="none"/>
              </w:rPr>
              <w:drawing>
                <wp:inline distT="0" distB="0" distL="114300" distR="114300">
                  <wp:extent cx="1887220" cy="400685"/>
                  <wp:effectExtent l="0" t="0" r="0" b="18415"/>
                  <wp:docPr id="26" name="图片 8"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descr="wps1"/>
                          <pic:cNvPicPr>
                            <a:picLocks noChangeAspect="1"/>
                          </pic:cNvPicPr>
                        </pic:nvPicPr>
                        <pic:blipFill>
                          <a:blip r:embed="rId22"/>
                          <a:stretch>
                            <a:fillRect/>
                          </a:stretch>
                        </pic:blipFill>
                        <pic:spPr>
                          <a:xfrm>
                            <a:off x="0" y="0"/>
                            <a:ext cx="1887220" cy="400685"/>
                          </a:xfrm>
                          <a:prstGeom prst="rect">
                            <a:avLst/>
                          </a:prstGeom>
                          <a:noFill/>
                          <a:ln>
                            <a:noFill/>
                          </a:ln>
                        </pic:spPr>
                      </pic:pic>
                    </a:graphicData>
                  </a:graphic>
                </wp:inline>
              </w:drawing>
            </w:r>
            <w:r>
              <w:rPr>
                <w:color w:val="auto"/>
                <w:highlight w:val="none"/>
              </w:rPr>
              <w:fldChar w:fldCharType="end"/>
            </w:r>
          </w:p>
          <w:p w14:paraId="1B5AB23B">
            <w:pPr>
              <w:adjustRightInd w:val="0"/>
              <w:snapToGrid w:val="0"/>
              <w:spacing w:line="360" w:lineRule="auto"/>
              <w:ind w:firstLine="496" w:firstLineChars="200"/>
              <w:jc w:val="left"/>
              <w:rPr>
                <w:color w:val="auto"/>
                <w:spacing w:val="4"/>
                <w:sz w:val="24"/>
                <w:highlight w:val="none"/>
              </w:rPr>
            </w:pPr>
            <w:r>
              <w:rPr>
                <w:rFonts w:ascii="宋体" w:hAnsi="宋体"/>
                <w:color w:val="auto"/>
                <w:spacing w:val="4"/>
                <w:sz w:val="24"/>
                <w:highlight w:val="none"/>
              </w:rPr>
              <w:t>式中：</w:t>
            </w:r>
          </w:p>
          <w:p w14:paraId="410A6EEF">
            <w:pPr>
              <w:adjustRightInd w:val="0"/>
              <w:snapToGrid w:val="0"/>
              <w:spacing w:line="360" w:lineRule="auto"/>
              <w:ind w:firstLine="420" w:firstLineChars="200"/>
              <w:jc w:val="left"/>
              <w:rPr>
                <w:color w:val="auto"/>
                <w:spacing w:val="4"/>
                <w:sz w:val="24"/>
                <w:highlight w:val="none"/>
              </w:rPr>
            </w:pPr>
            <w:r>
              <w:rPr>
                <w:color w:val="auto"/>
                <w:highlight w:val="none"/>
              </w:rPr>
              <w:fldChar w:fldCharType="begin"/>
            </w:r>
            <w:r>
              <w:rPr>
                <w:color w:val="auto"/>
                <w:highlight w:val="none"/>
              </w:rPr>
              <w:instrText xml:space="preserve"> INCLUDEPICTURE "C:\\Users\\ADMINI~1\\AppData\\Local\\Temp\\ksohtml7844\\wps2.png" \* MERGEFORMATINET </w:instrText>
            </w:r>
            <w:r>
              <w:rPr>
                <w:color w:val="auto"/>
                <w:highlight w:val="none"/>
              </w:rPr>
              <w:fldChar w:fldCharType="separate"/>
            </w:r>
            <w:r>
              <w:rPr>
                <w:color w:val="auto"/>
                <w:highlight w:val="none"/>
              </w:rPr>
              <w:drawing>
                <wp:inline distT="0" distB="0" distL="114300" distR="114300">
                  <wp:extent cx="189230" cy="247015"/>
                  <wp:effectExtent l="0" t="0" r="1270" b="635"/>
                  <wp:docPr id="27" name="图片 9"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descr="wps2"/>
                          <pic:cNvPicPr>
                            <a:picLocks noChangeAspect="1"/>
                          </pic:cNvPicPr>
                        </pic:nvPicPr>
                        <pic:blipFill>
                          <a:blip r:embed="rId23"/>
                          <a:stretch>
                            <a:fillRect/>
                          </a:stretch>
                        </pic:blipFill>
                        <pic:spPr>
                          <a:xfrm>
                            <a:off x="0" y="0"/>
                            <a:ext cx="189230" cy="247015"/>
                          </a:xfrm>
                          <a:prstGeom prst="rect">
                            <a:avLst/>
                          </a:prstGeom>
                          <a:noFill/>
                          <a:ln>
                            <a:noFill/>
                          </a:ln>
                        </pic:spPr>
                      </pic:pic>
                    </a:graphicData>
                  </a:graphic>
                </wp:inline>
              </w:drawing>
            </w:r>
            <w:r>
              <w:rPr>
                <w:color w:val="auto"/>
                <w:highlight w:val="none"/>
              </w:rPr>
              <w:fldChar w:fldCharType="end"/>
            </w:r>
            <w:r>
              <w:rPr>
                <w:color w:val="auto"/>
                <w:spacing w:val="4"/>
                <w:sz w:val="24"/>
                <w:highlight w:val="none"/>
              </w:rPr>
              <w:t>——</w:t>
            </w:r>
            <w:r>
              <w:rPr>
                <w:rFonts w:ascii="宋体" w:hAnsi="宋体"/>
                <w:color w:val="auto"/>
                <w:spacing w:val="4"/>
                <w:sz w:val="24"/>
                <w:highlight w:val="none"/>
              </w:rPr>
              <w:t>距声源</w:t>
            </w:r>
            <w:r>
              <w:rPr>
                <w:color w:val="auto"/>
                <w:spacing w:val="4"/>
                <w:sz w:val="24"/>
                <w:highlight w:val="none"/>
              </w:rPr>
              <w:t>r</w:t>
            </w:r>
            <w:r>
              <w:rPr>
                <w:rFonts w:ascii="宋体" w:hAnsi="宋体"/>
                <w:color w:val="auto"/>
                <w:spacing w:val="4"/>
                <w:sz w:val="24"/>
                <w:highlight w:val="none"/>
              </w:rPr>
              <w:t>米处的施工噪声预测值，</w:t>
            </w:r>
            <w:r>
              <w:rPr>
                <w:color w:val="auto"/>
                <w:spacing w:val="4"/>
                <w:sz w:val="24"/>
                <w:highlight w:val="none"/>
              </w:rPr>
              <w:t>dB</w:t>
            </w:r>
            <w:r>
              <w:rPr>
                <w:rFonts w:ascii="宋体" w:hAnsi="宋体"/>
                <w:color w:val="auto"/>
                <w:spacing w:val="4"/>
                <w:sz w:val="24"/>
                <w:highlight w:val="none"/>
              </w:rPr>
              <w:t>（</w:t>
            </w:r>
            <w:r>
              <w:rPr>
                <w:color w:val="auto"/>
                <w:spacing w:val="4"/>
                <w:sz w:val="24"/>
                <w:highlight w:val="none"/>
              </w:rPr>
              <w:t>A</w:t>
            </w:r>
            <w:r>
              <w:rPr>
                <w:rFonts w:ascii="宋体" w:hAnsi="宋体"/>
                <w:color w:val="auto"/>
                <w:spacing w:val="4"/>
                <w:sz w:val="24"/>
                <w:highlight w:val="none"/>
              </w:rPr>
              <w:t>）；</w:t>
            </w:r>
          </w:p>
          <w:p w14:paraId="69DF0647">
            <w:pPr>
              <w:adjustRightInd w:val="0"/>
              <w:snapToGrid w:val="0"/>
              <w:spacing w:line="360" w:lineRule="auto"/>
              <w:ind w:firstLine="420" w:firstLineChars="200"/>
              <w:jc w:val="left"/>
              <w:rPr>
                <w:color w:val="auto"/>
                <w:spacing w:val="4"/>
                <w:sz w:val="24"/>
                <w:highlight w:val="none"/>
              </w:rPr>
            </w:pPr>
            <w:r>
              <w:rPr>
                <w:color w:val="auto"/>
                <w:highlight w:val="none"/>
              </w:rPr>
              <w:fldChar w:fldCharType="begin"/>
            </w:r>
            <w:r>
              <w:rPr>
                <w:color w:val="auto"/>
                <w:highlight w:val="none"/>
              </w:rPr>
              <w:instrText xml:space="preserve"> INCLUDEPICTURE "C:\\Users\\ADMINI~1\\AppData\\Local\\Temp\\ksohtml7844\\wps3.png" \* MERGEFORMATINET </w:instrText>
            </w:r>
            <w:r>
              <w:rPr>
                <w:color w:val="auto"/>
                <w:highlight w:val="none"/>
              </w:rPr>
              <w:fldChar w:fldCharType="separate"/>
            </w:r>
            <w:r>
              <w:rPr>
                <w:color w:val="auto"/>
                <w:highlight w:val="none"/>
              </w:rPr>
              <w:drawing>
                <wp:inline distT="0" distB="0" distL="114300" distR="114300">
                  <wp:extent cx="227965" cy="247015"/>
                  <wp:effectExtent l="0" t="0" r="635" b="635"/>
                  <wp:docPr id="28" name="图片 10" descr="wp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descr="wps5"/>
                          <pic:cNvPicPr>
                            <a:picLocks noChangeAspect="1"/>
                          </pic:cNvPicPr>
                        </pic:nvPicPr>
                        <pic:blipFill>
                          <a:blip r:embed="rId24"/>
                          <a:stretch>
                            <a:fillRect/>
                          </a:stretch>
                        </pic:blipFill>
                        <pic:spPr>
                          <a:xfrm>
                            <a:off x="0" y="0"/>
                            <a:ext cx="227965" cy="247015"/>
                          </a:xfrm>
                          <a:prstGeom prst="rect">
                            <a:avLst/>
                          </a:prstGeom>
                          <a:noFill/>
                          <a:ln>
                            <a:noFill/>
                          </a:ln>
                        </pic:spPr>
                      </pic:pic>
                    </a:graphicData>
                  </a:graphic>
                </wp:inline>
              </w:drawing>
            </w:r>
            <w:r>
              <w:rPr>
                <w:color w:val="auto"/>
                <w:highlight w:val="none"/>
              </w:rPr>
              <w:fldChar w:fldCharType="end"/>
            </w:r>
            <w:r>
              <w:rPr>
                <w:color w:val="auto"/>
                <w:spacing w:val="4"/>
                <w:sz w:val="24"/>
                <w:highlight w:val="none"/>
              </w:rPr>
              <w:t>——</w:t>
            </w:r>
            <w:r>
              <w:rPr>
                <w:rFonts w:ascii="宋体" w:hAnsi="宋体"/>
                <w:color w:val="auto"/>
                <w:spacing w:val="4"/>
                <w:sz w:val="24"/>
                <w:highlight w:val="none"/>
              </w:rPr>
              <w:t>距声源</w:t>
            </w:r>
            <w:r>
              <w:rPr>
                <w:color w:val="auto"/>
                <w:spacing w:val="4"/>
                <w:sz w:val="24"/>
                <w:highlight w:val="none"/>
              </w:rPr>
              <w:t>r</w:t>
            </w:r>
            <w:r>
              <w:rPr>
                <w:color w:val="auto"/>
                <w:spacing w:val="4"/>
                <w:sz w:val="24"/>
                <w:highlight w:val="none"/>
                <w:vertAlign w:val="subscript"/>
              </w:rPr>
              <w:t>o</w:t>
            </w:r>
            <w:r>
              <w:rPr>
                <w:rFonts w:ascii="宋体" w:hAnsi="宋体"/>
                <w:color w:val="auto"/>
                <w:spacing w:val="4"/>
                <w:sz w:val="24"/>
                <w:highlight w:val="none"/>
              </w:rPr>
              <w:t>米处的参考声级，</w:t>
            </w:r>
            <w:r>
              <w:rPr>
                <w:color w:val="auto"/>
                <w:spacing w:val="4"/>
                <w:sz w:val="24"/>
                <w:highlight w:val="none"/>
              </w:rPr>
              <w:t>dB</w:t>
            </w:r>
            <w:r>
              <w:rPr>
                <w:rFonts w:ascii="宋体" w:hAnsi="宋体"/>
                <w:color w:val="auto"/>
                <w:spacing w:val="4"/>
                <w:sz w:val="24"/>
                <w:highlight w:val="none"/>
              </w:rPr>
              <w:t>（</w:t>
            </w:r>
            <w:r>
              <w:rPr>
                <w:color w:val="auto"/>
                <w:spacing w:val="4"/>
                <w:sz w:val="24"/>
                <w:highlight w:val="none"/>
              </w:rPr>
              <w:t>A</w:t>
            </w:r>
            <w:r>
              <w:rPr>
                <w:rFonts w:ascii="宋体" w:hAnsi="宋体"/>
                <w:color w:val="auto"/>
                <w:spacing w:val="4"/>
                <w:sz w:val="24"/>
                <w:highlight w:val="none"/>
              </w:rPr>
              <w:t>）；</w:t>
            </w:r>
          </w:p>
          <w:p w14:paraId="0F17BBAC">
            <w:pPr>
              <w:adjustRightInd w:val="0"/>
              <w:snapToGrid w:val="0"/>
              <w:spacing w:line="360" w:lineRule="auto"/>
              <w:ind w:firstLine="420" w:firstLineChars="200"/>
              <w:jc w:val="left"/>
              <w:rPr>
                <w:color w:val="auto"/>
                <w:spacing w:val="4"/>
                <w:sz w:val="24"/>
                <w:highlight w:val="none"/>
              </w:rPr>
            </w:pPr>
            <w:r>
              <w:rPr>
                <w:color w:val="auto"/>
                <w:highlight w:val="none"/>
              </w:rPr>
              <w:fldChar w:fldCharType="begin"/>
            </w:r>
            <w:r>
              <w:rPr>
                <w:color w:val="auto"/>
                <w:highlight w:val="none"/>
              </w:rPr>
              <w:instrText xml:space="preserve"> INCLUDEPICTURE "C:\\Users\\ADMINI~1\\AppData\\Local\\Temp\\ksohtml7844\\wps4.png" \* MERGEFORMATINET </w:instrText>
            </w:r>
            <w:r>
              <w:rPr>
                <w:color w:val="auto"/>
                <w:highlight w:val="none"/>
              </w:rPr>
              <w:fldChar w:fldCharType="separate"/>
            </w:r>
            <w:r>
              <w:rPr>
                <w:color w:val="auto"/>
                <w:highlight w:val="none"/>
              </w:rPr>
              <w:drawing>
                <wp:inline distT="0" distB="0" distL="114300" distR="114300">
                  <wp:extent cx="134620" cy="227965"/>
                  <wp:effectExtent l="0" t="0" r="17780" b="635"/>
                  <wp:docPr id="29" name="图片 11" descr="wp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descr="wps4"/>
                          <pic:cNvPicPr>
                            <a:picLocks noChangeAspect="1"/>
                          </pic:cNvPicPr>
                        </pic:nvPicPr>
                        <pic:blipFill>
                          <a:blip r:embed="rId25"/>
                          <a:stretch>
                            <a:fillRect/>
                          </a:stretch>
                        </pic:blipFill>
                        <pic:spPr>
                          <a:xfrm>
                            <a:off x="0" y="0"/>
                            <a:ext cx="134620" cy="227965"/>
                          </a:xfrm>
                          <a:prstGeom prst="rect">
                            <a:avLst/>
                          </a:prstGeom>
                          <a:noFill/>
                          <a:ln>
                            <a:noFill/>
                          </a:ln>
                        </pic:spPr>
                      </pic:pic>
                    </a:graphicData>
                  </a:graphic>
                </wp:inline>
              </w:drawing>
            </w:r>
            <w:r>
              <w:rPr>
                <w:color w:val="auto"/>
                <w:highlight w:val="none"/>
              </w:rPr>
              <w:fldChar w:fldCharType="end"/>
            </w:r>
            <w:r>
              <w:rPr>
                <w:color w:val="auto"/>
                <w:spacing w:val="4"/>
                <w:sz w:val="24"/>
                <w:highlight w:val="none"/>
              </w:rPr>
              <w:t>——</w:t>
            </w:r>
            <w:r>
              <w:rPr>
                <w:color w:val="auto"/>
                <w:highlight w:val="none"/>
              </w:rPr>
              <w:fldChar w:fldCharType="begin"/>
            </w:r>
            <w:r>
              <w:rPr>
                <w:color w:val="auto"/>
                <w:highlight w:val="none"/>
              </w:rPr>
              <w:instrText xml:space="preserve"> INCLUDEPICTURE "C:\\Users\\ADMINI~1\\AppData\\Local\\Temp\\ksohtml7844\\wps5.png" \* MERGEFORMATINET </w:instrText>
            </w:r>
            <w:r>
              <w:rPr>
                <w:color w:val="auto"/>
                <w:highlight w:val="none"/>
              </w:rPr>
              <w:fldChar w:fldCharType="separate"/>
            </w:r>
            <w:r>
              <w:rPr>
                <w:color w:val="auto"/>
                <w:highlight w:val="none"/>
              </w:rPr>
              <w:drawing>
                <wp:inline distT="0" distB="0" distL="114300" distR="114300">
                  <wp:extent cx="227965" cy="247015"/>
                  <wp:effectExtent l="0" t="0" r="635" b="635"/>
                  <wp:docPr id="30" name="图片 12" descr="wp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descr="wps5"/>
                          <pic:cNvPicPr>
                            <a:picLocks noChangeAspect="1"/>
                          </pic:cNvPicPr>
                        </pic:nvPicPr>
                        <pic:blipFill>
                          <a:blip r:embed="rId24"/>
                          <a:stretch>
                            <a:fillRect/>
                          </a:stretch>
                        </pic:blipFill>
                        <pic:spPr>
                          <a:xfrm>
                            <a:off x="0" y="0"/>
                            <a:ext cx="227965" cy="247015"/>
                          </a:xfrm>
                          <a:prstGeom prst="rect">
                            <a:avLst/>
                          </a:prstGeom>
                          <a:noFill/>
                          <a:ln>
                            <a:noFill/>
                          </a:ln>
                        </pic:spPr>
                      </pic:pic>
                    </a:graphicData>
                  </a:graphic>
                </wp:inline>
              </w:drawing>
            </w:r>
            <w:r>
              <w:rPr>
                <w:color w:val="auto"/>
                <w:highlight w:val="none"/>
              </w:rPr>
              <w:fldChar w:fldCharType="end"/>
            </w:r>
            <w:r>
              <w:rPr>
                <w:rFonts w:ascii="宋体" w:hAnsi="宋体"/>
                <w:color w:val="auto"/>
                <w:spacing w:val="4"/>
                <w:sz w:val="24"/>
                <w:highlight w:val="none"/>
              </w:rPr>
              <w:t>噪声的测点距离（</w:t>
            </w:r>
            <w:r>
              <w:rPr>
                <w:color w:val="auto"/>
                <w:spacing w:val="4"/>
                <w:sz w:val="24"/>
                <w:highlight w:val="none"/>
              </w:rPr>
              <w:t>5m</w:t>
            </w:r>
            <w:r>
              <w:rPr>
                <w:rFonts w:ascii="宋体" w:hAnsi="宋体"/>
                <w:color w:val="auto"/>
                <w:spacing w:val="4"/>
                <w:sz w:val="24"/>
                <w:highlight w:val="none"/>
              </w:rPr>
              <w:t>或</w:t>
            </w:r>
            <w:r>
              <w:rPr>
                <w:color w:val="auto"/>
                <w:spacing w:val="4"/>
                <w:sz w:val="24"/>
                <w:highlight w:val="none"/>
              </w:rPr>
              <w:t>1m</w:t>
            </w:r>
            <w:r>
              <w:rPr>
                <w:rFonts w:ascii="宋体" w:hAnsi="宋体"/>
                <w:color w:val="auto"/>
                <w:spacing w:val="4"/>
                <w:sz w:val="24"/>
                <w:highlight w:val="none"/>
              </w:rPr>
              <w:t>），</w:t>
            </w:r>
            <w:r>
              <w:rPr>
                <w:color w:val="auto"/>
                <w:spacing w:val="4"/>
                <w:sz w:val="24"/>
                <w:highlight w:val="none"/>
              </w:rPr>
              <w:t>m</w:t>
            </w:r>
            <w:r>
              <w:rPr>
                <w:rFonts w:ascii="宋体" w:hAnsi="宋体"/>
                <w:color w:val="auto"/>
                <w:spacing w:val="4"/>
                <w:sz w:val="24"/>
                <w:highlight w:val="none"/>
              </w:rPr>
              <w:t>；</w:t>
            </w:r>
          </w:p>
          <w:p w14:paraId="1A53619E">
            <w:pPr>
              <w:adjustRightInd w:val="0"/>
              <w:snapToGrid w:val="0"/>
              <w:spacing w:line="360" w:lineRule="auto"/>
              <w:ind w:firstLine="496" w:firstLineChars="200"/>
              <w:jc w:val="left"/>
              <w:rPr>
                <w:color w:val="auto"/>
                <w:spacing w:val="4"/>
                <w:sz w:val="24"/>
                <w:highlight w:val="none"/>
              </w:rPr>
            </w:pPr>
            <w:r>
              <w:rPr>
                <w:rFonts w:ascii="Cambria Math" w:hAnsi="Cambria Math"/>
                <w:color w:val="auto"/>
                <w:spacing w:val="4"/>
                <w:sz w:val="24"/>
                <w:highlight w:val="none"/>
              </w:rPr>
              <w:t>△</w:t>
            </w:r>
            <w:r>
              <w:rPr>
                <w:color w:val="auto"/>
                <w:spacing w:val="4"/>
                <w:sz w:val="24"/>
                <w:highlight w:val="none"/>
              </w:rPr>
              <w:t>L——</w:t>
            </w:r>
            <w:r>
              <w:rPr>
                <w:rFonts w:ascii="宋体" w:hAnsi="宋体"/>
                <w:color w:val="auto"/>
                <w:spacing w:val="4"/>
                <w:sz w:val="24"/>
                <w:highlight w:val="none"/>
              </w:rPr>
              <w:t>采取各种措施后的噪声衰减量，</w:t>
            </w:r>
            <w:r>
              <w:rPr>
                <w:color w:val="auto"/>
                <w:spacing w:val="4"/>
                <w:sz w:val="24"/>
                <w:highlight w:val="none"/>
              </w:rPr>
              <w:t>dB</w:t>
            </w:r>
            <w:r>
              <w:rPr>
                <w:rFonts w:ascii="宋体" w:hAnsi="宋体"/>
                <w:color w:val="auto"/>
                <w:spacing w:val="4"/>
                <w:sz w:val="24"/>
                <w:highlight w:val="none"/>
              </w:rPr>
              <w:t>（</w:t>
            </w:r>
            <w:r>
              <w:rPr>
                <w:color w:val="auto"/>
                <w:spacing w:val="4"/>
                <w:sz w:val="24"/>
                <w:highlight w:val="none"/>
              </w:rPr>
              <w:t>A</w:t>
            </w:r>
            <w:r>
              <w:rPr>
                <w:rFonts w:ascii="宋体" w:hAnsi="宋体"/>
                <w:color w:val="auto"/>
                <w:spacing w:val="4"/>
                <w:sz w:val="24"/>
                <w:highlight w:val="none"/>
              </w:rPr>
              <w:t>）。</w:t>
            </w:r>
          </w:p>
          <w:p w14:paraId="0C362BF4">
            <w:pPr>
              <w:pStyle w:val="40"/>
              <w:snapToGrid w:val="0"/>
              <w:spacing w:line="360" w:lineRule="auto"/>
              <w:ind w:firstLine="496" w:firstLineChars="200"/>
              <w:rPr>
                <w:rFonts w:hint="default" w:ascii="宋体" w:hAnsi="宋体" w:eastAsia="宋体" w:cs="Times New Roman"/>
                <w:color w:val="auto"/>
                <w:spacing w:val="4"/>
                <w:kern w:val="2"/>
                <w:sz w:val="24"/>
                <w:szCs w:val="24"/>
                <w:highlight w:val="none"/>
                <w:lang w:val="en-US" w:eastAsia="zh-CN" w:bidi="ar-SA"/>
              </w:rPr>
            </w:pPr>
            <w:r>
              <w:rPr>
                <w:rFonts w:hint="eastAsia" w:ascii="宋体" w:hAnsi="宋体" w:eastAsia="宋体" w:cs="Times New Roman"/>
                <w:color w:val="auto"/>
                <w:spacing w:val="4"/>
                <w:kern w:val="2"/>
                <w:sz w:val="24"/>
                <w:szCs w:val="24"/>
                <w:highlight w:val="none"/>
                <w:lang w:val="en-US" w:eastAsia="zh-CN" w:bidi="ar-SA"/>
              </w:rPr>
              <w:t>③多声源声压级的叠加</w:t>
            </w:r>
          </w:p>
          <w:tbl>
            <w:tblPr>
              <w:tblStyle w:val="31"/>
              <w:tblW w:w="2851" w:type="dxa"/>
              <w:tblCellSpacing w:w="0" w:type="dxa"/>
              <w:tblInd w:w="2882" w:type="dxa"/>
              <w:tblLayout w:type="fixed"/>
              <w:tblCellMar>
                <w:top w:w="0" w:type="dxa"/>
                <w:left w:w="0" w:type="dxa"/>
                <w:bottom w:w="0" w:type="dxa"/>
                <w:right w:w="0" w:type="dxa"/>
              </w:tblCellMar>
            </w:tblPr>
            <w:tblGrid>
              <w:gridCol w:w="2851"/>
            </w:tblGrid>
            <w:tr w14:paraId="41B18DFE">
              <w:tblPrEx>
                <w:tblCellMar>
                  <w:top w:w="0" w:type="dxa"/>
                  <w:left w:w="0" w:type="dxa"/>
                  <w:bottom w:w="0" w:type="dxa"/>
                  <w:right w:w="0" w:type="dxa"/>
                </w:tblCellMar>
              </w:tblPrEx>
              <w:trPr>
                <w:tblCellSpacing w:w="0" w:type="dxa"/>
              </w:trPr>
              <w:tc>
                <w:tcPr>
                  <w:tcW w:w="2851" w:type="dxa"/>
                  <w:vAlign w:val="center"/>
                </w:tcPr>
                <w:p w14:paraId="3ADF95E4">
                  <w:pPr>
                    <w:widowControl/>
                    <w:jc w:val="left"/>
                    <w:rPr>
                      <w:rFonts w:ascii="宋体" w:hAnsi="宋体" w:cs="宋体"/>
                      <w:color w:val="auto"/>
                      <w:kern w:val="0"/>
                      <w:sz w:val="24"/>
                      <w:highlight w:val="none"/>
                    </w:rPr>
                  </w:pPr>
                  <w:r>
                    <w:rPr>
                      <w:rFonts w:ascii="宋体" w:hAnsi="宋体" w:cs="宋体"/>
                      <w:color w:val="auto"/>
                      <w:kern w:val="0"/>
                      <w:sz w:val="24"/>
                      <w:highlight w:val="none"/>
                    </w:rPr>
                    <w:fldChar w:fldCharType="begin"/>
                  </w:r>
                  <w:r>
                    <w:rPr>
                      <w:rFonts w:ascii="宋体" w:hAnsi="宋体" w:cs="宋体"/>
                      <w:color w:val="auto"/>
                      <w:kern w:val="0"/>
                      <w:sz w:val="24"/>
                      <w:highlight w:val="none"/>
                    </w:rPr>
                    <w:instrText xml:space="preserve"> INCLUDEPICTURE "C:\\Users\\ADMINI~1\\AppData\\Local\\Temp\\ksohtml7844\\wps6.png" \* MERGEFORMATINET </w:instrText>
                  </w:r>
                  <w:r>
                    <w:rPr>
                      <w:rFonts w:ascii="宋体" w:hAnsi="宋体" w:cs="宋体"/>
                      <w:color w:val="auto"/>
                      <w:kern w:val="0"/>
                      <w:sz w:val="24"/>
                      <w:highlight w:val="none"/>
                    </w:rPr>
                    <w:fldChar w:fldCharType="separate"/>
                  </w:r>
                  <w:r>
                    <w:rPr>
                      <w:rFonts w:ascii="宋体" w:hAnsi="宋体" w:cs="宋体"/>
                      <w:color w:val="auto"/>
                      <w:kern w:val="0"/>
                      <w:sz w:val="24"/>
                      <w:highlight w:val="none"/>
                    </w:rPr>
                    <w:drawing>
                      <wp:inline distT="0" distB="0" distL="114300" distR="114300">
                        <wp:extent cx="1810385" cy="447040"/>
                        <wp:effectExtent l="0" t="0" r="0" b="10795"/>
                        <wp:docPr id="31" name="图片 13" descr="wp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descr="wps6"/>
                                <pic:cNvPicPr>
                                  <a:picLocks noChangeAspect="1"/>
                                </pic:cNvPicPr>
                              </pic:nvPicPr>
                              <pic:blipFill>
                                <a:blip r:embed="rId26"/>
                                <a:stretch>
                                  <a:fillRect/>
                                </a:stretch>
                              </pic:blipFill>
                              <pic:spPr>
                                <a:xfrm>
                                  <a:off x="0" y="0"/>
                                  <a:ext cx="1810385" cy="447040"/>
                                </a:xfrm>
                                <a:prstGeom prst="rect">
                                  <a:avLst/>
                                </a:prstGeom>
                                <a:noFill/>
                                <a:ln>
                                  <a:noFill/>
                                </a:ln>
                              </pic:spPr>
                            </pic:pic>
                          </a:graphicData>
                        </a:graphic>
                      </wp:inline>
                    </w:drawing>
                  </w:r>
                  <w:r>
                    <w:rPr>
                      <w:rFonts w:ascii="宋体" w:hAnsi="宋体" w:cs="宋体"/>
                      <w:color w:val="auto"/>
                      <w:kern w:val="0"/>
                      <w:sz w:val="24"/>
                      <w:highlight w:val="none"/>
                    </w:rPr>
                    <w:fldChar w:fldCharType="end"/>
                  </w:r>
                </w:p>
              </w:tc>
            </w:tr>
          </w:tbl>
          <w:p w14:paraId="4036A2A2">
            <w:pPr>
              <w:autoSpaceDE w:val="0"/>
              <w:autoSpaceDN w:val="0"/>
              <w:spacing w:line="360" w:lineRule="auto"/>
              <w:ind w:firstLine="720" w:firstLineChars="300"/>
              <w:rPr>
                <w:color w:val="auto"/>
                <w:sz w:val="24"/>
                <w:highlight w:val="none"/>
              </w:rPr>
            </w:pPr>
            <w:r>
              <w:rPr>
                <w:rFonts w:ascii="宋体" w:hAnsi="宋体"/>
                <w:color w:val="auto"/>
                <w:sz w:val="24"/>
                <w:highlight w:val="none"/>
              </w:rPr>
              <w:t>当有多个声源共同作用时，受声点的总声级计算公式：</w:t>
            </w:r>
            <w:r>
              <w:rPr>
                <w:color w:val="auto"/>
                <w:sz w:val="24"/>
                <w:highlight w:val="none"/>
              </w:rPr>
              <w:t xml:space="preserve"> </w:t>
            </w:r>
          </w:p>
          <w:p w14:paraId="0DA34C09">
            <w:pPr>
              <w:pStyle w:val="42"/>
              <w:snapToGrid w:val="0"/>
              <w:spacing w:line="360" w:lineRule="auto"/>
              <w:ind w:firstLine="240" w:firstLineChars="100"/>
              <w:rPr>
                <w:rFonts w:ascii="Times New Roman"/>
                <w:b w:val="0"/>
                <w:bCs w:val="0"/>
                <w:color w:val="auto"/>
                <w:highlight w:val="none"/>
              </w:rPr>
            </w:pPr>
            <w:r>
              <w:rPr>
                <w:b w:val="0"/>
                <w:bCs w:val="0"/>
                <w:color w:val="auto"/>
                <w:sz w:val="24"/>
                <w:szCs w:val="24"/>
                <w:highlight w:val="none"/>
              </w:rPr>
              <w:t>式中：</w:t>
            </w:r>
            <w:r>
              <w:rPr>
                <w:rFonts w:ascii="Times New Roman"/>
                <w:b w:val="0"/>
                <w:bCs w:val="0"/>
                <w:color w:val="auto"/>
                <w:sz w:val="24"/>
                <w:szCs w:val="24"/>
                <w:highlight w:val="none"/>
              </w:rPr>
              <w:t>Leq</w:t>
            </w:r>
            <w:r>
              <w:rPr>
                <w:b w:val="0"/>
                <w:bCs w:val="0"/>
                <w:color w:val="auto"/>
                <w:sz w:val="24"/>
                <w:szCs w:val="24"/>
                <w:highlight w:val="none"/>
              </w:rPr>
              <w:t>为某受声点总声级；</w:t>
            </w:r>
            <w:r>
              <w:rPr>
                <w:rFonts w:ascii="Times New Roman"/>
                <w:b w:val="0"/>
                <w:bCs w:val="0"/>
                <w:color w:val="auto"/>
                <w:sz w:val="24"/>
                <w:szCs w:val="24"/>
                <w:highlight w:val="none"/>
              </w:rPr>
              <w:t>Li</w:t>
            </w:r>
            <w:r>
              <w:rPr>
                <w:b w:val="0"/>
                <w:bCs w:val="0"/>
                <w:color w:val="auto"/>
                <w:sz w:val="24"/>
                <w:szCs w:val="24"/>
                <w:highlight w:val="none"/>
              </w:rPr>
              <w:t>为第</w:t>
            </w:r>
            <w:r>
              <w:rPr>
                <w:rFonts w:ascii="Times New Roman"/>
                <w:b w:val="0"/>
                <w:bCs w:val="0"/>
                <w:color w:val="auto"/>
                <w:sz w:val="24"/>
                <w:szCs w:val="24"/>
                <w:highlight w:val="none"/>
              </w:rPr>
              <w:t>i</w:t>
            </w:r>
            <w:r>
              <w:rPr>
                <w:b w:val="0"/>
                <w:bCs w:val="0"/>
                <w:color w:val="auto"/>
                <w:sz w:val="24"/>
                <w:szCs w:val="24"/>
                <w:highlight w:val="none"/>
              </w:rPr>
              <w:t>个声源在受声点产生的声级。</w:t>
            </w:r>
          </w:p>
          <w:p w14:paraId="70F46FE5">
            <w:pPr>
              <w:snapToGrid w:val="0"/>
              <w:spacing w:line="360" w:lineRule="auto"/>
              <w:ind w:firstLine="420" w:firstLineChars="200"/>
              <w:rPr>
                <w:color w:val="auto"/>
                <w:sz w:val="24"/>
                <w:highlight w:val="none"/>
              </w:rPr>
            </w:pPr>
            <w:r>
              <w:rPr>
                <w:color w:val="auto"/>
                <w:highlight w:val="none"/>
              </w:rPr>
              <w:fldChar w:fldCharType="begin"/>
            </w:r>
            <w:r>
              <w:rPr>
                <w:color w:val="auto"/>
                <w:highlight w:val="none"/>
              </w:rPr>
              <w:instrText xml:space="preserve"> = 4 \* GB3 \* MERGEFORMAT </w:instrText>
            </w:r>
            <w:r>
              <w:rPr>
                <w:color w:val="auto"/>
                <w:highlight w:val="none"/>
              </w:rPr>
              <w:fldChar w:fldCharType="separate"/>
            </w:r>
            <w:r>
              <w:rPr>
                <w:color w:val="auto"/>
                <w:highlight w:val="none"/>
              </w:rPr>
              <w:t>④</w:t>
            </w:r>
            <w:r>
              <w:rPr>
                <w:color w:val="auto"/>
                <w:highlight w:val="none"/>
              </w:rPr>
              <w:fldChar w:fldCharType="end"/>
            </w:r>
            <w:r>
              <w:rPr>
                <w:rFonts w:ascii="宋体" w:hAnsi="宋体"/>
                <w:color w:val="auto"/>
                <w:sz w:val="24"/>
                <w:highlight w:val="none"/>
              </w:rPr>
              <w:t>同一受声点叠加背景噪声后的总噪声为：</w:t>
            </w:r>
          </w:p>
          <w:p w14:paraId="5C2BB066">
            <w:pPr>
              <w:snapToGrid w:val="0"/>
              <w:spacing w:line="360" w:lineRule="auto"/>
              <w:ind w:firstLine="539" w:firstLineChars="257"/>
              <w:jc w:val="center"/>
              <w:rPr>
                <w:color w:val="auto"/>
                <w:sz w:val="24"/>
                <w:highlight w:val="none"/>
              </w:rPr>
            </w:pPr>
            <w:r>
              <w:rPr>
                <w:color w:val="auto"/>
                <w:highlight w:val="none"/>
              </w:rPr>
              <w:fldChar w:fldCharType="begin"/>
            </w:r>
            <w:r>
              <w:rPr>
                <w:color w:val="auto"/>
                <w:highlight w:val="none"/>
              </w:rPr>
              <w:instrText xml:space="preserve"> INCLUDEPICTURE "C:\\Users\\ADMINI~1\\AppData\\Local\\Temp\\ksohtml7844\\wps7.png" \* MERGEFORMATINET </w:instrText>
            </w:r>
            <w:r>
              <w:rPr>
                <w:color w:val="auto"/>
                <w:highlight w:val="none"/>
              </w:rPr>
              <w:fldChar w:fldCharType="separate"/>
            </w:r>
            <w:r>
              <w:rPr>
                <w:color w:val="auto"/>
                <w:highlight w:val="none"/>
              </w:rPr>
              <w:drawing>
                <wp:inline distT="0" distB="0" distL="114300" distR="114300">
                  <wp:extent cx="2600325" cy="304800"/>
                  <wp:effectExtent l="0" t="0" r="9525" b="0"/>
                  <wp:docPr id="32" name="图片 14" descr="wp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 descr="wps7"/>
                          <pic:cNvPicPr>
                            <a:picLocks noChangeAspect="1"/>
                          </pic:cNvPicPr>
                        </pic:nvPicPr>
                        <pic:blipFill>
                          <a:blip r:embed="rId27"/>
                          <a:stretch>
                            <a:fillRect/>
                          </a:stretch>
                        </pic:blipFill>
                        <pic:spPr>
                          <a:xfrm>
                            <a:off x="0" y="0"/>
                            <a:ext cx="2600325" cy="304800"/>
                          </a:xfrm>
                          <a:prstGeom prst="rect">
                            <a:avLst/>
                          </a:prstGeom>
                          <a:noFill/>
                          <a:ln>
                            <a:noFill/>
                          </a:ln>
                        </pic:spPr>
                      </pic:pic>
                    </a:graphicData>
                  </a:graphic>
                </wp:inline>
              </w:drawing>
            </w:r>
            <w:r>
              <w:rPr>
                <w:color w:val="auto"/>
                <w:highlight w:val="none"/>
              </w:rPr>
              <w:fldChar w:fldCharType="end"/>
            </w:r>
            <w:r>
              <w:rPr>
                <w:color w:val="auto"/>
                <w:sz w:val="24"/>
                <w:highlight w:val="none"/>
              </w:rPr>
              <w:t xml:space="preserve"> </w:t>
            </w:r>
          </w:p>
          <w:p w14:paraId="3191965C">
            <w:pPr>
              <w:autoSpaceDE w:val="0"/>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1C18A906">
            <w:pPr>
              <w:autoSpaceDE w:val="0"/>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（LAeq）</w:t>
            </w:r>
            <w:r>
              <w:rPr>
                <w:rFonts w:hint="default" w:ascii="Times New Roman" w:hAnsi="Times New Roman" w:cs="Times New Roman"/>
                <w:color w:val="auto"/>
                <w:sz w:val="24"/>
                <w:highlight w:val="none"/>
                <w:vertAlign w:val="subscript"/>
              </w:rPr>
              <w:t>预</w:t>
            </w:r>
            <w:r>
              <w:rPr>
                <w:rFonts w:hint="default" w:ascii="Times New Roman" w:hAnsi="Times New Roman" w:cs="Times New Roman"/>
                <w:color w:val="auto"/>
                <w:sz w:val="24"/>
                <w:highlight w:val="none"/>
              </w:rPr>
              <w:t>——预测点昼间或夜间的环境噪声预测值，dB(A)；</w:t>
            </w:r>
          </w:p>
          <w:p w14:paraId="20A52865">
            <w:pPr>
              <w:autoSpaceDE w:val="0"/>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（LAeq）</w:t>
            </w:r>
            <w:r>
              <w:rPr>
                <w:rFonts w:hint="default" w:ascii="Times New Roman" w:hAnsi="Times New Roman" w:cs="Times New Roman"/>
                <w:color w:val="auto"/>
                <w:sz w:val="24"/>
                <w:highlight w:val="none"/>
                <w:vertAlign w:val="subscript"/>
              </w:rPr>
              <w:t>背</w:t>
            </w:r>
            <w:r>
              <w:rPr>
                <w:rFonts w:hint="default" w:ascii="Times New Roman" w:hAnsi="Times New Roman" w:cs="Times New Roman"/>
                <w:color w:val="auto"/>
                <w:sz w:val="24"/>
                <w:highlight w:val="none"/>
              </w:rPr>
              <w:t>——预测点预测时的环境噪声背景值，dB(A)；</w:t>
            </w:r>
          </w:p>
          <w:p w14:paraId="53F52E1E">
            <w:pPr>
              <w:autoSpaceDE w:val="0"/>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（LAeq）</w:t>
            </w:r>
            <w:r>
              <w:rPr>
                <w:rFonts w:hint="default" w:ascii="Times New Roman" w:hAnsi="Times New Roman" w:cs="Times New Roman"/>
                <w:color w:val="auto"/>
                <w:sz w:val="24"/>
                <w:highlight w:val="none"/>
                <w:vertAlign w:val="subscript"/>
              </w:rPr>
              <w:t>合</w:t>
            </w:r>
            <w:r>
              <w:rPr>
                <w:rFonts w:hint="default" w:ascii="Times New Roman" w:hAnsi="Times New Roman" w:cs="Times New Roman"/>
                <w:color w:val="auto"/>
                <w:sz w:val="24"/>
                <w:highlight w:val="none"/>
              </w:rPr>
              <w:t>——多个声源发出的噪声在同一预测受声点的合成噪声，dB(A)。</w:t>
            </w:r>
          </w:p>
          <w:p w14:paraId="6C517DF1">
            <w:pPr>
              <w:adjustRightInd w:val="0"/>
              <w:snapToGrid w:val="0"/>
              <w:spacing w:line="360" w:lineRule="auto"/>
              <w:ind w:firstLine="480" w:firstLineChars="200"/>
              <w:textAlignment w:val="baseline"/>
              <w:rPr>
                <w:b/>
                <w:color w:val="auto"/>
                <w:szCs w:val="21"/>
                <w:highlight w:val="none"/>
              </w:rPr>
            </w:pPr>
            <w:r>
              <w:rPr>
                <w:color w:val="auto"/>
                <w:sz w:val="24"/>
                <w:highlight w:val="none"/>
              </w:rPr>
              <w:t>经预测，</w:t>
            </w:r>
            <w:r>
              <w:rPr>
                <w:rFonts w:hint="eastAsia"/>
                <w:color w:val="auto"/>
                <w:sz w:val="24"/>
                <w:highlight w:val="none"/>
              </w:rPr>
              <w:t>运营期</w:t>
            </w:r>
            <w:r>
              <w:rPr>
                <w:color w:val="auto"/>
                <w:sz w:val="24"/>
                <w:highlight w:val="none"/>
              </w:rPr>
              <w:t>车间噪声达到厂界时的</w:t>
            </w:r>
            <w:r>
              <w:rPr>
                <w:rFonts w:hint="eastAsia"/>
                <w:color w:val="auto"/>
                <w:sz w:val="24"/>
                <w:highlight w:val="none"/>
              </w:rPr>
              <w:t>贡献值</w:t>
            </w:r>
            <w:r>
              <w:rPr>
                <w:color w:val="auto"/>
                <w:sz w:val="24"/>
                <w:highlight w:val="none"/>
              </w:rPr>
              <w:t>如下表所示：</w:t>
            </w:r>
          </w:p>
          <w:p w14:paraId="1B836F63">
            <w:pPr>
              <w:adjustRightInd w:val="0"/>
              <w:snapToGrid w:val="0"/>
              <w:jc w:val="center"/>
              <w:rPr>
                <w:b/>
                <w:color w:val="auto"/>
                <w:szCs w:val="21"/>
                <w:highlight w:val="none"/>
              </w:rPr>
            </w:pPr>
            <w:r>
              <w:rPr>
                <w:b/>
                <w:color w:val="auto"/>
                <w:szCs w:val="21"/>
                <w:highlight w:val="none"/>
              </w:rPr>
              <w:t>表4-</w:t>
            </w:r>
            <w:r>
              <w:rPr>
                <w:rFonts w:hint="eastAsia"/>
                <w:b/>
                <w:color w:val="auto"/>
                <w:szCs w:val="21"/>
                <w:highlight w:val="none"/>
                <w:lang w:val="en-US" w:eastAsia="zh-CN"/>
              </w:rPr>
              <w:t>10</w:t>
            </w:r>
            <w:r>
              <w:rPr>
                <w:rFonts w:hint="eastAsia"/>
                <w:b/>
                <w:color w:val="auto"/>
                <w:szCs w:val="21"/>
                <w:highlight w:val="none"/>
              </w:rPr>
              <w:t xml:space="preserve"> </w:t>
            </w:r>
            <w:r>
              <w:rPr>
                <w:b/>
                <w:color w:val="auto"/>
                <w:szCs w:val="21"/>
                <w:highlight w:val="none"/>
              </w:rPr>
              <w:t xml:space="preserve"> </w:t>
            </w:r>
            <w:r>
              <w:rPr>
                <w:rFonts w:hint="eastAsia"/>
                <w:b/>
                <w:color w:val="auto"/>
                <w:szCs w:val="21"/>
                <w:highlight w:val="none"/>
              </w:rPr>
              <w:t>项目</w:t>
            </w:r>
            <w:r>
              <w:rPr>
                <w:b/>
                <w:color w:val="auto"/>
                <w:szCs w:val="21"/>
                <w:highlight w:val="none"/>
              </w:rPr>
              <w:t>厂界噪声</w:t>
            </w:r>
            <w:r>
              <w:rPr>
                <w:rFonts w:hint="eastAsia"/>
                <w:b/>
                <w:color w:val="auto"/>
                <w:szCs w:val="21"/>
                <w:highlight w:val="none"/>
              </w:rPr>
              <w:t>贡献值</w:t>
            </w:r>
            <w:r>
              <w:rPr>
                <w:b/>
                <w:color w:val="auto"/>
                <w:szCs w:val="21"/>
                <w:highlight w:val="none"/>
              </w:rPr>
              <w:t>结果统计表</w:t>
            </w:r>
            <w:r>
              <w:rPr>
                <w:rFonts w:hint="eastAsia"/>
                <w:b/>
                <w:color w:val="auto"/>
                <w:szCs w:val="21"/>
                <w:highlight w:val="none"/>
              </w:rPr>
              <w:t xml:space="preserve">  单位：</w:t>
            </w:r>
            <w:r>
              <w:rPr>
                <w:b/>
                <w:color w:val="auto"/>
                <w:szCs w:val="21"/>
                <w:highlight w:val="none"/>
              </w:rPr>
              <w:t>dB(A)</w:t>
            </w:r>
          </w:p>
          <w:tbl>
            <w:tblPr>
              <w:tblStyle w:val="31"/>
              <w:tblW w:w="79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1590"/>
              <w:gridCol w:w="1590"/>
              <w:gridCol w:w="1590"/>
              <w:gridCol w:w="1591"/>
            </w:tblGrid>
            <w:tr w14:paraId="579C30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exact"/>
                <w:jc w:val="center"/>
              </w:trPr>
              <w:tc>
                <w:tcPr>
                  <w:tcW w:w="1590" w:type="dxa"/>
                  <w:vMerge w:val="restart"/>
                  <w:tcBorders>
                    <w:tl2br w:val="nil"/>
                    <w:tr2bl w:val="nil"/>
                  </w:tcBorders>
                  <w:vAlign w:val="center"/>
                </w:tcPr>
                <w:p w14:paraId="09D47FE5">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预测方位</w:t>
                  </w:r>
                </w:p>
              </w:tc>
              <w:tc>
                <w:tcPr>
                  <w:tcW w:w="1590" w:type="dxa"/>
                  <w:vMerge w:val="restart"/>
                  <w:tcBorders>
                    <w:tl2br w:val="nil"/>
                    <w:tr2bl w:val="nil"/>
                  </w:tcBorders>
                  <w:vAlign w:val="center"/>
                </w:tcPr>
                <w:p w14:paraId="79B5B871">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时段</w:t>
                  </w:r>
                </w:p>
              </w:tc>
              <w:tc>
                <w:tcPr>
                  <w:tcW w:w="1590" w:type="dxa"/>
                  <w:vMerge w:val="restart"/>
                  <w:tcBorders>
                    <w:tl2br w:val="nil"/>
                    <w:tr2bl w:val="nil"/>
                  </w:tcBorders>
                  <w:vAlign w:val="center"/>
                </w:tcPr>
                <w:p w14:paraId="057E2F7E">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贡献值</w:t>
                  </w:r>
                </w:p>
              </w:tc>
              <w:tc>
                <w:tcPr>
                  <w:tcW w:w="1590" w:type="dxa"/>
                  <w:vMerge w:val="restart"/>
                  <w:tcBorders>
                    <w:tl2br w:val="nil"/>
                    <w:tr2bl w:val="nil"/>
                  </w:tcBorders>
                  <w:vAlign w:val="center"/>
                </w:tcPr>
                <w:p w14:paraId="09324F41">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标准限值</w:t>
                  </w:r>
                </w:p>
              </w:tc>
              <w:tc>
                <w:tcPr>
                  <w:tcW w:w="1591" w:type="dxa"/>
                  <w:vMerge w:val="restart"/>
                  <w:tcBorders>
                    <w:tl2br w:val="nil"/>
                    <w:tr2bl w:val="nil"/>
                  </w:tcBorders>
                  <w:vAlign w:val="center"/>
                </w:tcPr>
                <w:p w14:paraId="4E2F723E">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达标情况</w:t>
                  </w:r>
                </w:p>
              </w:tc>
            </w:tr>
            <w:tr w14:paraId="7842BB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90" w:type="dxa"/>
                  <w:vMerge w:val="continue"/>
                  <w:tcBorders>
                    <w:tl2br w:val="nil"/>
                    <w:tr2bl w:val="nil"/>
                  </w:tcBorders>
                  <w:shd w:val="clear" w:color="auto" w:fill="FFFFFF"/>
                  <w:vAlign w:val="center"/>
                </w:tcPr>
                <w:p w14:paraId="245B8CB3">
                  <w:pPr>
                    <w:jc w:val="center"/>
                    <w:rPr>
                      <w:rFonts w:eastAsiaTheme="minorEastAsia"/>
                      <w:color w:val="auto"/>
                      <w:szCs w:val="21"/>
                      <w:highlight w:val="none"/>
                    </w:rPr>
                  </w:pPr>
                </w:p>
              </w:tc>
              <w:tc>
                <w:tcPr>
                  <w:tcW w:w="1590" w:type="dxa"/>
                  <w:vMerge w:val="continue"/>
                  <w:tcBorders>
                    <w:tl2br w:val="nil"/>
                    <w:tr2bl w:val="nil"/>
                  </w:tcBorders>
                  <w:shd w:val="clear" w:color="auto" w:fill="FFFFFF"/>
                  <w:vAlign w:val="center"/>
                </w:tcPr>
                <w:p w14:paraId="12E42441">
                  <w:pPr>
                    <w:jc w:val="center"/>
                    <w:rPr>
                      <w:rFonts w:eastAsiaTheme="minorEastAsia"/>
                      <w:color w:val="auto"/>
                      <w:szCs w:val="21"/>
                      <w:highlight w:val="none"/>
                    </w:rPr>
                  </w:pPr>
                </w:p>
              </w:tc>
              <w:tc>
                <w:tcPr>
                  <w:tcW w:w="1590" w:type="dxa"/>
                  <w:vMerge w:val="continue"/>
                  <w:tcBorders>
                    <w:tl2br w:val="nil"/>
                    <w:tr2bl w:val="nil"/>
                  </w:tcBorders>
                  <w:shd w:val="clear" w:color="auto" w:fill="FFFFFF"/>
                  <w:vAlign w:val="center"/>
                </w:tcPr>
                <w:p w14:paraId="41B5E899">
                  <w:pPr>
                    <w:jc w:val="center"/>
                    <w:rPr>
                      <w:rFonts w:eastAsiaTheme="minorEastAsia"/>
                      <w:color w:val="auto"/>
                      <w:szCs w:val="21"/>
                      <w:highlight w:val="none"/>
                    </w:rPr>
                  </w:pPr>
                </w:p>
              </w:tc>
              <w:tc>
                <w:tcPr>
                  <w:tcW w:w="1590" w:type="dxa"/>
                  <w:vMerge w:val="continue"/>
                  <w:tcBorders>
                    <w:tl2br w:val="nil"/>
                    <w:tr2bl w:val="nil"/>
                  </w:tcBorders>
                  <w:shd w:val="clear" w:color="auto" w:fill="FFFFFF"/>
                  <w:vAlign w:val="center"/>
                </w:tcPr>
                <w:p w14:paraId="5B116D6E">
                  <w:pPr>
                    <w:jc w:val="center"/>
                    <w:rPr>
                      <w:rFonts w:eastAsiaTheme="minorEastAsia"/>
                      <w:color w:val="auto"/>
                      <w:szCs w:val="21"/>
                      <w:highlight w:val="none"/>
                    </w:rPr>
                  </w:pPr>
                </w:p>
              </w:tc>
              <w:tc>
                <w:tcPr>
                  <w:tcW w:w="1591" w:type="dxa"/>
                  <w:vMerge w:val="continue"/>
                  <w:tcBorders>
                    <w:tl2br w:val="nil"/>
                    <w:tr2bl w:val="nil"/>
                  </w:tcBorders>
                  <w:shd w:val="clear" w:color="auto" w:fill="FFFFFF"/>
                  <w:vAlign w:val="center"/>
                </w:tcPr>
                <w:p w14:paraId="45865512">
                  <w:pPr>
                    <w:jc w:val="center"/>
                    <w:rPr>
                      <w:rFonts w:eastAsiaTheme="minorEastAsia"/>
                      <w:color w:val="auto"/>
                      <w:szCs w:val="21"/>
                      <w:highlight w:val="none"/>
                    </w:rPr>
                  </w:pPr>
                </w:p>
              </w:tc>
            </w:tr>
            <w:tr w14:paraId="5B15C5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1" w:hRule="exact"/>
                <w:jc w:val="center"/>
              </w:trPr>
              <w:tc>
                <w:tcPr>
                  <w:tcW w:w="1590" w:type="dxa"/>
                  <w:vMerge w:val="restart"/>
                  <w:tcBorders>
                    <w:tl2br w:val="nil"/>
                    <w:tr2bl w:val="nil"/>
                  </w:tcBorders>
                  <w:shd w:val="clear" w:color="auto" w:fill="FFFFFF"/>
                  <w:vAlign w:val="center"/>
                </w:tcPr>
                <w:p w14:paraId="680FCCA8">
                  <w:pPr>
                    <w:jc w:val="center"/>
                    <w:rPr>
                      <w:color w:val="auto"/>
                      <w:szCs w:val="21"/>
                      <w:highlight w:val="none"/>
                    </w:rPr>
                  </w:pPr>
                  <w:r>
                    <w:rPr>
                      <w:rFonts w:eastAsia="Arial"/>
                      <w:color w:val="auto"/>
                      <w:szCs w:val="21"/>
                      <w:highlight w:val="none"/>
                    </w:rPr>
                    <w:t>东侧</w:t>
                  </w:r>
                </w:p>
              </w:tc>
              <w:tc>
                <w:tcPr>
                  <w:tcW w:w="1590" w:type="dxa"/>
                  <w:tcBorders>
                    <w:tl2br w:val="nil"/>
                    <w:tr2bl w:val="nil"/>
                  </w:tcBorders>
                  <w:shd w:val="clear" w:color="auto" w:fill="FFFFFF"/>
                  <w:vAlign w:val="center"/>
                </w:tcPr>
                <w:p w14:paraId="1A722543">
                  <w:pPr>
                    <w:jc w:val="center"/>
                    <w:rPr>
                      <w:color w:val="auto"/>
                      <w:szCs w:val="21"/>
                      <w:highlight w:val="none"/>
                    </w:rPr>
                  </w:pPr>
                  <w:r>
                    <w:rPr>
                      <w:rFonts w:eastAsia="Arial"/>
                      <w:color w:val="auto"/>
                      <w:szCs w:val="21"/>
                      <w:highlight w:val="none"/>
                    </w:rPr>
                    <w:t>昼间</w:t>
                  </w:r>
                </w:p>
              </w:tc>
              <w:tc>
                <w:tcPr>
                  <w:tcW w:w="1590" w:type="dxa"/>
                  <w:tcBorders>
                    <w:tl2br w:val="nil"/>
                    <w:tr2bl w:val="nil"/>
                  </w:tcBorders>
                  <w:shd w:val="clear" w:color="auto" w:fill="FFFFFF"/>
                  <w:vAlign w:val="center"/>
                </w:tcPr>
                <w:p w14:paraId="5D7ABB47">
                  <w:pPr>
                    <w:jc w:val="center"/>
                    <w:rPr>
                      <w:rFonts w:hint="default" w:ascii="Times New Roman" w:hAnsi="Times New Roman" w:cs="Times New Roman"/>
                      <w:color w:val="auto"/>
                      <w:sz w:val="21"/>
                      <w:szCs w:val="21"/>
                      <w:highlight w:val="none"/>
                    </w:rPr>
                  </w:pPr>
                  <w:r>
                    <w:rPr>
                      <w:rFonts w:hint="default" w:ascii="Times New Roman" w:hAnsi="Times New Roman" w:eastAsia="Arial" w:cs="Times New Roman"/>
                      <w:color w:val="auto"/>
                      <w:sz w:val="20"/>
                      <w:highlight w:val="none"/>
                    </w:rPr>
                    <w:t>39.2</w:t>
                  </w:r>
                </w:p>
              </w:tc>
              <w:tc>
                <w:tcPr>
                  <w:tcW w:w="1590" w:type="dxa"/>
                  <w:tcBorders>
                    <w:tl2br w:val="nil"/>
                    <w:tr2bl w:val="nil"/>
                  </w:tcBorders>
                  <w:shd w:val="clear" w:color="auto" w:fill="FFFFFF"/>
                  <w:vAlign w:val="center"/>
                </w:tcPr>
                <w:p w14:paraId="2B582B61">
                  <w:pPr>
                    <w:jc w:val="center"/>
                    <w:rPr>
                      <w:color w:val="auto"/>
                      <w:szCs w:val="21"/>
                      <w:highlight w:val="none"/>
                    </w:rPr>
                  </w:pPr>
                  <w:r>
                    <w:rPr>
                      <w:rFonts w:eastAsia="Arial"/>
                      <w:color w:val="auto"/>
                      <w:szCs w:val="21"/>
                      <w:highlight w:val="none"/>
                    </w:rPr>
                    <w:t>60</w:t>
                  </w:r>
                </w:p>
              </w:tc>
              <w:tc>
                <w:tcPr>
                  <w:tcW w:w="1591" w:type="dxa"/>
                  <w:tcBorders>
                    <w:tl2br w:val="nil"/>
                    <w:tr2bl w:val="nil"/>
                  </w:tcBorders>
                  <w:shd w:val="clear" w:color="auto" w:fill="FFFFFF"/>
                  <w:vAlign w:val="center"/>
                </w:tcPr>
                <w:p w14:paraId="3B5B8299">
                  <w:pPr>
                    <w:jc w:val="center"/>
                    <w:rPr>
                      <w:color w:val="auto"/>
                      <w:szCs w:val="21"/>
                      <w:highlight w:val="none"/>
                    </w:rPr>
                  </w:pPr>
                  <w:r>
                    <w:rPr>
                      <w:rFonts w:eastAsia="Arial"/>
                      <w:color w:val="auto"/>
                      <w:szCs w:val="21"/>
                      <w:highlight w:val="none"/>
                    </w:rPr>
                    <w:t>达标</w:t>
                  </w:r>
                </w:p>
              </w:tc>
            </w:tr>
            <w:tr w14:paraId="4407AD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1" w:hRule="exact"/>
                <w:jc w:val="center"/>
              </w:trPr>
              <w:tc>
                <w:tcPr>
                  <w:tcW w:w="1590" w:type="dxa"/>
                  <w:vMerge w:val="continue"/>
                  <w:tcBorders>
                    <w:tl2br w:val="nil"/>
                    <w:tr2bl w:val="nil"/>
                  </w:tcBorders>
                  <w:shd w:val="clear" w:color="auto" w:fill="FFFFFF"/>
                  <w:vAlign w:val="center"/>
                </w:tcPr>
                <w:p w14:paraId="6B8A1A67">
                  <w:pPr>
                    <w:jc w:val="center"/>
                    <w:rPr>
                      <w:rFonts w:eastAsia="Arial"/>
                      <w:color w:val="auto"/>
                      <w:szCs w:val="21"/>
                      <w:highlight w:val="none"/>
                    </w:rPr>
                  </w:pPr>
                </w:p>
              </w:tc>
              <w:tc>
                <w:tcPr>
                  <w:tcW w:w="1590" w:type="dxa"/>
                  <w:tcBorders>
                    <w:tl2br w:val="nil"/>
                    <w:tr2bl w:val="nil"/>
                  </w:tcBorders>
                  <w:shd w:val="clear" w:color="auto" w:fill="FFFFFF"/>
                  <w:vAlign w:val="center"/>
                </w:tcPr>
                <w:p w14:paraId="4EBC65C5">
                  <w:pPr>
                    <w:jc w:val="center"/>
                    <w:rPr>
                      <w:rFonts w:hint="eastAsia" w:eastAsia="宋体"/>
                      <w:color w:val="auto"/>
                      <w:szCs w:val="21"/>
                      <w:highlight w:val="none"/>
                      <w:lang w:eastAsia="zh-CN"/>
                    </w:rPr>
                  </w:pPr>
                  <w:r>
                    <w:rPr>
                      <w:rFonts w:hint="eastAsia" w:eastAsia="宋体"/>
                      <w:color w:val="auto"/>
                      <w:szCs w:val="21"/>
                      <w:highlight w:val="none"/>
                      <w:lang w:eastAsia="zh-CN"/>
                    </w:rPr>
                    <w:t>夜间</w:t>
                  </w:r>
                </w:p>
              </w:tc>
              <w:tc>
                <w:tcPr>
                  <w:tcW w:w="1590" w:type="dxa"/>
                  <w:tcBorders>
                    <w:tl2br w:val="nil"/>
                    <w:tr2bl w:val="nil"/>
                  </w:tcBorders>
                  <w:shd w:val="clear" w:color="auto" w:fill="FFFFFF"/>
                  <w:vAlign w:val="center"/>
                </w:tcPr>
                <w:p w14:paraId="093039BD">
                  <w:pPr>
                    <w:jc w:val="center"/>
                    <w:rPr>
                      <w:rFonts w:hint="default" w:ascii="Times New Roman" w:hAnsi="Times New Roman" w:eastAsia="Arial" w:cs="Times New Roman"/>
                      <w:color w:val="auto"/>
                      <w:sz w:val="21"/>
                      <w:szCs w:val="21"/>
                      <w:highlight w:val="none"/>
                    </w:rPr>
                  </w:pPr>
                  <w:r>
                    <w:rPr>
                      <w:rFonts w:hint="default" w:ascii="Times New Roman" w:hAnsi="Times New Roman" w:eastAsia="Arial" w:cs="Times New Roman"/>
                      <w:color w:val="auto"/>
                      <w:sz w:val="20"/>
                      <w:highlight w:val="none"/>
                    </w:rPr>
                    <w:t>39.2</w:t>
                  </w:r>
                </w:p>
              </w:tc>
              <w:tc>
                <w:tcPr>
                  <w:tcW w:w="1590" w:type="dxa"/>
                  <w:tcBorders>
                    <w:tl2br w:val="nil"/>
                    <w:tr2bl w:val="nil"/>
                  </w:tcBorders>
                  <w:shd w:val="clear" w:color="auto" w:fill="FFFFFF"/>
                  <w:vAlign w:val="center"/>
                </w:tcPr>
                <w:p w14:paraId="64893106">
                  <w:pPr>
                    <w:jc w:val="center"/>
                    <w:rPr>
                      <w:rFonts w:hint="default" w:eastAsia="宋体"/>
                      <w:color w:val="auto"/>
                      <w:szCs w:val="21"/>
                      <w:highlight w:val="none"/>
                      <w:lang w:val="en-US" w:eastAsia="zh-CN"/>
                    </w:rPr>
                  </w:pPr>
                  <w:r>
                    <w:rPr>
                      <w:rFonts w:hint="eastAsia" w:eastAsia="宋体"/>
                      <w:color w:val="auto"/>
                      <w:szCs w:val="21"/>
                      <w:highlight w:val="none"/>
                      <w:lang w:val="en-US" w:eastAsia="zh-CN"/>
                    </w:rPr>
                    <w:t>50</w:t>
                  </w:r>
                </w:p>
              </w:tc>
              <w:tc>
                <w:tcPr>
                  <w:tcW w:w="1591" w:type="dxa"/>
                  <w:tcBorders>
                    <w:tl2br w:val="nil"/>
                    <w:tr2bl w:val="nil"/>
                  </w:tcBorders>
                  <w:shd w:val="clear" w:color="auto" w:fill="FFFFFF"/>
                  <w:vAlign w:val="center"/>
                </w:tcPr>
                <w:p w14:paraId="3AB2EDA8">
                  <w:pPr>
                    <w:jc w:val="center"/>
                    <w:rPr>
                      <w:rFonts w:eastAsia="Arial"/>
                      <w:color w:val="auto"/>
                      <w:szCs w:val="21"/>
                      <w:highlight w:val="none"/>
                    </w:rPr>
                  </w:pPr>
                  <w:r>
                    <w:rPr>
                      <w:rFonts w:eastAsia="Arial"/>
                      <w:color w:val="auto"/>
                      <w:szCs w:val="21"/>
                      <w:highlight w:val="none"/>
                    </w:rPr>
                    <w:t>达标</w:t>
                  </w:r>
                </w:p>
              </w:tc>
            </w:tr>
            <w:tr w14:paraId="3E71C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1" w:hRule="exact"/>
                <w:jc w:val="center"/>
              </w:trPr>
              <w:tc>
                <w:tcPr>
                  <w:tcW w:w="1590" w:type="dxa"/>
                  <w:vMerge w:val="restart"/>
                  <w:tcBorders>
                    <w:tl2br w:val="nil"/>
                    <w:tr2bl w:val="nil"/>
                  </w:tcBorders>
                  <w:shd w:val="clear" w:color="auto" w:fill="FFFFFF"/>
                  <w:vAlign w:val="center"/>
                </w:tcPr>
                <w:p w14:paraId="7CC3A6F6">
                  <w:pPr>
                    <w:jc w:val="center"/>
                    <w:rPr>
                      <w:color w:val="auto"/>
                      <w:szCs w:val="21"/>
                      <w:highlight w:val="none"/>
                    </w:rPr>
                  </w:pPr>
                  <w:r>
                    <w:rPr>
                      <w:rFonts w:eastAsia="Arial"/>
                      <w:color w:val="auto"/>
                      <w:szCs w:val="21"/>
                      <w:highlight w:val="none"/>
                    </w:rPr>
                    <w:t>南侧</w:t>
                  </w:r>
                </w:p>
              </w:tc>
              <w:tc>
                <w:tcPr>
                  <w:tcW w:w="1590" w:type="dxa"/>
                  <w:tcBorders>
                    <w:tl2br w:val="nil"/>
                    <w:tr2bl w:val="nil"/>
                  </w:tcBorders>
                  <w:shd w:val="clear" w:color="auto" w:fill="FFFFFF"/>
                  <w:vAlign w:val="center"/>
                </w:tcPr>
                <w:p w14:paraId="67E562B1">
                  <w:pPr>
                    <w:jc w:val="center"/>
                    <w:rPr>
                      <w:color w:val="auto"/>
                      <w:szCs w:val="21"/>
                      <w:highlight w:val="none"/>
                    </w:rPr>
                  </w:pPr>
                  <w:r>
                    <w:rPr>
                      <w:rFonts w:eastAsia="Arial"/>
                      <w:color w:val="auto"/>
                      <w:szCs w:val="21"/>
                      <w:highlight w:val="none"/>
                    </w:rPr>
                    <w:t>昼间</w:t>
                  </w:r>
                </w:p>
              </w:tc>
              <w:tc>
                <w:tcPr>
                  <w:tcW w:w="1590" w:type="dxa"/>
                  <w:tcBorders>
                    <w:tl2br w:val="nil"/>
                    <w:tr2bl w:val="nil"/>
                  </w:tcBorders>
                  <w:shd w:val="clear" w:color="auto" w:fill="FFFFFF"/>
                  <w:vAlign w:val="center"/>
                </w:tcPr>
                <w:p w14:paraId="43BE040D">
                  <w:pPr>
                    <w:jc w:val="center"/>
                    <w:rPr>
                      <w:rFonts w:hint="default" w:ascii="Times New Roman" w:hAnsi="Times New Roman" w:cs="Times New Roman"/>
                      <w:color w:val="auto"/>
                      <w:sz w:val="21"/>
                      <w:szCs w:val="21"/>
                      <w:highlight w:val="none"/>
                    </w:rPr>
                  </w:pPr>
                  <w:r>
                    <w:rPr>
                      <w:rFonts w:hint="default" w:ascii="Times New Roman" w:hAnsi="Times New Roman" w:eastAsia="Arial" w:cs="Times New Roman"/>
                      <w:color w:val="auto"/>
                      <w:sz w:val="20"/>
                      <w:highlight w:val="none"/>
                    </w:rPr>
                    <w:t>42.6</w:t>
                  </w:r>
                </w:p>
              </w:tc>
              <w:tc>
                <w:tcPr>
                  <w:tcW w:w="1590" w:type="dxa"/>
                  <w:tcBorders>
                    <w:tl2br w:val="nil"/>
                    <w:tr2bl w:val="nil"/>
                  </w:tcBorders>
                  <w:shd w:val="clear" w:color="auto" w:fill="FFFFFF"/>
                  <w:vAlign w:val="center"/>
                </w:tcPr>
                <w:p w14:paraId="1786408E">
                  <w:pPr>
                    <w:jc w:val="center"/>
                    <w:rPr>
                      <w:color w:val="auto"/>
                      <w:szCs w:val="21"/>
                      <w:highlight w:val="none"/>
                    </w:rPr>
                  </w:pPr>
                  <w:r>
                    <w:rPr>
                      <w:rFonts w:eastAsia="Arial"/>
                      <w:color w:val="auto"/>
                      <w:szCs w:val="21"/>
                      <w:highlight w:val="none"/>
                    </w:rPr>
                    <w:t>60</w:t>
                  </w:r>
                </w:p>
              </w:tc>
              <w:tc>
                <w:tcPr>
                  <w:tcW w:w="1591" w:type="dxa"/>
                  <w:tcBorders>
                    <w:tl2br w:val="nil"/>
                    <w:tr2bl w:val="nil"/>
                  </w:tcBorders>
                  <w:shd w:val="clear" w:color="auto" w:fill="FFFFFF"/>
                  <w:vAlign w:val="center"/>
                </w:tcPr>
                <w:p w14:paraId="5B0F6B5B">
                  <w:pPr>
                    <w:jc w:val="center"/>
                    <w:rPr>
                      <w:color w:val="auto"/>
                      <w:szCs w:val="21"/>
                      <w:highlight w:val="none"/>
                    </w:rPr>
                  </w:pPr>
                  <w:r>
                    <w:rPr>
                      <w:rFonts w:eastAsia="Arial"/>
                      <w:color w:val="auto"/>
                      <w:szCs w:val="21"/>
                      <w:highlight w:val="none"/>
                    </w:rPr>
                    <w:t>达标</w:t>
                  </w:r>
                </w:p>
              </w:tc>
            </w:tr>
            <w:tr w14:paraId="48AFE1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1" w:hRule="exact"/>
                <w:jc w:val="center"/>
              </w:trPr>
              <w:tc>
                <w:tcPr>
                  <w:tcW w:w="1590" w:type="dxa"/>
                  <w:vMerge w:val="continue"/>
                  <w:tcBorders>
                    <w:tl2br w:val="nil"/>
                    <w:tr2bl w:val="nil"/>
                  </w:tcBorders>
                  <w:shd w:val="clear" w:color="auto" w:fill="FFFFFF"/>
                  <w:vAlign w:val="center"/>
                </w:tcPr>
                <w:p w14:paraId="605C9A59">
                  <w:pPr>
                    <w:jc w:val="center"/>
                    <w:rPr>
                      <w:rFonts w:eastAsia="Arial"/>
                      <w:color w:val="auto"/>
                      <w:szCs w:val="21"/>
                      <w:highlight w:val="none"/>
                    </w:rPr>
                  </w:pPr>
                </w:p>
              </w:tc>
              <w:tc>
                <w:tcPr>
                  <w:tcW w:w="1590" w:type="dxa"/>
                  <w:tcBorders>
                    <w:tl2br w:val="nil"/>
                    <w:tr2bl w:val="nil"/>
                  </w:tcBorders>
                  <w:shd w:val="clear" w:color="auto" w:fill="FFFFFF"/>
                  <w:vAlign w:val="center"/>
                </w:tcPr>
                <w:p w14:paraId="5AD44296">
                  <w:pPr>
                    <w:jc w:val="center"/>
                    <w:rPr>
                      <w:rFonts w:eastAsia="Arial"/>
                      <w:color w:val="auto"/>
                      <w:szCs w:val="21"/>
                      <w:highlight w:val="none"/>
                    </w:rPr>
                  </w:pPr>
                  <w:r>
                    <w:rPr>
                      <w:rFonts w:hint="eastAsia" w:eastAsia="宋体"/>
                      <w:color w:val="auto"/>
                      <w:szCs w:val="21"/>
                      <w:highlight w:val="none"/>
                      <w:lang w:eastAsia="zh-CN"/>
                    </w:rPr>
                    <w:t>夜间</w:t>
                  </w:r>
                </w:p>
              </w:tc>
              <w:tc>
                <w:tcPr>
                  <w:tcW w:w="1590" w:type="dxa"/>
                  <w:tcBorders>
                    <w:tl2br w:val="nil"/>
                    <w:tr2bl w:val="nil"/>
                  </w:tcBorders>
                  <w:shd w:val="clear" w:color="auto" w:fill="FFFFFF"/>
                  <w:vAlign w:val="center"/>
                </w:tcPr>
                <w:p w14:paraId="47417933">
                  <w:pPr>
                    <w:jc w:val="center"/>
                    <w:rPr>
                      <w:rFonts w:hint="default" w:ascii="Times New Roman" w:hAnsi="Times New Roman" w:eastAsia="Arial" w:cs="Times New Roman"/>
                      <w:color w:val="auto"/>
                      <w:sz w:val="21"/>
                      <w:szCs w:val="21"/>
                      <w:highlight w:val="none"/>
                    </w:rPr>
                  </w:pPr>
                  <w:r>
                    <w:rPr>
                      <w:rFonts w:hint="default" w:ascii="Times New Roman" w:hAnsi="Times New Roman" w:eastAsia="Arial" w:cs="Times New Roman"/>
                      <w:color w:val="auto"/>
                      <w:sz w:val="20"/>
                      <w:highlight w:val="none"/>
                    </w:rPr>
                    <w:t>42.6</w:t>
                  </w:r>
                </w:p>
              </w:tc>
              <w:tc>
                <w:tcPr>
                  <w:tcW w:w="1590" w:type="dxa"/>
                  <w:tcBorders>
                    <w:tl2br w:val="nil"/>
                    <w:tr2bl w:val="nil"/>
                  </w:tcBorders>
                  <w:shd w:val="clear" w:color="auto" w:fill="FFFFFF"/>
                  <w:vAlign w:val="center"/>
                </w:tcPr>
                <w:p w14:paraId="25A14613">
                  <w:pPr>
                    <w:jc w:val="center"/>
                    <w:rPr>
                      <w:rFonts w:eastAsia="Arial"/>
                      <w:color w:val="auto"/>
                      <w:szCs w:val="21"/>
                      <w:highlight w:val="none"/>
                    </w:rPr>
                  </w:pPr>
                  <w:r>
                    <w:rPr>
                      <w:rFonts w:hint="eastAsia" w:eastAsia="宋体"/>
                      <w:color w:val="auto"/>
                      <w:szCs w:val="21"/>
                      <w:highlight w:val="none"/>
                      <w:lang w:val="en-US" w:eastAsia="zh-CN"/>
                    </w:rPr>
                    <w:t>50</w:t>
                  </w:r>
                </w:p>
              </w:tc>
              <w:tc>
                <w:tcPr>
                  <w:tcW w:w="1591" w:type="dxa"/>
                  <w:tcBorders>
                    <w:tl2br w:val="nil"/>
                    <w:tr2bl w:val="nil"/>
                  </w:tcBorders>
                  <w:shd w:val="clear" w:color="auto" w:fill="FFFFFF"/>
                  <w:vAlign w:val="center"/>
                </w:tcPr>
                <w:p w14:paraId="34B174B9">
                  <w:pPr>
                    <w:jc w:val="center"/>
                    <w:rPr>
                      <w:rFonts w:eastAsia="Arial"/>
                      <w:color w:val="auto"/>
                      <w:szCs w:val="21"/>
                      <w:highlight w:val="none"/>
                    </w:rPr>
                  </w:pPr>
                  <w:r>
                    <w:rPr>
                      <w:rFonts w:eastAsia="Arial"/>
                      <w:color w:val="auto"/>
                      <w:szCs w:val="21"/>
                      <w:highlight w:val="none"/>
                    </w:rPr>
                    <w:t>达标</w:t>
                  </w:r>
                </w:p>
              </w:tc>
            </w:tr>
            <w:tr w14:paraId="53AAA4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1" w:hRule="exact"/>
                <w:jc w:val="center"/>
              </w:trPr>
              <w:tc>
                <w:tcPr>
                  <w:tcW w:w="1590" w:type="dxa"/>
                  <w:vMerge w:val="restart"/>
                  <w:tcBorders>
                    <w:tl2br w:val="nil"/>
                    <w:tr2bl w:val="nil"/>
                  </w:tcBorders>
                  <w:shd w:val="clear" w:color="auto" w:fill="FFFFFF"/>
                  <w:vAlign w:val="center"/>
                </w:tcPr>
                <w:p w14:paraId="116B7A8B">
                  <w:pPr>
                    <w:jc w:val="center"/>
                    <w:rPr>
                      <w:color w:val="auto"/>
                      <w:szCs w:val="21"/>
                      <w:highlight w:val="none"/>
                    </w:rPr>
                  </w:pPr>
                  <w:r>
                    <w:rPr>
                      <w:rFonts w:eastAsia="Arial"/>
                      <w:color w:val="auto"/>
                      <w:szCs w:val="21"/>
                      <w:highlight w:val="none"/>
                    </w:rPr>
                    <w:t>西侧</w:t>
                  </w:r>
                </w:p>
              </w:tc>
              <w:tc>
                <w:tcPr>
                  <w:tcW w:w="1590" w:type="dxa"/>
                  <w:tcBorders>
                    <w:tl2br w:val="nil"/>
                    <w:tr2bl w:val="nil"/>
                  </w:tcBorders>
                  <w:shd w:val="clear" w:color="auto" w:fill="FFFFFF"/>
                  <w:vAlign w:val="center"/>
                </w:tcPr>
                <w:p w14:paraId="26AA3092">
                  <w:pPr>
                    <w:jc w:val="center"/>
                    <w:rPr>
                      <w:color w:val="auto"/>
                      <w:szCs w:val="21"/>
                      <w:highlight w:val="none"/>
                    </w:rPr>
                  </w:pPr>
                  <w:r>
                    <w:rPr>
                      <w:rFonts w:eastAsia="Arial"/>
                      <w:color w:val="auto"/>
                      <w:szCs w:val="21"/>
                      <w:highlight w:val="none"/>
                    </w:rPr>
                    <w:t>昼间</w:t>
                  </w:r>
                </w:p>
              </w:tc>
              <w:tc>
                <w:tcPr>
                  <w:tcW w:w="1590" w:type="dxa"/>
                  <w:tcBorders>
                    <w:tl2br w:val="nil"/>
                    <w:tr2bl w:val="nil"/>
                  </w:tcBorders>
                  <w:shd w:val="clear" w:color="auto" w:fill="FFFFFF"/>
                  <w:vAlign w:val="center"/>
                </w:tcPr>
                <w:p w14:paraId="4A7D9AC3">
                  <w:pPr>
                    <w:jc w:val="center"/>
                    <w:rPr>
                      <w:rFonts w:hint="default" w:ascii="Times New Roman" w:hAnsi="Times New Roman" w:cs="Times New Roman"/>
                      <w:color w:val="auto"/>
                      <w:sz w:val="21"/>
                      <w:szCs w:val="21"/>
                      <w:highlight w:val="none"/>
                    </w:rPr>
                  </w:pPr>
                  <w:r>
                    <w:rPr>
                      <w:rFonts w:hint="default" w:ascii="Times New Roman" w:hAnsi="Times New Roman" w:eastAsia="Arial" w:cs="Times New Roman"/>
                      <w:color w:val="auto"/>
                      <w:sz w:val="20"/>
                      <w:highlight w:val="none"/>
                    </w:rPr>
                    <w:t>39.6</w:t>
                  </w:r>
                </w:p>
              </w:tc>
              <w:tc>
                <w:tcPr>
                  <w:tcW w:w="1590" w:type="dxa"/>
                  <w:tcBorders>
                    <w:tl2br w:val="nil"/>
                    <w:tr2bl w:val="nil"/>
                  </w:tcBorders>
                  <w:shd w:val="clear" w:color="auto" w:fill="FFFFFF"/>
                  <w:vAlign w:val="center"/>
                </w:tcPr>
                <w:p w14:paraId="62E676A3">
                  <w:pPr>
                    <w:jc w:val="center"/>
                    <w:rPr>
                      <w:color w:val="auto"/>
                      <w:szCs w:val="21"/>
                      <w:highlight w:val="none"/>
                    </w:rPr>
                  </w:pPr>
                  <w:r>
                    <w:rPr>
                      <w:rFonts w:eastAsia="Arial"/>
                      <w:color w:val="auto"/>
                      <w:szCs w:val="21"/>
                      <w:highlight w:val="none"/>
                    </w:rPr>
                    <w:t>60</w:t>
                  </w:r>
                </w:p>
              </w:tc>
              <w:tc>
                <w:tcPr>
                  <w:tcW w:w="1591" w:type="dxa"/>
                  <w:tcBorders>
                    <w:tl2br w:val="nil"/>
                    <w:tr2bl w:val="nil"/>
                  </w:tcBorders>
                  <w:shd w:val="clear" w:color="auto" w:fill="FFFFFF"/>
                  <w:vAlign w:val="center"/>
                </w:tcPr>
                <w:p w14:paraId="7AC6E207">
                  <w:pPr>
                    <w:jc w:val="center"/>
                    <w:rPr>
                      <w:color w:val="auto"/>
                      <w:szCs w:val="21"/>
                      <w:highlight w:val="none"/>
                    </w:rPr>
                  </w:pPr>
                  <w:r>
                    <w:rPr>
                      <w:rFonts w:eastAsia="Arial"/>
                      <w:color w:val="auto"/>
                      <w:szCs w:val="21"/>
                      <w:highlight w:val="none"/>
                    </w:rPr>
                    <w:t>达标</w:t>
                  </w:r>
                </w:p>
              </w:tc>
            </w:tr>
            <w:tr w14:paraId="67A25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1" w:hRule="exact"/>
                <w:jc w:val="center"/>
              </w:trPr>
              <w:tc>
                <w:tcPr>
                  <w:tcW w:w="1590" w:type="dxa"/>
                  <w:vMerge w:val="continue"/>
                  <w:tcBorders>
                    <w:tl2br w:val="nil"/>
                    <w:tr2bl w:val="nil"/>
                  </w:tcBorders>
                  <w:shd w:val="clear" w:color="auto" w:fill="FFFFFF"/>
                  <w:vAlign w:val="center"/>
                </w:tcPr>
                <w:p w14:paraId="3E903E1E">
                  <w:pPr>
                    <w:jc w:val="center"/>
                    <w:rPr>
                      <w:rFonts w:eastAsia="Arial"/>
                      <w:color w:val="auto"/>
                      <w:szCs w:val="21"/>
                      <w:highlight w:val="none"/>
                    </w:rPr>
                  </w:pPr>
                </w:p>
              </w:tc>
              <w:tc>
                <w:tcPr>
                  <w:tcW w:w="1590" w:type="dxa"/>
                  <w:tcBorders>
                    <w:tl2br w:val="nil"/>
                    <w:tr2bl w:val="nil"/>
                  </w:tcBorders>
                  <w:shd w:val="clear" w:color="auto" w:fill="FFFFFF"/>
                  <w:vAlign w:val="center"/>
                </w:tcPr>
                <w:p w14:paraId="6ABD166C">
                  <w:pPr>
                    <w:jc w:val="center"/>
                    <w:rPr>
                      <w:rFonts w:eastAsia="Arial"/>
                      <w:color w:val="auto"/>
                      <w:szCs w:val="21"/>
                      <w:highlight w:val="none"/>
                    </w:rPr>
                  </w:pPr>
                  <w:r>
                    <w:rPr>
                      <w:rFonts w:hint="eastAsia" w:eastAsia="宋体"/>
                      <w:color w:val="auto"/>
                      <w:szCs w:val="21"/>
                      <w:highlight w:val="none"/>
                      <w:lang w:eastAsia="zh-CN"/>
                    </w:rPr>
                    <w:t>夜间</w:t>
                  </w:r>
                </w:p>
              </w:tc>
              <w:tc>
                <w:tcPr>
                  <w:tcW w:w="1590" w:type="dxa"/>
                  <w:tcBorders>
                    <w:tl2br w:val="nil"/>
                    <w:tr2bl w:val="nil"/>
                  </w:tcBorders>
                  <w:shd w:val="clear" w:color="auto" w:fill="FFFFFF"/>
                  <w:vAlign w:val="center"/>
                </w:tcPr>
                <w:p w14:paraId="49CF3FAF">
                  <w:pPr>
                    <w:jc w:val="center"/>
                    <w:rPr>
                      <w:rFonts w:hint="default" w:ascii="Times New Roman" w:hAnsi="Times New Roman" w:eastAsia="Arial" w:cs="Times New Roman"/>
                      <w:color w:val="auto"/>
                      <w:sz w:val="21"/>
                      <w:szCs w:val="21"/>
                      <w:highlight w:val="none"/>
                    </w:rPr>
                  </w:pPr>
                  <w:r>
                    <w:rPr>
                      <w:rFonts w:hint="default" w:ascii="Times New Roman" w:hAnsi="Times New Roman" w:eastAsia="Arial" w:cs="Times New Roman"/>
                      <w:color w:val="auto"/>
                      <w:sz w:val="20"/>
                      <w:highlight w:val="none"/>
                    </w:rPr>
                    <w:t>39.6</w:t>
                  </w:r>
                </w:p>
              </w:tc>
              <w:tc>
                <w:tcPr>
                  <w:tcW w:w="1590" w:type="dxa"/>
                  <w:tcBorders>
                    <w:tl2br w:val="nil"/>
                    <w:tr2bl w:val="nil"/>
                  </w:tcBorders>
                  <w:shd w:val="clear" w:color="auto" w:fill="FFFFFF"/>
                  <w:vAlign w:val="center"/>
                </w:tcPr>
                <w:p w14:paraId="66EE3B21">
                  <w:pPr>
                    <w:jc w:val="center"/>
                    <w:rPr>
                      <w:rFonts w:eastAsia="Arial"/>
                      <w:color w:val="auto"/>
                      <w:szCs w:val="21"/>
                      <w:highlight w:val="none"/>
                    </w:rPr>
                  </w:pPr>
                  <w:r>
                    <w:rPr>
                      <w:rFonts w:hint="eastAsia" w:eastAsia="宋体"/>
                      <w:color w:val="auto"/>
                      <w:szCs w:val="21"/>
                      <w:highlight w:val="none"/>
                      <w:lang w:val="en-US" w:eastAsia="zh-CN"/>
                    </w:rPr>
                    <w:t>50</w:t>
                  </w:r>
                </w:p>
              </w:tc>
              <w:tc>
                <w:tcPr>
                  <w:tcW w:w="1591" w:type="dxa"/>
                  <w:tcBorders>
                    <w:tl2br w:val="nil"/>
                    <w:tr2bl w:val="nil"/>
                  </w:tcBorders>
                  <w:shd w:val="clear" w:color="auto" w:fill="FFFFFF"/>
                  <w:vAlign w:val="center"/>
                </w:tcPr>
                <w:p w14:paraId="17D642CD">
                  <w:pPr>
                    <w:jc w:val="center"/>
                    <w:rPr>
                      <w:rFonts w:eastAsia="Arial"/>
                      <w:color w:val="auto"/>
                      <w:szCs w:val="21"/>
                      <w:highlight w:val="none"/>
                    </w:rPr>
                  </w:pPr>
                  <w:r>
                    <w:rPr>
                      <w:rFonts w:eastAsia="Arial"/>
                      <w:color w:val="auto"/>
                      <w:szCs w:val="21"/>
                      <w:highlight w:val="none"/>
                    </w:rPr>
                    <w:t>达标</w:t>
                  </w:r>
                </w:p>
              </w:tc>
            </w:tr>
            <w:tr w14:paraId="28DD11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60" w:hRule="exact"/>
                <w:jc w:val="center"/>
              </w:trPr>
              <w:tc>
                <w:tcPr>
                  <w:tcW w:w="1590" w:type="dxa"/>
                  <w:vMerge w:val="restart"/>
                  <w:tcBorders>
                    <w:tl2br w:val="nil"/>
                    <w:tr2bl w:val="nil"/>
                  </w:tcBorders>
                  <w:shd w:val="clear" w:color="auto" w:fill="FFFFFF"/>
                  <w:vAlign w:val="center"/>
                </w:tcPr>
                <w:p w14:paraId="4F159C05">
                  <w:pPr>
                    <w:jc w:val="center"/>
                    <w:rPr>
                      <w:color w:val="auto"/>
                      <w:szCs w:val="21"/>
                      <w:highlight w:val="none"/>
                    </w:rPr>
                  </w:pPr>
                  <w:r>
                    <w:rPr>
                      <w:rFonts w:eastAsia="Arial"/>
                      <w:color w:val="auto"/>
                      <w:szCs w:val="21"/>
                      <w:highlight w:val="none"/>
                    </w:rPr>
                    <w:t>北侧</w:t>
                  </w:r>
                </w:p>
              </w:tc>
              <w:tc>
                <w:tcPr>
                  <w:tcW w:w="1590" w:type="dxa"/>
                  <w:tcBorders>
                    <w:tl2br w:val="nil"/>
                    <w:tr2bl w:val="nil"/>
                  </w:tcBorders>
                  <w:shd w:val="clear" w:color="auto" w:fill="FFFFFF"/>
                  <w:vAlign w:val="center"/>
                </w:tcPr>
                <w:p w14:paraId="26565209">
                  <w:pPr>
                    <w:jc w:val="center"/>
                    <w:rPr>
                      <w:color w:val="auto"/>
                      <w:szCs w:val="21"/>
                      <w:highlight w:val="none"/>
                    </w:rPr>
                  </w:pPr>
                  <w:r>
                    <w:rPr>
                      <w:rFonts w:eastAsia="Arial"/>
                      <w:color w:val="auto"/>
                      <w:szCs w:val="21"/>
                      <w:highlight w:val="none"/>
                    </w:rPr>
                    <w:t>昼间</w:t>
                  </w:r>
                </w:p>
              </w:tc>
              <w:tc>
                <w:tcPr>
                  <w:tcW w:w="1590" w:type="dxa"/>
                  <w:tcBorders>
                    <w:tl2br w:val="nil"/>
                    <w:tr2bl w:val="nil"/>
                  </w:tcBorders>
                  <w:shd w:val="clear" w:color="auto" w:fill="FFFFFF"/>
                  <w:vAlign w:val="center"/>
                </w:tcPr>
                <w:p w14:paraId="57B0EE6E">
                  <w:pPr>
                    <w:jc w:val="center"/>
                    <w:rPr>
                      <w:rFonts w:hint="default" w:ascii="Times New Roman" w:hAnsi="Times New Roman" w:cs="Times New Roman"/>
                      <w:color w:val="auto"/>
                      <w:sz w:val="21"/>
                      <w:szCs w:val="21"/>
                      <w:highlight w:val="none"/>
                    </w:rPr>
                  </w:pPr>
                  <w:r>
                    <w:rPr>
                      <w:rFonts w:hint="default" w:ascii="Times New Roman" w:hAnsi="Times New Roman" w:eastAsia="Arial" w:cs="Times New Roman"/>
                      <w:color w:val="auto"/>
                      <w:sz w:val="20"/>
                      <w:highlight w:val="none"/>
                    </w:rPr>
                    <w:t>49.2</w:t>
                  </w:r>
                </w:p>
              </w:tc>
              <w:tc>
                <w:tcPr>
                  <w:tcW w:w="1590" w:type="dxa"/>
                  <w:tcBorders>
                    <w:tl2br w:val="nil"/>
                    <w:tr2bl w:val="nil"/>
                  </w:tcBorders>
                  <w:shd w:val="clear" w:color="auto" w:fill="FFFFFF"/>
                  <w:vAlign w:val="center"/>
                </w:tcPr>
                <w:p w14:paraId="51C0E70A">
                  <w:pPr>
                    <w:jc w:val="center"/>
                    <w:rPr>
                      <w:color w:val="auto"/>
                      <w:szCs w:val="21"/>
                      <w:highlight w:val="none"/>
                    </w:rPr>
                  </w:pPr>
                  <w:r>
                    <w:rPr>
                      <w:rFonts w:eastAsia="Arial"/>
                      <w:color w:val="auto"/>
                      <w:szCs w:val="21"/>
                      <w:highlight w:val="none"/>
                    </w:rPr>
                    <w:t>60</w:t>
                  </w:r>
                </w:p>
              </w:tc>
              <w:tc>
                <w:tcPr>
                  <w:tcW w:w="1591" w:type="dxa"/>
                  <w:tcBorders>
                    <w:tl2br w:val="nil"/>
                    <w:tr2bl w:val="nil"/>
                  </w:tcBorders>
                  <w:shd w:val="clear" w:color="auto" w:fill="FFFFFF"/>
                  <w:vAlign w:val="center"/>
                </w:tcPr>
                <w:p w14:paraId="273EF1B1">
                  <w:pPr>
                    <w:jc w:val="center"/>
                    <w:rPr>
                      <w:color w:val="auto"/>
                      <w:szCs w:val="21"/>
                      <w:highlight w:val="none"/>
                    </w:rPr>
                  </w:pPr>
                  <w:r>
                    <w:rPr>
                      <w:rFonts w:eastAsia="Arial"/>
                      <w:color w:val="auto"/>
                      <w:szCs w:val="21"/>
                      <w:highlight w:val="none"/>
                    </w:rPr>
                    <w:t>达标</w:t>
                  </w:r>
                </w:p>
              </w:tc>
            </w:tr>
            <w:tr w14:paraId="5717E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60" w:hRule="exact"/>
                <w:jc w:val="center"/>
              </w:trPr>
              <w:tc>
                <w:tcPr>
                  <w:tcW w:w="1590" w:type="dxa"/>
                  <w:vMerge w:val="continue"/>
                  <w:tcBorders>
                    <w:tl2br w:val="nil"/>
                    <w:tr2bl w:val="nil"/>
                  </w:tcBorders>
                  <w:shd w:val="clear" w:color="auto" w:fill="FFFFFF"/>
                  <w:vAlign w:val="center"/>
                </w:tcPr>
                <w:p w14:paraId="5E972989">
                  <w:pPr>
                    <w:jc w:val="center"/>
                    <w:rPr>
                      <w:rFonts w:eastAsia="Arial"/>
                      <w:color w:val="auto"/>
                      <w:szCs w:val="21"/>
                      <w:highlight w:val="none"/>
                    </w:rPr>
                  </w:pPr>
                </w:p>
              </w:tc>
              <w:tc>
                <w:tcPr>
                  <w:tcW w:w="1590" w:type="dxa"/>
                  <w:tcBorders>
                    <w:tl2br w:val="nil"/>
                    <w:tr2bl w:val="nil"/>
                  </w:tcBorders>
                  <w:shd w:val="clear" w:color="auto" w:fill="FFFFFF"/>
                  <w:vAlign w:val="center"/>
                </w:tcPr>
                <w:p w14:paraId="06C790E5">
                  <w:pPr>
                    <w:jc w:val="center"/>
                    <w:rPr>
                      <w:rFonts w:eastAsia="Arial"/>
                      <w:color w:val="auto"/>
                      <w:szCs w:val="21"/>
                      <w:highlight w:val="none"/>
                    </w:rPr>
                  </w:pPr>
                  <w:r>
                    <w:rPr>
                      <w:rFonts w:hint="eastAsia" w:eastAsia="宋体"/>
                      <w:color w:val="auto"/>
                      <w:szCs w:val="21"/>
                      <w:highlight w:val="none"/>
                      <w:lang w:eastAsia="zh-CN"/>
                    </w:rPr>
                    <w:t>夜间</w:t>
                  </w:r>
                </w:p>
              </w:tc>
              <w:tc>
                <w:tcPr>
                  <w:tcW w:w="1590" w:type="dxa"/>
                  <w:tcBorders>
                    <w:tl2br w:val="nil"/>
                    <w:tr2bl w:val="nil"/>
                  </w:tcBorders>
                  <w:shd w:val="clear" w:color="auto" w:fill="FFFFFF"/>
                  <w:vAlign w:val="center"/>
                </w:tcPr>
                <w:p w14:paraId="10F5A813">
                  <w:pPr>
                    <w:jc w:val="center"/>
                    <w:rPr>
                      <w:rFonts w:hint="default" w:ascii="Times New Roman" w:hAnsi="Times New Roman" w:eastAsia="Arial" w:cs="Times New Roman"/>
                      <w:color w:val="auto"/>
                      <w:sz w:val="21"/>
                      <w:szCs w:val="21"/>
                      <w:highlight w:val="none"/>
                    </w:rPr>
                  </w:pPr>
                  <w:r>
                    <w:rPr>
                      <w:rFonts w:hint="default" w:ascii="Times New Roman" w:hAnsi="Times New Roman" w:eastAsia="Arial" w:cs="Times New Roman"/>
                      <w:color w:val="auto"/>
                      <w:sz w:val="20"/>
                      <w:highlight w:val="none"/>
                    </w:rPr>
                    <w:t>49.2</w:t>
                  </w:r>
                </w:p>
              </w:tc>
              <w:tc>
                <w:tcPr>
                  <w:tcW w:w="1590" w:type="dxa"/>
                  <w:tcBorders>
                    <w:tl2br w:val="nil"/>
                    <w:tr2bl w:val="nil"/>
                  </w:tcBorders>
                  <w:shd w:val="clear" w:color="auto" w:fill="FFFFFF"/>
                  <w:vAlign w:val="center"/>
                </w:tcPr>
                <w:p w14:paraId="3E3B00BD">
                  <w:pPr>
                    <w:jc w:val="center"/>
                    <w:rPr>
                      <w:rFonts w:eastAsia="Arial"/>
                      <w:color w:val="auto"/>
                      <w:szCs w:val="21"/>
                      <w:highlight w:val="none"/>
                    </w:rPr>
                  </w:pPr>
                  <w:r>
                    <w:rPr>
                      <w:rFonts w:hint="eastAsia" w:eastAsia="宋体"/>
                      <w:color w:val="auto"/>
                      <w:szCs w:val="21"/>
                      <w:highlight w:val="none"/>
                      <w:lang w:val="en-US" w:eastAsia="zh-CN"/>
                    </w:rPr>
                    <w:t>50</w:t>
                  </w:r>
                </w:p>
              </w:tc>
              <w:tc>
                <w:tcPr>
                  <w:tcW w:w="1591" w:type="dxa"/>
                  <w:tcBorders>
                    <w:tl2br w:val="nil"/>
                    <w:tr2bl w:val="nil"/>
                  </w:tcBorders>
                  <w:shd w:val="clear" w:color="auto" w:fill="FFFFFF"/>
                  <w:vAlign w:val="center"/>
                </w:tcPr>
                <w:p w14:paraId="409930EF">
                  <w:pPr>
                    <w:jc w:val="center"/>
                    <w:rPr>
                      <w:rFonts w:eastAsia="Arial"/>
                      <w:color w:val="auto"/>
                      <w:szCs w:val="21"/>
                      <w:highlight w:val="none"/>
                    </w:rPr>
                  </w:pPr>
                  <w:r>
                    <w:rPr>
                      <w:rFonts w:eastAsia="Arial"/>
                      <w:color w:val="auto"/>
                      <w:szCs w:val="21"/>
                      <w:highlight w:val="none"/>
                    </w:rPr>
                    <w:t>达标</w:t>
                  </w:r>
                </w:p>
              </w:tc>
            </w:tr>
          </w:tbl>
          <w:p w14:paraId="6BBC12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1"/>
                <w:highlight w:val="none"/>
              </w:rPr>
            </w:pPr>
            <w:r>
              <w:rPr>
                <w:rFonts w:hint="eastAsia"/>
                <w:color w:val="auto"/>
                <w:sz w:val="24"/>
                <w:szCs w:val="20"/>
                <w:highlight w:val="none"/>
              </w:rPr>
              <w:t>根据上表可知</w:t>
            </w:r>
            <w:r>
              <w:rPr>
                <w:color w:val="auto"/>
                <w:sz w:val="24"/>
                <w:szCs w:val="20"/>
                <w:highlight w:val="none"/>
              </w:rPr>
              <w:t>，本项目运营过程中产生的噪声经基础减</w:t>
            </w:r>
            <w:r>
              <w:rPr>
                <w:rFonts w:hint="eastAsia"/>
                <w:color w:val="auto"/>
                <w:sz w:val="24"/>
                <w:szCs w:val="20"/>
                <w:highlight w:val="none"/>
              </w:rPr>
              <w:t>振</w:t>
            </w:r>
            <w:r>
              <w:rPr>
                <w:color w:val="auto"/>
                <w:sz w:val="24"/>
                <w:szCs w:val="20"/>
                <w:highlight w:val="none"/>
              </w:rPr>
              <w:t>、厂房隔声及距离衰减后，</w:t>
            </w:r>
            <w:r>
              <w:rPr>
                <w:rFonts w:hint="eastAsia"/>
                <w:color w:val="auto"/>
                <w:sz w:val="24"/>
                <w:szCs w:val="20"/>
                <w:highlight w:val="none"/>
              </w:rPr>
              <w:t>四侧</w:t>
            </w:r>
            <w:r>
              <w:rPr>
                <w:color w:val="auto"/>
                <w:sz w:val="24"/>
                <w:szCs w:val="20"/>
                <w:highlight w:val="none"/>
              </w:rPr>
              <w:t>厂界噪声</w:t>
            </w:r>
            <w:r>
              <w:rPr>
                <w:rFonts w:hint="eastAsia"/>
                <w:color w:val="auto"/>
                <w:sz w:val="24"/>
                <w:szCs w:val="20"/>
                <w:highlight w:val="none"/>
                <w:lang w:eastAsia="zh-CN"/>
              </w:rPr>
              <w:t>贡献值</w:t>
            </w:r>
            <w:r>
              <w:rPr>
                <w:color w:val="auto"/>
                <w:sz w:val="24"/>
                <w:szCs w:val="20"/>
                <w:highlight w:val="none"/>
              </w:rPr>
              <w:t>均满足《工业企业厂界环境噪声排放标准》（GB12348-2008）中的2类标准（昼间60dB(A)</w:t>
            </w:r>
            <w:r>
              <w:rPr>
                <w:rFonts w:hint="eastAsia"/>
                <w:color w:val="auto"/>
                <w:sz w:val="24"/>
                <w:szCs w:val="20"/>
                <w:highlight w:val="none"/>
                <w:lang w:eastAsia="zh-CN"/>
              </w:rPr>
              <w:t>、夜间</w:t>
            </w:r>
            <w:r>
              <w:rPr>
                <w:rFonts w:hint="eastAsia"/>
                <w:color w:val="auto"/>
                <w:sz w:val="24"/>
                <w:szCs w:val="20"/>
                <w:highlight w:val="none"/>
                <w:lang w:val="en-US" w:eastAsia="zh-CN"/>
              </w:rPr>
              <w:t>5</w:t>
            </w:r>
            <w:r>
              <w:rPr>
                <w:color w:val="auto"/>
                <w:sz w:val="24"/>
                <w:szCs w:val="20"/>
                <w:highlight w:val="none"/>
              </w:rPr>
              <w:t>0dB(A)）</w:t>
            </w:r>
            <w:r>
              <w:rPr>
                <w:rFonts w:hint="eastAsia"/>
                <w:color w:val="auto"/>
                <w:sz w:val="24"/>
                <w:szCs w:val="21"/>
                <w:highlight w:val="none"/>
              </w:rPr>
              <w:t>。</w:t>
            </w:r>
          </w:p>
          <w:p w14:paraId="1F74FF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监测计划</w:t>
            </w:r>
          </w:p>
          <w:p w14:paraId="7B7F33BA">
            <w:pPr>
              <w:adjustRightInd w:val="0"/>
              <w:snapToGrid w:val="0"/>
              <w:spacing w:line="360" w:lineRule="auto"/>
              <w:ind w:firstLine="480" w:firstLineChars="200"/>
              <w:jc w:val="both"/>
              <w:rPr>
                <w:rFonts w:hint="default" w:ascii="Times New Roman" w:hAnsi="Times New Roman" w:cs="Times New Roman"/>
                <w:b/>
                <w:color w:val="auto"/>
                <w:szCs w:val="21"/>
                <w:highlight w:val="none"/>
              </w:rPr>
            </w:pPr>
            <w:r>
              <w:rPr>
                <w:rFonts w:hint="default" w:ascii="Times New Roman" w:hAnsi="Times New Roman" w:eastAsia="宋体" w:cs="Times New Roman"/>
                <w:color w:val="auto"/>
                <w:sz w:val="24"/>
                <w:szCs w:val="24"/>
                <w:highlight w:val="none"/>
                <w:lang w:val="en-US" w:eastAsia="zh-CN"/>
              </w:rPr>
              <w:t>根据《排污单位自行监测技术指南 水处理》（HJ1083-2020）中规定，本项目运营期噪声监测计划如下：</w:t>
            </w:r>
          </w:p>
          <w:p w14:paraId="3F4D87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表4</w:t>
            </w:r>
            <w:r>
              <w:rPr>
                <w:rFonts w:hint="eastAsia" w:cs="Times New Roman"/>
                <w:b/>
                <w:color w:val="auto"/>
                <w:szCs w:val="21"/>
                <w:highlight w:val="none"/>
                <w:lang w:val="en-US" w:eastAsia="zh-CN"/>
              </w:rPr>
              <w:t>-11</w:t>
            </w:r>
            <w:r>
              <w:rPr>
                <w:rFonts w:hint="default" w:ascii="Times New Roman" w:hAnsi="Times New Roman" w:cs="Times New Roman"/>
                <w:b/>
                <w:color w:val="auto"/>
                <w:szCs w:val="21"/>
                <w:highlight w:val="none"/>
              </w:rPr>
              <w:t xml:space="preserve">  </w:t>
            </w:r>
            <w:r>
              <w:rPr>
                <w:rFonts w:hint="default" w:ascii="Times New Roman" w:hAnsi="Times New Roman" w:cs="Times New Roman"/>
                <w:b/>
                <w:color w:val="auto"/>
                <w:szCs w:val="21"/>
                <w:highlight w:val="none"/>
                <w:lang w:eastAsia="zh-CN"/>
              </w:rPr>
              <w:t>噪声环境监测</w:t>
            </w:r>
            <w:r>
              <w:rPr>
                <w:rFonts w:hint="default" w:ascii="Times New Roman" w:hAnsi="Times New Roman" w:cs="Times New Roman"/>
                <w:b/>
                <w:color w:val="auto"/>
                <w:szCs w:val="21"/>
                <w:highlight w:val="none"/>
              </w:rPr>
              <w:t>计划</w:t>
            </w:r>
            <w:r>
              <w:rPr>
                <w:rFonts w:hint="default" w:ascii="Times New Roman" w:hAnsi="Times New Roman" w:cs="Times New Roman"/>
                <w:b/>
                <w:color w:val="auto"/>
                <w:szCs w:val="21"/>
                <w:highlight w:val="none"/>
                <w:lang w:eastAsia="zh-CN"/>
              </w:rPr>
              <w:t>一览表</w:t>
            </w:r>
          </w:p>
          <w:tbl>
            <w:tblPr>
              <w:tblStyle w:val="31"/>
              <w:tblW w:w="7933"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15"/>
              <w:gridCol w:w="1333"/>
              <w:gridCol w:w="1634"/>
              <w:gridCol w:w="1150"/>
              <w:gridCol w:w="2701"/>
            </w:tblGrid>
            <w:tr w14:paraId="342305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3" w:hRule="atLeast"/>
                <w:jc w:val="center"/>
              </w:trPr>
              <w:tc>
                <w:tcPr>
                  <w:tcW w:w="1115" w:type="dxa"/>
                  <w:tcBorders>
                    <w:tl2br w:val="nil"/>
                    <w:tr2bl w:val="nil"/>
                  </w:tcBorders>
                  <w:noWrap w:val="0"/>
                  <w:vAlign w:val="center"/>
                </w:tcPr>
                <w:p w14:paraId="08EC34D8">
                  <w:pPr>
                    <w:adjustRightInd w:val="0"/>
                    <w:snapToGrid w:val="0"/>
                    <w:spacing w:before="48" w:beforeLines="20" w:after="48" w:afterLines="20"/>
                    <w:jc w:val="center"/>
                    <w:rPr>
                      <w:rFonts w:hint="default" w:ascii="Times New Roman" w:hAnsi="Times New Roman" w:cs="Times New Roman"/>
                      <w:b w:val="0"/>
                      <w:bCs w:val="0"/>
                      <w:caps/>
                      <w:color w:val="auto"/>
                      <w:szCs w:val="21"/>
                      <w:highlight w:val="none"/>
                    </w:rPr>
                  </w:pPr>
                  <w:r>
                    <w:rPr>
                      <w:rFonts w:hint="default" w:ascii="Times New Roman" w:hAnsi="Times New Roman" w:cs="Times New Roman"/>
                      <w:b w:val="0"/>
                      <w:bCs w:val="0"/>
                      <w:caps/>
                      <w:color w:val="auto"/>
                      <w:szCs w:val="21"/>
                      <w:highlight w:val="none"/>
                    </w:rPr>
                    <w:t>监测项目</w:t>
                  </w:r>
                </w:p>
              </w:tc>
              <w:tc>
                <w:tcPr>
                  <w:tcW w:w="1333" w:type="dxa"/>
                  <w:tcBorders>
                    <w:tl2br w:val="nil"/>
                    <w:tr2bl w:val="nil"/>
                  </w:tcBorders>
                  <w:noWrap w:val="0"/>
                  <w:vAlign w:val="center"/>
                </w:tcPr>
                <w:p w14:paraId="4269447E">
                  <w:pPr>
                    <w:adjustRightInd w:val="0"/>
                    <w:snapToGrid w:val="0"/>
                    <w:spacing w:before="48" w:beforeLines="20" w:after="48" w:afterLines="20"/>
                    <w:jc w:val="center"/>
                    <w:rPr>
                      <w:rFonts w:hint="default" w:ascii="Times New Roman" w:hAnsi="Times New Roman" w:cs="Times New Roman"/>
                      <w:b w:val="0"/>
                      <w:bCs w:val="0"/>
                      <w:caps/>
                      <w:color w:val="auto"/>
                      <w:szCs w:val="21"/>
                      <w:highlight w:val="none"/>
                    </w:rPr>
                  </w:pPr>
                  <w:r>
                    <w:rPr>
                      <w:rFonts w:hint="default" w:ascii="Times New Roman" w:hAnsi="Times New Roman" w:cs="Times New Roman"/>
                      <w:b w:val="0"/>
                      <w:bCs w:val="0"/>
                      <w:caps/>
                      <w:color w:val="auto"/>
                      <w:szCs w:val="21"/>
                      <w:highlight w:val="none"/>
                    </w:rPr>
                    <w:t>监测因子</w:t>
                  </w:r>
                </w:p>
              </w:tc>
              <w:tc>
                <w:tcPr>
                  <w:tcW w:w="1634" w:type="dxa"/>
                  <w:tcBorders>
                    <w:tl2br w:val="nil"/>
                    <w:tr2bl w:val="nil"/>
                  </w:tcBorders>
                  <w:noWrap w:val="0"/>
                  <w:vAlign w:val="center"/>
                </w:tcPr>
                <w:p w14:paraId="406E721A">
                  <w:pPr>
                    <w:adjustRightInd w:val="0"/>
                    <w:snapToGrid w:val="0"/>
                    <w:spacing w:before="48" w:beforeLines="20" w:after="48" w:afterLines="20"/>
                    <w:jc w:val="center"/>
                    <w:rPr>
                      <w:rFonts w:hint="default" w:ascii="Times New Roman" w:hAnsi="Times New Roman" w:cs="Times New Roman"/>
                      <w:b w:val="0"/>
                      <w:bCs w:val="0"/>
                      <w:caps/>
                      <w:color w:val="auto"/>
                      <w:szCs w:val="21"/>
                      <w:highlight w:val="none"/>
                    </w:rPr>
                  </w:pPr>
                  <w:r>
                    <w:rPr>
                      <w:rFonts w:hint="default" w:ascii="Times New Roman" w:hAnsi="Times New Roman" w:cs="Times New Roman"/>
                      <w:b w:val="0"/>
                      <w:bCs w:val="0"/>
                      <w:caps/>
                      <w:color w:val="auto"/>
                      <w:szCs w:val="21"/>
                      <w:highlight w:val="none"/>
                    </w:rPr>
                    <w:t>监测位置</w:t>
                  </w:r>
                </w:p>
              </w:tc>
              <w:tc>
                <w:tcPr>
                  <w:tcW w:w="1150" w:type="dxa"/>
                  <w:tcBorders>
                    <w:tl2br w:val="nil"/>
                    <w:tr2bl w:val="nil"/>
                  </w:tcBorders>
                  <w:noWrap w:val="0"/>
                  <w:vAlign w:val="center"/>
                </w:tcPr>
                <w:p w14:paraId="20DA9A7B">
                  <w:pPr>
                    <w:adjustRightInd w:val="0"/>
                    <w:snapToGrid w:val="0"/>
                    <w:spacing w:before="48" w:beforeLines="20" w:after="48" w:afterLines="20"/>
                    <w:jc w:val="center"/>
                    <w:rPr>
                      <w:rFonts w:hint="default" w:ascii="Times New Roman" w:hAnsi="Times New Roman" w:cs="Times New Roman"/>
                      <w:b w:val="0"/>
                      <w:bCs w:val="0"/>
                      <w:caps/>
                      <w:color w:val="auto"/>
                      <w:szCs w:val="21"/>
                      <w:highlight w:val="none"/>
                    </w:rPr>
                  </w:pPr>
                  <w:r>
                    <w:rPr>
                      <w:rFonts w:hint="default" w:ascii="Times New Roman" w:hAnsi="Times New Roman" w:cs="Times New Roman"/>
                      <w:b w:val="0"/>
                      <w:bCs w:val="0"/>
                      <w:caps/>
                      <w:color w:val="auto"/>
                      <w:szCs w:val="21"/>
                      <w:highlight w:val="none"/>
                    </w:rPr>
                    <w:t>监测频率</w:t>
                  </w:r>
                </w:p>
              </w:tc>
              <w:tc>
                <w:tcPr>
                  <w:tcW w:w="2701" w:type="dxa"/>
                  <w:tcBorders>
                    <w:tl2br w:val="nil"/>
                    <w:tr2bl w:val="nil"/>
                  </w:tcBorders>
                  <w:noWrap w:val="0"/>
                  <w:vAlign w:val="center"/>
                </w:tcPr>
                <w:p w14:paraId="4D7F8117">
                  <w:pPr>
                    <w:jc w:val="center"/>
                    <w:rPr>
                      <w:rFonts w:hint="default" w:ascii="Times New Roman" w:hAnsi="Times New Roman" w:cs="Times New Roman"/>
                      <w:b w:val="0"/>
                      <w:bCs w:val="0"/>
                      <w:caps/>
                      <w:color w:val="auto"/>
                      <w:szCs w:val="21"/>
                      <w:highlight w:val="none"/>
                    </w:rPr>
                  </w:pPr>
                  <w:r>
                    <w:rPr>
                      <w:color w:val="auto"/>
                      <w:szCs w:val="21"/>
                      <w:highlight w:val="none"/>
                    </w:rPr>
                    <w:t>执行标准</w:t>
                  </w:r>
                </w:p>
              </w:tc>
            </w:tr>
            <w:tr w14:paraId="520043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3" w:hRule="atLeast"/>
                <w:jc w:val="center"/>
              </w:trPr>
              <w:tc>
                <w:tcPr>
                  <w:tcW w:w="1115" w:type="dxa"/>
                  <w:tcBorders>
                    <w:tl2br w:val="nil"/>
                    <w:tr2bl w:val="nil"/>
                  </w:tcBorders>
                  <w:noWrap w:val="0"/>
                  <w:vAlign w:val="center"/>
                </w:tcPr>
                <w:p w14:paraId="25E4A261">
                  <w:pPr>
                    <w:adjustRightInd w:val="0"/>
                    <w:snapToGrid w:val="0"/>
                    <w:spacing w:before="48" w:beforeLines="20" w:after="48" w:afterLines="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1333" w:type="dxa"/>
                  <w:tcBorders>
                    <w:tl2br w:val="nil"/>
                    <w:tr2bl w:val="nil"/>
                  </w:tcBorders>
                  <w:noWrap w:val="0"/>
                  <w:vAlign w:val="center"/>
                </w:tcPr>
                <w:p w14:paraId="6E17A525">
                  <w:pPr>
                    <w:adjustRightInd w:val="0"/>
                    <w:snapToGrid w:val="0"/>
                    <w:spacing w:before="48" w:beforeLines="20" w:after="48" w:afterLines="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等效A声级</w:t>
                  </w:r>
                </w:p>
              </w:tc>
              <w:tc>
                <w:tcPr>
                  <w:tcW w:w="1634" w:type="dxa"/>
                  <w:tcBorders>
                    <w:tl2br w:val="nil"/>
                    <w:tr2bl w:val="nil"/>
                  </w:tcBorders>
                  <w:noWrap w:val="0"/>
                  <w:vAlign w:val="center"/>
                </w:tcPr>
                <w:p w14:paraId="241656D4">
                  <w:pPr>
                    <w:adjustRightInd w:val="0"/>
                    <w:snapToGrid w:val="0"/>
                    <w:spacing w:before="48" w:beforeLines="20" w:after="48" w:afterLines="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厂界四周1m处</w:t>
                  </w:r>
                </w:p>
              </w:tc>
              <w:tc>
                <w:tcPr>
                  <w:tcW w:w="1150" w:type="dxa"/>
                  <w:tcBorders>
                    <w:tl2br w:val="nil"/>
                    <w:tr2bl w:val="nil"/>
                  </w:tcBorders>
                  <w:noWrap w:val="0"/>
                  <w:vAlign w:val="center"/>
                </w:tcPr>
                <w:p w14:paraId="69E05CF8">
                  <w:pPr>
                    <w:adjustRightInd w:val="0"/>
                    <w:snapToGrid w:val="0"/>
                    <w:spacing w:before="48" w:beforeLines="20" w:after="48" w:afterLines="2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1次</w:t>
                  </w:r>
                  <w:r>
                    <w:rPr>
                      <w:rFonts w:hint="eastAsia" w:cs="Times New Roman"/>
                      <w:color w:val="auto"/>
                      <w:szCs w:val="21"/>
                      <w:highlight w:val="none"/>
                      <w:lang w:val="en-US" w:eastAsia="zh-CN"/>
                    </w:rPr>
                    <w:t>/季度</w:t>
                  </w:r>
                </w:p>
              </w:tc>
              <w:tc>
                <w:tcPr>
                  <w:tcW w:w="2701" w:type="dxa"/>
                  <w:tcBorders>
                    <w:tl2br w:val="nil"/>
                    <w:tr2bl w:val="nil"/>
                  </w:tcBorders>
                  <w:noWrap w:val="0"/>
                  <w:vAlign w:val="center"/>
                </w:tcPr>
                <w:p w14:paraId="116DD27C">
                  <w:pPr>
                    <w:jc w:val="center"/>
                    <w:rPr>
                      <w:rFonts w:hint="default" w:ascii="Times New Roman" w:hAnsi="Times New Roman" w:cs="Times New Roman"/>
                      <w:color w:val="auto"/>
                      <w:szCs w:val="21"/>
                      <w:highlight w:val="none"/>
                    </w:rPr>
                  </w:pPr>
                  <w:r>
                    <w:rPr>
                      <w:color w:val="auto"/>
                      <w:szCs w:val="21"/>
                      <w:highlight w:val="none"/>
                      <w:lang w:val="en-GB"/>
                    </w:rPr>
                    <w:t>《</w:t>
                  </w:r>
                  <w:r>
                    <w:rPr>
                      <w:color w:val="auto"/>
                      <w:szCs w:val="21"/>
                      <w:highlight w:val="none"/>
                    </w:rPr>
                    <w:t>工业企业厂界环境噪声排放标准</w:t>
                  </w:r>
                  <w:r>
                    <w:rPr>
                      <w:color w:val="auto"/>
                      <w:szCs w:val="21"/>
                      <w:highlight w:val="none"/>
                      <w:lang w:val="en-GB"/>
                    </w:rPr>
                    <w:t>》</w:t>
                  </w:r>
                  <w:r>
                    <w:rPr>
                      <w:rFonts w:hint="eastAsia"/>
                      <w:color w:val="auto"/>
                      <w:szCs w:val="21"/>
                      <w:highlight w:val="none"/>
                      <w:lang w:val="en-GB"/>
                    </w:rPr>
                    <w:t>（</w:t>
                  </w:r>
                  <w:r>
                    <w:rPr>
                      <w:color w:val="auto"/>
                      <w:szCs w:val="21"/>
                      <w:highlight w:val="none"/>
                      <w:lang w:val="en-GB"/>
                    </w:rPr>
                    <w:t>GB</w:t>
                  </w:r>
                  <w:r>
                    <w:rPr>
                      <w:color w:val="auto"/>
                      <w:szCs w:val="21"/>
                      <w:highlight w:val="none"/>
                    </w:rPr>
                    <w:t>12348-2008</w:t>
                  </w:r>
                  <w:r>
                    <w:rPr>
                      <w:rFonts w:hint="eastAsia"/>
                      <w:color w:val="auto"/>
                      <w:szCs w:val="21"/>
                      <w:highlight w:val="none"/>
                      <w:lang w:val="en-GB"/>
                    </w:rPr>
                    <w:t>）</w:t>
                  </w:r>
                  <w:r>
                    <w:rPr>
                      <w:color w:val="auto"/>
                      <w:szCs w:val="21"/>
                      <w:highlight w:val="none"/>
                    </w:rPr>
                    <w:t>2类区标准</w:t>
                  </w:r>
                </w:p>
              </w:tc>
            </w:tr>
          </w:tbl>
          <w:p w14:paraId="18FC6361">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w:t>
            </w:r>
            <w:r>
              <w:rPr>
                <w:rFonts w:hint="default" w:ascii="Times New Roman" w:hAnsi="Times New Roman" w:cs="Times New Roman"/>
                <w:b/>
                <w:bCs/>
                <w:color w:val="auto"/>
                <w:sz w:val="24"/>
                <w:szCs w:val="24"/>
                <w:highlight w:val="none"/>
                <w:lang w:val="en-US" w:eastAsia="zh-CN"/>
              </w:rPr>
              <w:t>固体废物</w:t>
            </w:r>
          </w:p>
          <w:p w14:paraId="243A5D50">
            <w:pPr>
              <w:keepNext w:val="0"/>
              <w:keepLines w:val="0"/>
              <w:suppressLineNumbers w:val="0"/>
              <w:snapToGrid w:val="0"/>
              <w:spacing w:before="0" w:beforeAutospacing="0" w:after="0" w:afterAutospacing="0" w:line="372" w:lineRule="auto"/>
              <w:ind w:left="0" w:right="0" w:firstLine="480" w:firstLineChars="200"/>
              <w:jc w:val="both"/>
              <w:rPr>
                <w:rFonts w:hint="default" w:ascii="Times New Roman" w:hAnsi="Times New Roman" w:cs="Times New Roman"/>
                <w:color w:val="auto"/>
                <w:sz w:val="24"/>
                <w:highlight w:val="none"/>
              </w:rPr>
            </w:pPr>
            <w:r>
              <w:rPr>
                <w:rFonts w:hint="eastAsia" w:cs="Times New Roman"/>
                <w:color w:val="auto"/>
                <w:sz w:val="24"/>
                <w:highlight w:val="none"/>
                <w:lang w:eastAsia="zh-CN"/>
              </w:rPr>
              <w:t>根据前文分析，本</w:t>
            </w:r>
            <w:r>
              <w:rPr>
                <w:rFonts w:hint="default" w:ascii="Times New Roman" w:hAnsi="Times New Roman" w:cs="Times New Roman"/>
                <w:color w:val="auto"/>
                <w:sz w:val="24"/>
                <w:highlight w:val="none"/>
              </w:rPr>
              <w:t>项目</w:t>
            </w:r>
            <w:r>
              <w:rPr>
                <w:rFonts w:hint="eastAsia" w:cs="Times New Roman"/>
                <w:color w:val="auto"/>
                <w:sz w:val="24"/>
                <w:highlight w:val="none"/>
                <w:lang w:eastAsia="zh-CN"/>
              </w:rPr>
              <w:t>运营</w:t>
            </w:r>
            <w:r>
              <w:rPr>
                <w:rFonts w:hint="default" w:ascii="Times New Roman" w:hAnsi="Times New Roman" w:cs="Times New Roman"/>
                <w:color w:val="auto"/>
                <w:sz w:val="24"/>
                <w:highlight w:val="none"/>
              </w:rPr>
              <w:t>期间产生的</w:t>
            </w:r>
            <w:r>
              <w:rPr>
                <w:rFonts w:hint="eastAsia" w:cs="Times New Roman"/>
                <w:color w:val="auto"/>
                <w:sz w:val="24"/>
                <w:highlight w:val="none"/>
                <w:lang w:eastAsia="zh-CN"/>
              </w:rPr>
              <w:t>一般固废为</w:t>
            </w:r>
            <w:r>
              <w:rPr>
                <w:rFonts w:hint="default" w:ascii="Times New Roman" w:hAnsi="Times New Roman" w:cs="Times New Roman"/>
                <w:color w:val="auto"/>
                <w:sz w:val="24"/>
                <w:highlight w:val="none"/>
              </w:rPr>
              <w:t>栅渣</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污泥，</w:t>
            </w:r>
            <w:r>
              <w:rPr>
                <w:rFonts w:hint="eastAsia" w:cs="Times New Roman"/>
                <w:color w:val="auto"/>
                <w:sz w:val="24"/>
                <w:highlight w:val="none"/>
                <w:lang w:eastAsia="zh-CN"/>
              </w:rPr>
              <w:t>危险废物为设备维修时产生的</w:t>
            </w:r>
            <w:r>
              <w:rPr>
                <w:rFonts w:hint="default" w:ascii="Times New Roman" w:hAnsi="Times New Roman" w:eastAsia="宋体" w:cs="Times New Roman"/>
                <w:color w:val="auto"/>
                <w:sz w:val="24"/>
                <w:szCs w:val="24"/>
                <w:highlight w:val="none"/>
                <w:lang w:val="en-US" w:eastAsia="zh-CN"/>
              </w:rPr>
              <w:t>废润滑油、废油桶</w:t>
            </w:r>
            <w:r>
              <w:rPr>
                <w:rFonts w:hint="eastAsia" w:ascii="Times New Roman" w:hAnsi="Times New Roman" w:cs="Times New Roman"/>
                <w:color w:val="auto"/>
                <w:sz w:val="24"/>
                <w:szCs w:val="24"/>
                <w:highlight w:val="none"/>
                <w:lang w:val="en-US" w:eastAsia="zh-CN"/>
              </w:rPr>
              <w:t>、</w:t>
            </w:r>
            <w:r>
              <w:rPr>
                <w:rFonts w:hint="eastAsia" w:ascii="宋体" w:hAnsi="宋体" w:cs="宋体"/>
                <w:color w:val="auto"/>
                <w:kern w:val="0"/>
                <w:sz w:val="24"/>
                <w:highlight w:val="none"/>
              </w:rPr>
              <w:t>含油手套及棉纱</w:t>
            </w:r>
            <w:r>
              <w:rPr>
                <w:rFonts w:hint="default" w:ascii="Times New Roman" w:hAnsi="Times New Roman" w:eastAsia="宋体" w:cs="Times New Roman"/>
                <w:color w:val="auto"/>
                <w:sz w:val="24"/>
                <w:szCs w:val="24"/>
                <w:highlight w:val="none"/>
                <w:lang w:val="en-US" w:eastAsia="zh-CN"/>
              </w:rPr>
              <w:t>等</w:t>
            </w:r>
            <w:r>
              <w:rPr>
                <w:rFonts w:hint="eastAsia" w:ascii="Times New Roman" w:hAnsi="Times New Roman" w:cs="Times New Roman"/>
                <w:color w:val="auto"/>
                <w:sz w:val="24"/>
                <w:szCs w:val="24"/>
                <w:highlight w:val="none"/>
                <w:lang w:val="en-US" w:eastAsia="zh-CN"/>
              </w:rPr>
              <w:t>，员工生活垃圾。</w:t>
            </w:r>
          </w:p>
          <w:p w14:paraId="3402BBCA">
            <w:pPr>
              <w:adjustRightInd w:val="0"/>
              <w:snapToGrid w:val="0"/>
              <w:spacing w:line="360" w:lineRule="auto"/>
              <w:ind w:firstLine="482" w:firstLineChars="200"/>
              <w:rPr>
                <w:rFonts w:hint="default"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1、生活垃圾</w:t>
            </w:r>
          </w:p>
          <w:p w14:paraId="391558A0">
            <w:pPr>
              <w:adjustRightInd w:val="0"/>
              <w:snapToGrid w:val="0"/>
              <w:spacing w:line="360" w:lineRule="auto"/>
              <w:ind w:firstLine="482" w:firstLineChars="200"/>
              <w:rPr>
                <w:color w:val="auto"/>
                <w:sz w:val="24"/>
                <w:highlight w:val="none"/>
              </w:rPr>
            </w:pPr>
            <w:r>
              <w:rPr>
                <w:rFonts w:hint="eastAsia" w:ascii="宋体" w:hAnsi="宋体" w:cs="宋体"/>
                <w:b/>
                <w:bCs/>
                <w:color w:val="auto"/>
                <w:kern w:val="0"/>
                <w:sz w:val="24"/>
                <w:highlight w:val="none"/>
              </w:rPr>
              <w:t>产生情况：</w:t>
            </w:r>
            <w:r>
              <w:rPr>
                <w:color w:val="auto"/>
                <w:sz w:val="24"/>
                <w:highlight w:val="none"/>
              </w:rPr>
              <w:t>本项目建成后</w:t>
            </w:r>
            <w:r>
              <w:rPr>
                <w:rFonts w:hint="eastAsia"/>
                <w:color w:val="auto"/>
                <w:sz w:val="24"/>
                <w:highlight w:val="none"/>
                <w:lang w:eastAsia="zh-CN"/>
              </w:rPr>
              <w:t>劳动定员</w:t>
            </w:r>
            <w:r>
              <w:rPr>
                <w:rFonts w:hint="eastAsia"/>
                <w:color w:val="auto"/>
                <w:sz w:val="24"/>
                <w:highlight w:val="none"/>
                <w:lang w:val="en-US" w:eastAsia="zh-CN"/>
              </w:rPr>
              <w:t>14</w:t>
            </w:r>
            <w:r>
              <w:rPr>
                <w:color w:val="auto"/>
                <w:sz w:val="24"/>
                <w:highlight w:val="none"/>
              </w:rPr>
              <w:t>人，</w:t>
            </w:r>
            <w:r>
              <w:rPr>
                <w:rFonts w:hint="eastAsia"/>
                <w:color w:val="auto"/>
                <w:sz w:val="24"/>
                <w:highlight w:val="none"/>
              </w:rPr>
              <w:t>生活</w:t>
            </w:r>
            <w:r>
              <w:rPr>
                <w:color w:val="auto"/>
                <w:sz w:val="24"/>
                <w:highlight w:val="none"/>
              </w:rPr>
              <w:t>垃圾</w:t>
            </w:r>
            <w:r>
              <w:rPr>
                <w:rFonts w:hint="eastAsia"/>
                <w:color w:val="auto"/>
                <w:sz w:val="24"/>
                <w:highlight w:val="none"/>
              </w:rPr>
              <w:t>产生</w:t>
            </w:r>
            <w:r>
              <w:rPr>
                <w:color w:val="auto"/>
                <w:sz w:val="24"/>
                <w:highlight w:val="none"/>
              </w:rPr>
              <w:t>系数按</w:t>
            </w:r>
            <w:r>
              <w:rPr>
                <w:rFonts w:hint="eastAsia"/>
                <w:color w:val="auto"/>
                <w:sz w:val="24"/>
                <w:highlight w:val="none"/>
              </w:rPr>
              <w:t>每人</w:t>
            </w:r>
            <w:r>
              <w:rPr>
                <w:color w:val="auto"/>
                <w:sz w:val="24"/>
                <w:highlight w:val="none"/>
              </w:rPr>
              <w:t>0.38kg/d计算，工作天数3</w:t>
            </w:r>
            <w:r>
              <w:rPr>
                <w:rFonts w:hint="eastAsia"/>
                <w:color w:val="auto"/>
                <w:sz w:val="24"/>
                <w:highlight w:val="none"/>
                <w:lang w:val="en-US" w:eastAsia="zh-CN"/>
              </w:rPr>
              <w:t>65</w:t>
            </w:r>
            <w:r>
              <w:rPr>
                <w:color w:val="auto"/>
                <w:sz w:val="24"/>
                <w:highlight w:val="none"/>
              </w:rPr>
              <w:t>d</w:t>
            </w:r>
            <w:r>
              <w:rPr>
                <w:rFonts w:hint="eastAsia"/>
                <w:color w:val="auto"/>
                <w:sz w:val="24"/>
                <w:highlight w:val="none"/>
              </w:rPr>
              <w:t>/a</w:t>
            </w:r>
            <w:r>
              <w:rPr>
                <w:color w:val="auto"/>
                <w:sz w:val="24"/>
                <w:highlight w:val="none"/>
              </w:rPr>
              <w:t>，则生活垃圾产生量为</w:t>
            </w:r>
            <w:r>
              <w:rPr>
                <w:rFonts w:hint="eastAsia"/>
                <w:color w:val="auto"/>
                <w:sz w:val="24"/>
                <w:highlight w:val="none"/>
                <w:lang w:val="en-US" w:eastAsia="zh-CN"/>
              </w:rPr>
              <w:t>15.58</w:t>
            </w:r>
            <w:r>
              <w:rPr>
                <w:color w:val="auto"/>
                <w:sz w:val="24"/>
                <w:highlight w:val="none"/>
              </w:rPr>
              <w:t>kg/d</w:t>
            </w:r>
            <w:r>
              <w:rPr>
                <w:rFonts w:hint="eastAsia"/>
                <w:color w:val="auto"/>
                <w:sz w:val="24"/>
                <w:highlight w:val="none"/>
              </w:rPr>
              <w:t>（</w:t>
            </w:r>
            <w:r>
              <w:rPr>
                <w:rFonts w:hint="eastAsia"/>
                <w:color w:val="auto"/>
                <w:sz w:val="24"/>
                <w:highlight w:val="none"/>
                <w:lang w:val="en-US" w:eastAsia="zh-CN"/>
              </w:rPr>
              <w:t>5.686</w:t>
            </w:r>
            <w:r>
              <w:rPr>
                <w:color w:val="auto"/>
                <w:sz w:val="24"/>
                <w:highlight w:val="none"/>
              </w:rPr>
              <w:t>t/a</w:t>
            </w:r>
            <w:r>
              <w:rPr>
                <w:rFonts w:hint="eastAsia"/>
                <w:color w:val="auto"/>
                <w:sz w:val="24"/>
                <w:highlight w:val="none"/>
              </w:rPr>
              <w:t>）</w:t>
            </w:r>
            <w:r>
              <w:rPr>
                <w:color w:val="auto"/>
                <w:sz w:val="24"/>
                <w:highlight w:val="none"/>
              </w:rPr>
              <w:t>。</w:t>
            </w:r>
          </w:p>
          <w:p w14:paraId="3003D074">
            <w:pPr>
              <w:adjustRightInd w:val="0"/>
              <w:snapToGrid w:val="0"/>
              <w:spacing w:line="360" w:lineRule="auto"/>
              <w:ind w:firstLine="482" w:firstLineChars="200"/>
              <w:rPr>
                <w:rFonts w:hint="default" w:ascii="Times New Roman" w:hAnsi="Times New Roman" w:cs="Times New Roman"/>
                <w:color w:val="auto"/>
                <w:sz w:val="24"/>
                <w:highlight w:val="none"/>
                <w:lang w:eastAsia="zh-CN"/>
              </w:rPr>
            </w:pPr>
            <w:r>
              <w:rPr>
                <w:rFonts w:hint="eastAsia" w:cs="Times New Roman"/>
                <w:b/>
                <w:bCs/>
                <w:color w:val="auto"/>
                <w:sz w:val="24"/>
                <w:highlight w:val="none"/>
                <w:lang w:eastAsia="zh-CN"/>
              </w:rPr>
              <w:t>处置措施：</w:t>
            </w:r>
            <w:r>
              <w:rPr>
                <w:color w:val="auto"/>
                <w:sz w:val="24"/>
                <w:highlight w:val="none"/>
              </w:rPr>
              <w:t>生活垃圾经垃圾桶集中收集后送至</w:t>
            </w:r>
            <w:r>
              <w:rPr>
                <w:rFonts w:hint="eastAsia"/>
                <w:color w:val="auto"/>
                <w:sz w:val="24"/>
                <w:highlight w:val="none"/>
              </w:rPr>
              <w:t>就近</w:t>
            </w:r>
            <w:r>
              <w:rPr>
                <w:color w:val="auto"/>
                <w:sz w:val="24"/>
                <w:highlight w:val="none"/>
              </w:rPr>
              <w:t>垃圾收集点，交由环卫部门处理。</w:t>
            </w:r>
          </w:p>
          <w:p w14:paraId="238EC6D4">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eastAsia" w:cs="Times New Roman"/>
                <w:b/>
                <w:bCs/>
                <w:color w:val="auto"/>
                <w:sz w:val="24"/>
                <w:highlight w:val="none"/>
                <w:lang w:val="en-US" w:eastAsia="zh-CN"/>
              </w:rPr>
              <w:t>2、</w:t>
            </w:r>
            <w:r>
              <w:rPr>
                <w:rFonts w:hint="default" w:ascii="Times New Roman" w:hAnsi="Times New Roman" w:cs="Times New Roman"/>
                <w:b/>
                <w:bCs/>
                <w:color w:val="auto"/>
                <w:sz w:val="24"/>
                <w:highlight w:val="none"/>
                <w:lang w:eastAsia="zh-CN"/>
              </w:rPr>
              <w:t>一般固废</w:t>
            </w:r>
          </w:p>
          <w:p w14:paraId="0BF5B71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1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①</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highlight w:val="none"/>
              </w:rPr>
              <w:t>栅渣</w:t>
            </w:r>
          </w:p>
          <w:p w14:paraId="2340C572">
            <w:pPr>
              <w:keepNext w:val="0"/>
              <w:keepLines w:val="0"/>
              <w:suppressLineNumbers w:val="0"/>
              <w:snapToGrid w:val="0"/>
              <w:spacing w:before="0" w:beforeAutospacing="0" w:after="0" w:afterAutospacing="0" w:line="372" w:lineRule="auto"/>
              <w:ind w:left="0" w:right="0" w:firstLine="482" w:firstLineChars="200"/>
              <w:jc w:val="both"/>
              <w:rPr>
                <w:rFonts w:hint="eastAsia" w:ascii="Times New Roman" w:hAnsi="Times New Roman" w:eastAsia="宋体" w:cs="Times New Roman"/>
                <w:color w:val="auto"/>
                <w:sz w:val="24"/>
                <w:highlight w:val="none"/>
                <w:vertAlign w:val="baseline"/>
                <w:lang w:val="en-US" w:eastAsia="zh-CN"/>
              </w:rPr>
            </w:pPr>
            <w:r>
              <w:rPr>
                <w:rFonts w:hint="eastAsia" w:cs="Times New Roman"/>
                <w:b/>
                <w:bCs/>
                <w:color w:val="auto"/>
                <w:sz w:val="24"/>
                <w:highlight w:val="none"/>
                <w:lang w:eastAsia="zh-CN"/>
              </w:rPr>
              <w:t>产生情况：</w:t>
            </w:r>
            <w:r>
              <w:rPr>
                <w:rFonts w:hint="default" w:ascii="Times New Roman" w:hAnsi="Times New Roman" w:cs="Times New Roman"/>
                <w:color w:val="auto"/>
                <w:sz w:val="24"/>
                <w:highlight w:val="none"/>
              </w:rPr>
              <w:t>格栅主要采用物理机械手段，拦截污水中的悬浮物、漂浮物等大颗粒</w:t>
            </w:r>
            <w:r>
              <w:rPr>
                <w:rFonts w:hint="eastAsia" w:cs="Times New Roman"/>
                <w:color w:val="auto"/>
                <w:sz w:val="24"/>
                <w:highlight w:val="none"/>
                <w:lang w:eastAsia="zh-CN"/>
              </w:rPr>
              <w:t>。根据《污水处理厂工艺设计手册》（高俊发、王社平主编，化学工业出版社，2003年）中的数据可知，栅渣产生量为0.05～0.1m</w:t>
            </w:r>
            <w:r>
              <w:rPr>
                <w:rFonts w:hint="eastAsia" w:cs="Times New Roman"/>
                <w:color w:val="auto"/>
                <w:sz w:val="24"/>
                <w:highlight w:val="none"/>
                <w:vertAlign w:val="superscript"/>
                <w:lang w:eastAsia="zh-CN"/>
              </w:rPr>
              <w:t>3</w:t>
            </w:r>
            <w:r>
              <w:rPr>
                <w:rFonts w:hint="eastAsia" w:cs="Times New Roman"/>
                <w:color w:val="auto"/>
                <w:sz w:val="24"/>
                <w:highlight w:val="none"/>
                <w:lang w:eastAsia="zh-CN"/>
              </w:rPr>
              <w:t>/1000m</w:t>
            </w:r>
            <w:r>
              <w:rPr>
                <w:rFonts w:hint="eastAsia" w:cs="Times New Roman"/>
                <w:color w:val="auto"/>
                <w:sz w:val="24"/>
                <w:highlight w:val="none"/>
                <w:vertAlign w:val="superscript"/>
                <w:lang w:eastAsia="zh-CN"/>
              </w:rPr>
              <w:t>3</w:t>
            </w:r>
            <w:r>
              <w:rPr>
                <w:rFonts w:hint="eastAsia" w:cs="Times New Roman"/>
                <w:color w:val="auto"/>
                <w:sz w:val="24"/>
                <w:highlight w:val="none"/>
                <w:vertAlign w:val="baseline"/>
                <w:lang w:eastAsia="zh-CN"/>
              </w:rPr>
              <w:t>污水，本项目污水处理规模为</w:t>
            </w:r>
            <w:r>
              <w:rPr>
                <w:rFonts w:hint="eastAsia" w:cs="Times New Roman"/>
                <w:color w:val="auto"/>
                <w:sz w:val="24"/>
                <w:highlight w:val="none"/>
                <w:vertAlign w:val="baseline"/>
                <w:lang w:val="en-US" w:eastAsia="zh-CN"/>
              </w:rPr>
              <w:t>1500m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/d，</w:t>
            </w:r>
            <w:r>
              <w:rPr>
                <w:rFonts w:hint="eastAsia" w:cs="Times New Roman"/>
                <w:color w:val="auto"/>
                <w:sz w:val="24"/>
                <w:highlight w:val="none"/>
                <w:lang w:eastAsia="zh-CN"/>
              </w:rPr>
              <w:t>栅渣产生量按最大值</w:t>
            </w:r>
            <w:r>
              <w:rPr>
                <w:rFonts w:hint="eastAsia" w:cs="Times New Roman"/>
                <w:color w:val="auto"/>
                <w:sz w:val="24"/>
                <w:highlight w:val="none"/>
                <w:lang w:val="en-US" w:eastAsia="zh-CN"/>
              </w:rPr>
              <w:t>0.1m</w:t>
            </w:r>
            <w:r>
              <w:rPr>
                <w:rFonts w:hint="eastAsia" w:cs="Times New Roman"/>
                <w:color w:val="auto"/>
                <w:sz w:val="24"/>
                <w:highlight w:val="none"/>
                <w:vertAlign w:val="superscript"/>
                <w:lang w:val="en-US" w:eastAsia="zh-CN"/>
              </w:rPr>
              <w:t>3</w:t>
            </w:r>
            <w:r>
              <w:rPr>
                <w:rFonts w:hint="eastAsia" w:cs="Times New Roman"/>
                <w:color w:val="auto"/>
                <w:sz w:val="24"/>
                <w:highlight w:val="none"/>
                <w:lang w:eastAsia="zh-CN"/>
              </w:rPr>
              <w:t>/1000m</w:t>
            </w:r>
            <w:r>
              <w:rPr>
                <w:rFonts w:hint="eastAsia" w:cs="Times New Roman"/>
                <w:color w:val="auto"/>
                <w:sz w:val="24"/>
                <w:highlight w:val="none"/>
                <w:vertAlign w:val="superscript"/>
                <w:lang w:eastAsia="zh-CN"/>
              </w:rPr>
              <w:t>3</w:t>
            </w:r>
            <w:r>
              <w:rPr>
                <w:rFonts w:hint="eastAsia" w:cs="Times New Roman"/>
                <w:color w:val="auto"/>
                <w:sz w:val="24"/>
                <w:highlight w:val="none"/>
                <w:lang w:eastAsia="zh-CN"/>
              </w:rPr>
              <w:t>污水计，则</w:t>
            </w:r>
            <w:r>
              <w:rPr>
                <w:rFonts w:hint="default" w:ascii="Times New Roman" w:hAnsi="Times New Roman" w:cs="Times New Roman"/>
                <w:color w:val="auto"/>
                <w:sz w:val="24"/>
                <w:highlight w:val="none"/>
              </w:rPr>
              <w:t>栅渣</w:t>
            </w:r>
            <w:r>
              <w:rPr>
                <w:rFonts w:hint="eastAsia" w:ascii="Times New Roman" w:hAnsi="Times New Roman" w:cs="Times New Roman"/>
                <w:color w:val="auto"/>
                <w:sz w:val="24"/>
                <w:highlight w:val="none"/>
                <w:lang w:eastAsia="zh-CN"/>
              </w:rPr>
              <w:t>产生量为</w:t>
            </w:r>
            <w:r>
              <w:rPr>
                <w:rFonts w:hint="eastAsia" w:ascii="Times New Roman" w:hAnsi="Times New Roman" w:cs="Times New Roman"/>
                <w:color w:val="auto"/>
                <w:sz w:val="24"/>
                <w:highlight w:val="none"/>
                <w:lang w:val="en-US" w:eastAsia="zh-CN"/>
              </w:rPr>
              <w:t>0.15</w:t>
            </w:r>
            <w:r>
              <w:rPr>
                <w:rFonts w:hint="eastAsia" w:cs="Times New Roman"/>
                <w:color w:val="auto"/>
                <w:sz w:val="24"/>
                <w:highlight w:val="none"/>
                <w:vertAlign w:val="baseline"/>
                <w:lang w:val="en-US" w:eastAsia="zh-CN"/>
              </w:rPr>
              <w:t>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/d（54.75m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/a），栅渣容重约为960kg/m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，因此运营期</w:t>
            </w:r>
            <w:r>
              <w:rPr>
                <w:rFonts w:hint="default" w:ascii="Times New Roman" w:hAnsi="Times New Roman" w:cs="Times New Roman"/>
                <w:color w:val="auto"/>
                <w:sz w:val="24"/>
                <w:highlight w:val="none"/>
              </w:rPr>
              <w:t>栅渣</w:t>
            </w:r>
            <w:r>
              <w:rPr>
                <w:rFonts w:hint="eastAsia" w:ascii="Times New Roman" w:hAnsi="Times New Roman" w:cs="Times New Roman"/>
                <w:color w:val="auto"/>
                <w:sz w:val="24"/>
                <w:highlight w:val="none"/>
                <w:lang w:eastAsia="zh-CN"/>
              </w:rPr>
              <w:t>产生量约合</w:t>
            </w:r>
            <w:r>
              <w:rPr>
                <w:rFonts w:hint="eastAsia" w:ascii="Times New Roman" w:hAnsi="Times New Roman" w:cs="Times New Roman"/>
                <w:color w:val="auto"/>
                <w:sz w:val="24"/>
                <w:highlight w:val="none"/>
                <w:lang w:val="en-US" w:eastAsia="zh-CN"/>
              </w:rPr>
              <w:t>52.56</w:t>
            </w:r>
            <w:r>
              <w:rPr>
                <w:rFonts w:hint="default" w:ascii="Times New Roman" w:hAnsi="Times New Roman" w:cs="Times New Roman"/>
                <w:color w:val="auto"/>
                <w:sz w:val="24"/>
                <w:highlight w:val="none"/>
              </w:rPr>
              <w:t>t/a</w:t>
            </w:r>
            <w:r>
              <w:rPr>
                <w:rFonts w:hint="eastAsia" w:ascii="Times New Roman" w:hAnsi="Times New Roman" w:cs="Times New Roman"/>
                <w:color w:val="auto"/>
                <w:sz w:val="24"/>
                <w:highlight w:val="none"/>
                <w:lang w:eastAsia="zh-CN"/>
              </w:rPr>
              <w:t>。</w:t>
            </w:r>
          </w:p>
          <w:p w14:paraId="15276FB4">
            <w:pPr>
              <w:keepNext w:val="0"/>
              <w:keepLines w:val="0"/>
              <w:suppressLineNumbers w:val="0"/>
              <w:snapToGrid w:val="0"/>
              <w:spacing w:before="0" w:beforeAutospacing="0" w:after="0" w:afterAutospacing="0" w:line="372" w:lineRule="auto"/>
              <w:ind w:left="0" w:right="0" w:firstLine="482" w:firstLineChars="200"/>
              <w:jc w:val="both"/>
              <w:rPr>
                <w:rFonts w:hint="default" w:ascii="Times New Roman" w:hAnsi="Times New Roman" w:cs="Times New Roman"/>
                <w:color w:val="auto"/>
                <w:sz w:val="24"/>
                <w:highlight w:val="none"/>
              </w:rPr>
            </w:pPr>
            <w:r>
              <w:rPr>
                <w:rFonts w:hint="eastAsia" w:cs="Times New Roman"/>
                <w:b/>
                <w:bCs/>
                <w:color w:val="auto"/>
                <w:sz w:val="24"/>
                <w:highlight w:val="none"/>
                <w:lang w:eastAsia="zh-CN"/>
              </w:rPr>
              <w:t>处置措施：</w:t>
            </w:r>
            <w:r>
              <w:rPr>
                <w:rFonts w:hint="eastAsia" w:ascii="Times New Roman" w:hAnsi="Times New Roman" w:cs="Times New Roman"/>
                <w:b w:val="0"/>
                <w:bCs w:val="0"/>
                <w:color w:val="auto"/>
                <w:sz w:val="24"/>
                <w:highlight w:val="none"/>
                <w:lang w:eastAsia="zh-CN"/>
              </w:rPr>
              <w:t>格栅渣</w:t>
            </w:r>
            <w:r>
              <w:rPr>
                <w:rFonts w:hint="default" w:ascii="Times New Roman" w:hAnsi="Times New Roman" w:cs="Times New Roman"/>
                <w:b w:val="0"/>
                <w:bCs w:val="0"/>
                <w:color w:val="auto"/>
                <w:sz w:val="24"/>
                <w:highlight w:val="none"/>
              </w:rPr>
              <w:t>主要成分为塑料类、废纸团块、布料及其它杂质</w:t>
            </w: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rPr>
              <w:t>与生活垃圾类似</w:t>
            </w:r>
            <w:r>
              <w:rPr>
                <w:rFonts w:hint="eastAsia" w:cs="Times New Roman"/>
                <w:b w:val="0"/>
                <w:bCs w:val="0"/>
                <w:color w:val="auto"/>
                <w:sz w:val="24"/>
                <w:highlight w:val="none"/>
                <w:lang w:eastAsia="zh-CN"/>
              </w:rPr>
              <w:t>；简单脱水后，日产日清，与生活垃圾一同交由环卫部门处置</w:t>
            </w:r>
            <w:r>
              <w:rPr>
                <w:rFonts w:hint="default" w:ascii="Times New Roman" w:hAnsi="Times New Roman" w:cs="Times New Roman"/>
                <w:color w:val="auto"/>
                <w:sz w:val="24"/>
                <w:highlight w:val="none"/>
              </w:rPr>
              <w:t>。</w:t>
            </w:r>
          </w:p>
          <w:p w14:paraId="320FF19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②</w:t>
            </w:r>
            <w:r>
              <w:rPr>
                <w:rFonts w:hint="default" w:ascii="Times New Roman" w:hAnsi="Times New Roman" w:cs="Times New Roman"/>
                <w:color w:val="auto"/>
                <w:sz w:val="24"/>
                <w:highlight w:val="none"/>
              </w:rPr>
              <w:t>污泥</w:t>
            </w:r>
          </w:p>
          <w:p w14:paraId="0213C4B0">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根据《排污许可证申请与核发技术规范</w:t>
            </w:r>
            <w:r>
              <w:rPr>
                <w:rFonts w:hint="eastAsia" w:cs="Times New Roman"/>
                <w:color w:val="auto"/>
                <w:sz w:val="24"/>
                <w:highlight w:val="none"/>
                <w:lang w:val="en-US" w:eastAsia="zh-CN"/>
              </w:rPr>
              <w:t xml:space="preserve">  </w:t>
            </w:r>
            <w:r>
              <w:rPr>
                <w:rFonts w:hint="default" w:ascii="Times New Roman" w:hAnsi="Times New Roman" w:cs="Times New Roman"/>
                <w:color w:val="auto"/>
                <w:sz w:val="24"/>
                <w:highlight w:val="none"/>
                <w:lang w:val="en-US" w:eastAsia="zh-CN"/>
              </w:rPr>
              <w:t>水处理（试行）》（HJ978-2018），</w:t>
            </w:r>
            <w:r>
              <w:rPr>
                <w:rFonts w:hint="eastAsia" w:cs="Times New Roman"/>
                <w:color w:val="auto"/>
                <w:sz w:val="24"/>
                <w:highlight w:val="none"/>
                <w:lang w:val="en-US" w:eastAsia="zh-CN"/>
              </w:rPr>
              <w:t>污泥产生量公式为：</w:t>
            </w:r>
          </w:p>
          <w:p w14:paraId="10D8AB1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lang w:val="en-US" w:eastAsia="zh-CN"/>
              </w:rPr>
              <w:t>E</w:t>
            </w:r>
            <w:r>
              <w:rPr>
                <w:rFonts w:hint="default" w:ascii="Times New Roman" w:hAnsi="Times New Roman" w:cs="Times New Roman"/>
                <w:color w:val="auto"/>
                <w:sz w:val="24"/>
                <w:highlight w:val="none"/>
                <w:vertAlign w:val="subscript"/>
                <w:lang w:val="en-US" w:eastAsia="zh-CN"/>
              </w:rPr>
              <w:t>产生量</w:t>
            </w:r>
            <w:r>
              <w:rPr>
                <w:rFonts w:hint="default" w:ascii="Times New Roman" w:hAnsi="Times New Roman" w:cs="Times New Roman"/>
                <w:color w:val="auto"/>
                <w:sz w:val="24"/>
                <w:highlight w:val="none"/>
                <w:vertAlign w:val="baseline"/>
                <w:lang w:val="en-US" w:eastAsia="zh-CN"/>
              </w:rPr>
              <w:t>=1.7×Q×W</w:t>
            </w:r>
            <w:r>
              <w:rPr>
                <w:rFonts w:hint="default" w:ascii="Times New Roman" w:hAnsi="Times New Roman" w:cs="Times New Roman"/>
                <w:color w:val="auto"/>
                <w:sz w:val="24"/>
                <w:highlight w:val="none"/>
                <w:vertAlign w:val="subscript"/>
                <w:lang w:val="en-US" w:eastAsia="zh-CN"/>
              </w:rPr>
              <w:t>深</w:t>
            </w:r>
            <w:r>
              <w:rPr>
                <w:rFonts w:hint="default" w:ascii="Times New Roman" w:hAnsi="Times New Roman" w:cs="Times New Roman"/>
                <w:color w:val="auto"/>
                <w:sz w:val="24"/>
                <w:highlight w:val="none"/>
                <w:vertAlign w:val="baseline"/>
                <w:lang w:val="en-US" w:eastAsia="zh-CN"/>
              </w:rPr>
              <w:t>×10</w:t>
            </w:r>
            <w:r>
              <w:rPr>
                <w:rFonts w:hint="eastAsia" w:ascii="Times New Roman" w:hAnsi="Times New Roman" w:cs="Times New Roman"/>
                <w:color w:val="auto"/>
                <w:sz w:val="24"/>
                <w:highlight w:val="none"/>
                <w:vertAlign w:val="superscript"/>
                <w:lang w:val="en-US" w:eastAsia="zh-CN"/>
              </w:rPr>
              <w:t>-</w:t>
            </w:r>
            <w:r>
              <w:rPr>
                <w:rFonts w:hint="default" w:ascii="Times New Roman" w:hAnsi="Times New Roman" w:cs="Times New Roman"/>
                <w:color w:val="auto"/>
                <w:sz w:val="24"/>
                <w:highlight w:val="none"/>
                <w:vertAlign w:val="superscript"/>
                <w:lang w:val="en-US" w:eastAsia="zh-CN"/>
              </w:rPr>
              <w:t>4</w:t>
            </w:r>
          </w:p>
          <w:p w14:paraId="289F8A1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式中</w:t>
            </w:r>
            <w:r>
              <w:rPr>
                <w:rFonts w:hint="eastAsia" w:cs="Times New Roman"/>
                <w:color w:val="auto"/>
                <w:sz w:val="24"/>
                <w:highlight w:val="none"/>
                <w:lang w:eastAsia="zh-CN"/>
              </w:rPr>
              <w:t>：</w:t>
            </w:r>
            <w:r>
              <w:rPr>
                <w:rFonts w:hint="eastAsia" w:cs="Times New Roman"/>
                <w:color w:val="auto"/>
                <w:sz w:val="24"/>
                <w:highlight w:val="none"/>
                <w:lang w:val="en-US" w:eastAsia="zh-CN"/>
              </w:rPr>
              <w:t>E</w:t>
            </w:r>
            <w:r>
              <w:rPr>
                <w:rFonts w:hint="default" w:ascii="Times New Roman" w:hAnsi="Times New Roman" w:cs="Times New Roman"/>
                <w:color w:val="auto"/>
                <w:sz w:val="24"/>
                <w:highlight w:val="none"/>
                <w:vertAlign w:val="subscript"/>
                <w:lang w:eastAsia="zh-CN"/>
              </w:rPr>
              <w:t>产生量</w:t>
            </w:r>
            <w:r>
              <w:rPr>
                <w:rFonts w:hint="default" w:ascii="Times New Roman" w:hAnsi="Times New Roman" w:cs="Times New Roman"/>
                <w:color w:val="auto"/>
                <w:sz w:val="24"/>
                <w:highlight w:val="none"/>
                <w:lang w:eastAsia="zh-CN"/>
              </w:rPr>
              <w:t>一污水处理过程中产生的污泥量，以干泥计，t</w:t>
            </w:r>
            <w:r>
              <w:rPr>
                <w:rFonts w:hint="eastAsia" w:cs="Times New Roman"/>
                <w:color w:val="auto"/>
                <w:sz w:val="24"/>
                <w:highlight w:val="none"/>
                <w:lang w:eastAsia="zh-CN"/>
              </w:rPr>
              <w:t>；</w:t>
            </w:r>
          </w:p>
          <w:p w14:paraId="1AE1FE0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Q一核算时段内排污单位废水排放量，m，具有有效出水口实测值按实测值计，无有效出水口实测值按进水口实测值计，无有效进水口实测值按协议进水水量计</w:t>
            </w:r>
            <w:r>
              <w:rPr>
                <w:rFonts w:hint="eastAsia" w:cs="Times New Roman"/>
                <w:color w:val="auto"/>
                <w:sz w:val="24"/>
                <w:highlight w:val="none"/>
                <w:lang w:eastAsia="zh-CN"/>
              </w:rPr>
              <w:t>；</w:t>
            </w:r>
          </w:p>
          <w:p w14:paraId="77738AB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w:t>
            </w:r>
            <w:r>
              <w:rPr>
                <w:rFonts w:hint="default" w:ascii="Times New Roman" w:hAnsi="Times New Roman" w:cs="Times New Roman"/>
                <w:color w:val="auto"/>
                <w:sz w:val="24"/>
                <w:highlight w:val="none"/>
                <w:vertAlign w:val="subscript"/>
                <w:lang w:eastAsia="zh-CN"/>
              </w:rPr>
              <w:t>深</w:t>
            </w:r>
            <w:r>
              <w:rPr>
                <w:rFonts w:hint="default" w:ascii="Times New Roman" w:hAnsi="Times New Roman" w:cs="Times New Roman"/>
                <w:color w:val="auto"/>
                <w:sz w:val="24"/>
                <w:highlight w:val="none"/>
                <w:lang w:eastAsia="zh-CN"/>
              </w:rPr>
              <w:t>一有深度处理工艺(添加化学药剂)时按2计，无深度处理工艺时按1计，量纲一。</w:t>
            </w:r>
          </w:p>
          <w:p w14:paraId="3D31730A">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 w:val="24"/>
                <w:highlight w:val="none"/>
                <w:lang w:eastAsia="zh-CN"/>
              </w:rPr>
            </w:pPr>
            <w:r>
              <w:rPr>
                <w:rFonts w:hint="eastAsia" w:cs="Times New Roman"/>
                <w:color w:val="auto"/>
                <w:sz w:val="24"/>
                <w:highlight w:val="none"/>
                <w:lang w:eastAsia="zh-CN"/>
              </w:rPr>
              <w:t>综合计算可得出，本项目污泥产生量为：</w:t>
            </w:r>
          </w:p>
          <w:p w14:paraId="7038CCC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lang w:val="en-US" w:eastAsia="zh-CN"/>
              </w:rPr>
              <w:t>E</w:t>
            </w:r>
            <w:r>
              <w:rPr>
                <w:rFonts w:hint="default" w:ascii="Times New Roman" w:hAnsi="Times New Roman" w:cs="Times New Roman"/>
                <w:color w:val="auto"/>
                <w:sz w:val="24"/>
                <w:highlight w:val="none"/>
                <w:vertAlign w:val="subscript"/>
                <w:lang w:val="en-US" w:eastAsia="zh-CN"/>
              </w:rPr>
              <w:t>产生量</w:t>
            </w:r>
            <w:r>
              <w:rPr>
                <w:rFonts w:hint="default" w:ascii="Times New Roman" w:hAnsi="Times New Roman" w:cs="Times New Roman"/>
                <w:color w:val="auto"/>
                <w:sz w:val="24"/>
                <w:highlight w:val="none"/>
                <w:vertAlign w:val="baseline"/>
                <w:lang w:val="en-US" w:eastAsia="zh-CN"/>
              </w:rPr>
              <w:t>=1.7×Q×W</w:t>
            </w:r>
            <w:r>
              <w:rPr>
                <w:rFonts w:hint="default" w:ascii="Times New Roman" w:hAnsi="Times New Roman" w:cs="Times New Roman"/>
                <w:color w:val="auto"/>
                <w:sz w:val="24"/>
                <w:highlight w:val="none"/>
                <w:vertAlign w:val="subscript"/>
                <w:lang w:val="en-US" w:eastAsia="zh-CN"/>
              </w:rPr>
              <w:t>深</w:t>
            </w:r>
            <w:r>
              <w:rPr>
                <w:rFonts w:hint="default" w:ascii="Times New Roman" w:hAnsi="Times New Roman" w:cs="Times New Roman"/>
                <w:color w:val="auto"/>
                <w:sz w:val="24"/>
                <w:highlight w:val="none"/>
                <w:vertAlign w:val="baseline"/>
                <w:lang w:val="en-US" w:eastAsia="zh-CN"/>
              </w:rPr>
              <w:t>×10</w:t>
            </w:r>
            <w:r>
              <w:rPr>
                <w:rFonts w:hint="eastAsia" w:ascii="Times New Roman" w:hAnsi="Times New Roman" w:cs="Times New Roman"/>
                <w:color w:val="auto"/>
                <w:sz w:val="24"/>
                <w:highlight w:val="none"/>
                <w:vertAlign w:val="superscript"/>
                <w:lang w:val="en-US" w:eastAsia="zh-CN"/>
              </w:rPr>
              <w:t>-</w:t>
            </w:r>
            <w:r>
              <w:rPr>
                <w:rFonts w:hint="default" w:ascii="Times New Roman" w:hAnsi="Times New Roman" w:cs="Times New Roman"/>
                <w:color w:val="auto"/>
                <w:sz w:val="24"/>
                <w:highlight w:val="none"/>
                <w:vertAlign w:val="superscript"/>
                <w:lang w:val="en-US" w:eastAsia="zh-CN"/>
              </w:rPr>
              <w:t>4</w:t>
            </w:r>
            <w:r>
              <w:rPr>
                <w:rFonts w:hint="eastAsia" w:ascii="Times New Roman" w:hAnsi="Times New Roman" w:cs="Times New Roman"/>
                <w:color w:val="auto"/>
                <w:sz w:val="24"/>
                <w:highlight w:val="none"/>
                <w:vertAlign w:val="baseline"/>
                <w:lang w:val="en-US" w:eastAsia="zh-CN"/>
              </w:rPr>
              <w:t>=1.7</w:t>
            </w:r>
            <w:r>
              <w:rPr>
                <w:rFonts w:hint="default" w:ascii="Times New Roman" w:hAnsi="Times New Roman" w:cs="Times New Roman"/>
                <w:color w:val="auto"/>
                <w:sz w:val="24"/>
                <w:highlight w:val="none"/>
                <w:vertAlign w:val="baseline"/>
                <w:lang w:val="en-US" w:eastAsia="zh-CN"/>
              </w:rPr>
              <w:t>×</w:t>
            </w:r>
            <w:r>
              <w:rPr>
                <w:rFonts w:hint="eastAsia" w:ascii="Times New Roman" w:hAnsi="Times New Roman" w:cs="Times New Roman"/>
                <w:color w:val="auto"/>
                <w:sz w:val="24"/>
                <w:highlight w:val="none"/>
                <w:vertAlign w:val="baseline"/>
                <w:lang w:val="en-US" w:eastAsia="zh-CN"/>
              </w:rPr>
              <w:t>547500</w:t>
            </w:r>
            <w:r>
              <w:rPr>
                <w:rFonts w:hint="default" w:ascii="Times New Roman" w:hAnsi="Times New Roman" w:cs="Times New Roman"/>
                <w:color w:val="auto"/>
                <w:sz w:val="24"/>
                <w:highlight w:val="none"/>
                <w:vertAlign w:val="baseline"/>
                <w:lang w:val="en-US" w:eastAsia="zh-CN"/>
              </w:rPr>
              <w:t>×</w:t>
            </w:r>
            <w:r>
              <w:rPr>
                <w:rFonts w:hint="eastAsia" w:ascii="Times New Roman" w:hAnsi="Times New Roman" w:cs="Times New Roman"/>
                <w:color w:val="auto"/>
                <w:sz w:val="24"/>
                <w:highlight w:val="none"/>
                <w:vertAlign w:val="baseline"/>
                <w:lang w:val="en-US" w:eastAsia="zh-CN"/>
              </w:rPr>
              <w:t>2</w:t>
            </w:r>
            <w:r>
              <w:rPr>
                <w:rFonts w:hint="default" w:ascii="Times New Roman" w:hAnsi="Times New Roman" w:cs="Times New Roman"/>
                <w:color w:val="auto"/>
                <w:sz w:val="24"/>
                <w:highlight w:val="none"/>
                <w:vertAlign w:val="baseline"/>
                <w:lang w:val="en-US" w:eastAsia="zh-CN"/>
              </w:rPr>
              <w:t>×10</w:t>
            </w:r>
            <w:r>
              <w:rPr>
                <w:rFonts w:hint="default" w:ascii="Times New Roman" w:hAnsi="Times New Roman" w:cs="Times New Roman"/>
                <w:color w:val="auto"/>
                <w:sz w:val="24"/>
                <w:highlight w:val="none"/>
                <w:vertAlign w:val="superscript"/>
                <w:lang w:val="en-US" w:eastAsia="zh-CN"/>
              </w:rPr>
              <w:t>4</w:t>
            </w:r>
            <w:r>
              <w:rPr>
                <w:rFonts w:hint="eastAsia" w:ascii="Times New Roman" w:hAnsi="Times New Roman" w:cs="Times New Roman"/>
                <w:color w:val="auto"/>
                <w:sz w:val="24"/>
                <w:highlight w:val="none"/>
                <w:vertAlign w:val="baseline"/>
                <w:lang w:val="en-US" w:eastAsia="zh-CN"/>
              </w:rPr>
              <w:t>=186.15t/a。</w:t>
            </w:r>
          </w:p>
          <w:p w14:paraId="67D62FE0">
            <w:pPr>
              <w:keepNext w:val="0"/>
              <w:keepLines w:val="0"/>
              <w:suppressLineNumbers w:val="0"/>
              <w:adjustRightInd w:val="0"/>
              <w:snapToGrid w:val="0"/>
              <w:spacing w:before="0" w:beforeAutospacing="0" w:after="0" w:afterAutospacing="0" w:line="360" w:lineRule="auto"/>
              <w:ind w:left="0" w:right="0" w:firstLine="482" w:firstLineChars="200"/>
              <w:rPr>
                <w:rFonts w:hint="default" w:cs="Times New Roman"/>
                <w:b/>
                <w:bCs/>
                <w:color w:val="auto"/>
                <w:sz w:val="24"/>
                <w:highlight w:val="none"/>
                <w:lang w:val="en-US" w:eastAsia="zh-CN"/>
              </w:rPr>
            </w:pPr>
            <w:r>
              <w:rPr>
                <w:rFonts w:hint="eastAsia" w:cs="Times New Roman"/>
                <w:b/>
                <w:bCs/>
                <w:color w:val="auto"/>
                <w:sz w:val="24"/>
                <w:highlight w:val="none"/>
                <w:lang w:val="en-US" w:eastAsia="zh-CN"/>
              </w:rPr>
              <w:t>处置措施：</w:t>
            </w:r>
            <w:r>
              <w:rPr>
                <w:rFonts w:hint="eastAsia" w:cs="Times New Roman"/>
                <w:b w:val="0"/>
                <w:bCs w:val="0"/>
                <w:color w:val="auto"/>
                <w:sz w:val="24"/>
                <w:highlight w:val="none"/>
                <w:lang w:val="en-US" w:eastAsia="zh-CN"/>
              </w:rPr>
              <w:t>污泥经浓缩+脱水后暂存于污泥斗内，定期外运至砖厂制砖。</w:t>
            </w:r>
          </w:p>
          <w:p w14:paraId="35DD535C">
            <w:pPr>
              <w:keepNext w:val="0"/>
              <w:keepLines w:val="0"/>
              <w:suppressLineNumbers w:val="0"/>
              <w:adjustRightInd w:val="0"/>
              <w:snapToGrid w:val="0"/>
              <w:spacing w:before="0" w:beforeAutospacing="0" w:after="0" w:afterAutospacing="0" w:line="360" w:lineRule="auto"/>
              <w:ind w:left="0" w:right="0" w:firstLine="482" w:firstLineChars="200"/>
              <w:rPr>
                <w:rFonts w:hint="eastAsia" w:cs="Times New Roman"/>
                <w:b/>
                <w:bCs/>
                <w:color w:val="auto"/>
                <w:sz w:val="24"/>
                <w:highlight w:val="none"/>
                <w:lang w:eastAsia="zh-CN"/>
              </w:rPr>
            </w:pPr>
            <w:r>
              <w:rPr>
                <w:rFonts w:hint="eastAsia" w:cs="Times New Roman"/>
                <w:b/>
                <w:bCs/>
                <w:color w:val="auto"/>
                <w:sz w:val="24"/>
                <w:highlight w:val="none"/>
                <w:lang w:eastAsia="zh-CN"/>
              </w:rPr>
              <w:t>措施可行性：</w:t>
            </w:r>
          </w:p>
          <w:p w14:paraId="7F840F15">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①</w:t>
            </w:r>
            <w:r>
              <w:rPr>
                <w:rFonts w:hint="eastAsia" w:cs="Times New Roman"/>
                <w:b w:val="0"/>
                <w:bCs w:val="0"/>
                <w:color w:val="auto"/>
                <w:sz w:val="24"/>
                <w:highlight w:val="none"/>
                <w:lang w:eastAsia="zh-CN"/>
              </w:rPr>
              <w:t>污泥特性：</w:t>
            </w:r>
            <w:r>
              <w:rPr>
                <w:rFonts w:hint="eastAsia" w:cs="Times New Roman"/>
                <w:b w:val="0"/>
                <w:bCs w:val="0"/>
                <w:color w:val="auto"/>
                <w:sz w:val="24"/>
                <w:highlight w:val="none"/>
                <w:lang w:val="en-US" w:eastAsia="zh-CN"/>
              </w:rPr>
              <w:t>根据《关于污（废）水处理设施产生污泥危险特性鉴别有关意见的函》（环函[2010]129号）：单纯用于处理城镇生活污水的公共污水处理厂，其产生的污泥通常情况下不具有危险特性，可作为一般固体废物管理。</w:t>
            </w:r>
          </w:p>
          <w:p w14:paraId="6565A8F6">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②处置方式：</w:t>
            </w:r>
            <w:r>
              <w:rPr>
                <w:rFonts w:hint="eastAsia" w:cs="Times New Roman"/>
                <w:b w:val="0"/>
                <w:bCs w:val="0"/>
                <w:color w:val="auto"/>
                <w:sz w:val="24"/>
                <w:highlight w:val="none"/>
                <w:lang w:val="en-US" w:eastAsia="zh-CN"/>
              </w:rPr>
              <w:t>根据《城镇污水处理厂污泥处理处置技术规范》（DB61/T 1571-2022）中污泥处置方式可知：</w:t>
            </w:r>
          </w:p>
          <w:p w14:paraId="393151D2">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b w:val="0"/>
                <w:bCs w:val="0"/>
                <w:color w:val="auto"/>
                <w:sz w:val="24"/>
                <w:highlight w:val="none"/>
                <w:lang w:val="en-US" w:eastAsia="zh-CN"/>
              </w:rPr>
            </w:pPr>
            <w:r>
              <w:rPr>
                <w:rFonts w:hint="eastAsia" w:cs="Times New Roman"/>
                <w:b w:val="0"/>
                <w:bCs w:val="0"/>
                <w:color w:val="auto"/>
                <w:sz w:val="24"/>
                <w:highlight w:val="none"/>
                <w:lang w:val="en-US" w:eastAsia="zh-CN"/>
              </w:rPr>
              <w:t>陕南地区推荐顺序依次为土地利用、焚烧、建材利用、填埋，填埋时污泥含水率应小于60%。</w:t>
            </w:r>
          </w:p>
          <w:p w14:paraId="603D6C08">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本项目厂区位于洋县谢村镇四〇五社区，属陕南地区，区域内有洋县城市生活垃圾填埋场和洋县生活垃圾焚烧发电厂。经调查，洋县城市生活垃圾填埋场已</w:t>
            </w:r>
            <w:r>
              <w:rPr>
                <w:rFonts w:ascii="宋体" w:hAnsi="宋体" w:eastAsia="宋体" w:cs="宋体"/>
                <w:color w:val="auto"/>
                <w:sz w:val="24"/>
                <w:szCs w:val="24"/>
                <w:highlight w:val="none"/>
              </w:rPr>
              <w:t>不再接收生活垃圾填埋</w:t>
            </w:r>
            <w:r>
              <w:rPr>
                <w:rFonts w:hint="eastAsia" w:ascii="宋体" w:hAnsi="宋体" w:eastAsia="宋体" w:cs="宋体"/>
                <w:color w:val="auto"/>
                <w:sz w:val="24"/>
                <w:szCs w:val="24"/>
                <w:highlight w:val="none"/>
                <w:lang w:eastAsia="zh-CN"/>
              </w:rPr>
              <w:t>，填埋场Ⅱ区改造后仅作为建筑垃圾填埋场继续在用，不再接收生活垃圾，县域内生活垃圾全部进入</w:t>
            </w:r>
            <w:r>
              <w:rPr>
                <w:rFonts w:hint="eastAsia" w:cs="Times New Roman"/>
                <w:b w:val="0"/>
                <w:bCs w:val="0"/>
                <w:color w:val="auto"/>
                <w:sz w:val="24"/>
                <w:highlight w:val="none"/>
                <w:lang w:val="en-US" w:eastAsia="zh-CN"/>
              </w:rPr>
              <w:t>洋县生活垃圾焚烧发电厂处置；洋县生活垃圾焚烧发电厂主要处理生活垃圾，目前未协同处置生活污水处理厂污泥。因此综合考虑，本项目污水处理厂污泥采用浓缩脱水技术后，外运至附近砖厂制砖。</w:t>
            </w:r>
          </w:p>
          <w:p w14:paraId="228A47A5">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highlight w:val="none"/>
                <w:lang w:val="en-US" w:eastAsia="zh-CN"/>
              </w:rPr>
            </w:pPr>
            <w:r>
              <w:rPr>
                <w:rFonts w:ascii="宋体" w:hAnsi="宋体" w:eastAsia="宋体" w:cs="宋体"/>
                <w:color w:val="auto"/>
                <w:sz w:val="24"/>
                <w:szCs w:val="24"/>
                <w:highlight w:val="none"/>
              </w:rPr>
              <w:t>《城镇污水处理厂污泥处理处置及污染防治技术政策（试行）》（建</w:t>
            </w:r>
            <w:r>
              <w:rPr>
                <w:rFonts w:hint="default" w:ascii="Times New Roman" w:hAnsi="Times New Roman" w:eastAsia="宋体" w:cs="Times New Roman"/>
                <w:color w:val="auto"/>
                <w:sz w:val="24"/>
                <w:szCs w:val="24"/>
                <w:highlight w:val="none"/>
              </w:rPr>
              <w:t>城</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2009</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23号）</w:t>
            </w:r>
            <w:r>
              <w:rPr>
                <w:rFonts w:hint="eastAsia" w:ascii="Times New Roman" w:hAnsi="Times New Roman" w:eastAsia="宋体" w:cs="Times New Roman"/>
                <w:color w:val="auto"/>
                <w:sz w:val="24"/>
                <w:szCs w:val="24"/>
                <w:highlight w:val="none"/>
                <w:lang w:eastAsia="zh-CN"/>
              </w:rPr>
              <w:t>提出：</w:t>
            </w:r>
            <w:r>
              <w:rPr>
                <w:rFonts w:ascii="宋体" w:hAnsi="宋体" w:eastAsia="宋体" w:cs="宋体"/>
                <w:color w:val="auto"/>
                <w:sz w:val="24"/>
                <w:szCs w:val="24"/>
                <w:highlight w:val="none"/>
              </w:rPr>
              <w:t>在满足泥质、污染防控条件下</w:t>
            </w:r>
            <w:r>
              <w:rPr>
                <w:rFonts w:hint="eastAsia" w:ascii="Times New Roman" w:hAnsi="Times New Roman" w:eastAsia="宋体" w:cs="Times New Roman"/>
                <w:color w:val="auto"/>
                <w:sz w:val="24"/>
                <w:szCs w:val="24"/>
                <w:highlight w:val="none"/>
                <w:lang w:eastAsia="zh-CN"/>
              </w:rPr>
              <w:t>鼓励</w:t>
            </w:r>
            <w:r>
              <w:rPr>
                <w:rFonts w:ascii="宋体" w:hAnsi="宋体" w:eastAsia="宋体" w:cs="宋体"/>
                <w:color w:val="auto"/>
                <w:sz w:val="24"/>
                <w:szCs w:val="24"/>
                <w:highlight w:val="none"/>
              </w:rPr>
              <w:t>污泥</w:t>
            </w:r>
            <w:r>
              <w:rPr>
                <w:rFonts w:hint="eastAsia" w:ascii="宋体" w:hAnsi="宋体" w:eastAsia="宋体" w:cs="宋体"/>
                <w:color w:val="auto"/>
                <w:sz w:val="24"/>
                <w:szCs w:val="24"/>
                <w:highlight w:val="none"/>
                <w:lang w:eastAsia="zh-CN"/>
              </w:rPr>
              <w:t>作为建筑材料综合利用。经调查，目前洋县县域内多家砖厂处于正常运行状态，对原料的需求长期存在；本项目污泥经</w:t>
            </w:r>
            <w:r>
              <w:rPr>
                <w:rFonts w:hint="eastAsia" w:cs="Times New Roman"/>
                <w:b w:val="0"/>
                <w:bCs w:val="0"/>
                <w:color w:val="auto"/>
                <w:sz w:val="24"/>
                <w:highlight w:val="none"/>
                <w:lang w:val="en-US" w:eastAsia="zh-CN"/>
              </w:rPr>
              <w:t>浓缩脱水后含水率小于60%，在满足</w:t>
            </w:r>
            <w:r>
              <w:rPr>
                <w:rFonts w:ascii="宋体" w:hAnsi="宋体" w:eastAsia="宋体" w:cs="宋体"/>
                <w:color w:val="auto"/>
                <w:sz w:val="24"/>
                <w:szCs w:val="24"/>
                <w:highlight w:val="none"/>
              </w:rPr>
              <w:t>《城镇污水处理厂污泥处置 制砖用泥质》</w:t>
            </w:r>
            <w:r>
              <w:rPr>
                <w:rFonts w:hint="default" w:ascii="Times New Roman" w:hAnsi="Times New Roman" w:eastAsia="宋体" w:cs="Times New Roman"/>
                <w:color w:val="auto"/>
                <w:sz w:val="24"/>
                <w:szCs w:val="24"/>
                <w:highlight w:val="none"/>
                <w:lang w:eastAsia="zh-CN"/>
              </w:rPr>
              <w:t>（GB/T25031-2010）中</w:t>
            </w:r>
            <w:r>
              <w:rPr>
                <w:rFonts w:ascii="宋体" w:hAnsi="宋体" w:eastAsia="宋体" w:cs="宋体"/>
                <w:color w:val="auto"/>
                <w:sz w:val="24"/>
                <w:szCs w:val="24"/>
                <w:highlight w:val="none"/>
              </w:rPr>
              <w:t>理化指标、重金属限值</w:t>
            </w:r>
            <w:r>
              <w:rPr>
                <w:rFonts w:hint="eastAsia" w:ascii="宋体" w:hAnsi="宋体" w:eastAsia="宋体" w:cs="宋体"/>
                <w:color w:val="auto"/>
                <w:sz w:val="24"/>
                <w:szCs w:val="24"/>
                <w:highlight w:val="none"/>
                <w:lang w:eastAsia="zh-CN"/>
              </w:rPr>
              <w:t>等要求后，可外运至县域内砖厂制砖。</w:t>
            </w:r>
          </w:p>
          <w:p w14:paraId="6C85577E">
            <w:pPr>
              <w:adjustRightInd w:val="0"/>
              <w:snapToGrid w:val="0"/>
              <w:spacing w:line="360" w:lineRule="auto"/>
              <w:ind w:firstLine="482" w:firstLineChars="200"/>
              <w:jc w:val="both"/>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危险废物</w:t>
            </w:r>
          </w:p>
          <w:p w14:paraId="29A9DCB7">
            <w:pPr>
              <w:adjustRightInd w:val="0"/>
              <w:snapToGrid w:val="0"/>
              <w:spacing w:line="360" w:lineRule="auto"/>
              <w:ind w:firstLine="482" w:firstLineChars="200"/>
              <w:jc w:val="both"/>
              <w:rPr>
                <w:rFonts w:hint="eastAsia" w:ascii="Times New Roman" w:hAnsi="Times New Roman" w:cs="Times New Roman"/>
                <w:color w:val="auto"/>
                <w:sz w:val="24"/>
                <w:highlight w:val="none"/>
                <w:lang w:eastAsia="zh-CN"/>
              </w:rPr>
            </w:pPr>
            <w:r>
              <w:rPr>
                <w:rFonts w:hint="eastAsia" w:cs="Times New Roman"/>
                <w:b/>
                <w:bCs/>
                <w:color w:val="auto"/>
                <w:sz w:val="24"/>
                <w:highlight w:val="none"/>
                <w:lang w:eastAsia="zh-CN"/>
              </w:rPr>
              <w:t>产生情况：</w:t>
            </w:r>
            <w:r>
              <w:rPr>
                <w:rFonts w:hint="eastAsia" w:cs="Times New Roman"/>
                <w:color w:val="auto"/>
                <w:sz w:val="24"/>
                <w:highlight w:val="none"/>
                <w:lang w:eastAsia="zh-CN"/>
              </w:rPr>
              <w:t>污水处理厂</w:t>
            </w:r>
            <w:r>
              <w:rPr>
                <w:rFonts w:hint="default" w:ascii="Times New Roman" w:hAnsi="Times New Roman" w:cs="Times New Roman"/>
                <w:color w:val="auto"/>
                <w:sz w:val="24"/>
                <w:highlight w:val="none"/>
              </w:rPr>
              <w:t>机械设备维护过程会产生废</w:t>
            </w:r>
            <w:r>
              <w:rPr>
                <w:rFonts w:hint="eastAsia" w:cs="Times New Roman"/>
                <w:color w:val="auto"/>
                <w:sz w:val="24"/>
                <w:highlight w:val="none"/>
                <w:lang w:eastAsia="zh-CN"/>
              </w:rPr>
              <w:t>润滑</w:t>
            </w:r>
            <w:r>
              <w:rPr>
                <w:rFonts w:hint="default" w:ascii="Times New Roman" w:hAnsi="Times New Roman" w:cs="Times New Roman"/>
                <w:color w:val="auto"/>
                <w:sz w:val="24"/>
                <w:highlight w:val="none"/>
              </w:rPr>
              <w:t>油</w:t>
            </w:r>
            <w:r>
              <w:rPr>
                <w:rFonts w:hint="default" w:ascii="Times New Roman" w:hAnsi="Times New Roman" w:cs="Times New Roman"/>
                <w:color w:val="auto"/>
                <w:sz w:val="24"/>
                <w:highlight w:val="none"/>
                <w:lang w:eastAsia="zh-CN"/>
              </w:rPr>
              <w:t>、废油桶</w:t>
            </w:r>
            <w:r>
              <w:rPr>
                <w:rFonts w:hint="default" w:ascii="Times New Roman" w:hAnsi="Times New Roman" w:cs="Times New Roman"/>
                <w:color w:val="auto"/>
                <w:sz w:val="24"/>
                <w:highlight w:val="none"/>
                <w:lang w:val="en-US" w:eastAsia="zh-CN"/>
              </w:rPr>
              <w:t>及</w:t>
            </w:r>
            <w:r>
              <w:rPr>
                <w:rFonts w:hint="eastAsia" w:ascii="宋体" w:hAnsi="宋体" w:cs="宋体"/>
                <w:color w:val="auto"/>
                <w:kern w:val="0"/>
                <w:sz w:val="24"/>
                <w:highlight w:val="none"/>
              </w:rPr>
              <w:t>含油手套及棉纱</w:t>
            </w:r>
            <w:r>
              <w:rPr>
                <w:rFonts w:hint="default" w:ascii="Times New Roman" w:hAnsi="Times New Roman" w:cs="Times New Roman"/>
                <w:color w:val="auto"/>
                <w:sz w:val="24"/>
                <w:highlight w:val="none"/>
                <w:lang w:eastAsia="zh-CN"/>
              </w:rPr>
              <w:t>等</w:t>
            </w:r>
            <w:r>
              <w:rPr>
                <w:rFonts w:hint="default" w:ascii="Times New Roman" w:hAnsi="Times New Roman" w:cs="Times New Roman"/>
                <w:color w:val="auto"/>
                <w:sz w:val="24"/>
                <w:highlight w:val="none"/>
              </w:rPr>
              <w:t>。</w:t>
            </w:r>
            <w:r>
              <w:rPr>
                <w:rFonts w:hint="eastAsia" w:ascii="宋体" w:hAnsi="宋体" w:cs="宋体"/>
                <w:color w:val="auto"/>
                <w:kern w:val="0"/>
                <w:sz w:val="24"/>
                <w:highlight w:val="none"/>
              </w:rPr>
              <w:t>由于本项目仅进行设备检修和保养，不在厂区对设备进行大修，因此维修危废产生量比较少。</w:t>
            </w:r>
            <w:r>
              <w:rPr>
                <w:rFonts w:hint="eastAsia" w:ascii="宋体" w:hAnsi="宋体" w:cs="宋体"/>
                <w:color w:val="auto"/>
                <w:kern w:val="0"/>
                <w:sz w:val="24"/>
                <w:highlight w:val="none"/>
                <w:lang w:eastAsia="zh-CN"/>
              </w:rPr>
              <w:t>预计</w:t>
            </w:r>
            <w:r>
              <w:rPr>
                <w:rFonts w:hint="eastAsia" w:ascii="宋体" w:hAnsi="宋体" w:cs="宋体"/>
                <w:color w:val="auto"/>
                <w:kern w:val="0"/>
                <w:sz w:val="24"/>
                <w:highlight w:val="none"/>
              </w:rPr>
              <w:t>本项目运营期</w:t>
            </w:r>
            <w:r>
              <w:rPr>
                <w:rFonts w:hint="eastAsia" w:ascii="宋体" w:hAnsi="宋体" w:cs="宋体"/>
                <w:color w:val="auto"/>
                <w:kern w:val="0"/>
                <w:sz w:val="24"/>
                <w:highlight w:val="none"/>
                <w:lang w:eastAsia="zh-CN"/>
              </w:rPr>
              <w:t>间</w:t>
            </w:r>
            <w:r>
              <w:rPr>
                <w:rFonts w:hint="eastAsia" w:ascii="宋体" w:hAnsi="宋体" w:cs="宋体"/>
                <w:color w:val="auto"/>
                <w:kern w:val="0"/>
                <w:sz w:val="24"/>
                <w:highlight w:val="none"/>
              </w:rPr>
              <w:t>废润滑油产生量约</w:t>
            </w:r>
            <w:r>
              <w:rPr>
                <w:color w:val="auto"/>
                <w:kern w:val="0"/>
                <w:sz w:val="24"/>
                <w:highlight w:val="none"/>
              </w:rPr>
              <w:t>0.</w:t>
            </w:r>
            <w:r>
              <w:rPr>
                <w:rFonts w:hint="eastAsia"/>
                <w:color w:val="auto"/>
                <w:kern w:val="0"/>
                <w:sz w:val="24"/>
                <w:highlight w:val="none"/>
              </w:rPr>
              <w:t>02</w:t>
            </w:r>
            <w:r>
              <w:rPr>
                <w:color w:val="auto"/>
                <w:kern w:val="0"/>
                <w:sz w:val="24"/>
                <w:highlight w:val="none"/>
              </w:rPr>
              <w:t>t/a</w:t>
            </w:r>
            <w:r>
              <w:rPr>
                <w:rFonts w:hint="eastAsia" w:ascii="宋体" w:hAnsi="宋体" w:cs="宋体"/>
                <w:color w:val="auto"/>
                <w:kern w:val="0"/>
                <w:sz w:val="24"/>
                <w:highlight w:val="none"/>
              </w:rPr>
              <w:t>，含油手套及棉纱产生量约</w:t>
            </w:r>
            <w:r>
              <w:rPr>
                <w:color w:val="auto"/>
                <w:kern w:val="0"/>
                <w:sz w:val="24"/>
                <w:highlight w:val="none"/>
              </w:rPr>
              <w:t>0.0</w:t>
            </w:r>
            <w:r>
              <w:rPr>
                <w:rFonts w:hint="eastAsia"/>
                <w:color w:val="auto"/>
                <w:kern w:val="0"/>
                <w:sz w:val="24"/>
                <w:highlight w:val="none"/>
              </w:rPr>
              <w:t>1</w:t>
            </w:r>
            <w:r>
              <w:rPr>
                <w:color w:val="auto"/>
                <w:kern w:val="0"/>
                <w:sz w:val="24"/>
                <w:highlight w:val="none"/>
              </w:rPr>
              <w:t>t/a</w:t>
            </w:r>
            <w:r>
              <w:rPr>
                <w:rFonts w:hint="eastAsia"/>
                <w:color w:val="auto"/>
                <w:kern w:val="0"/>
                <w:sz w:val="24"/>
                <w:highlight w:val="none"/>
              </w:rPr>
              <w:t>，</w:t>
            </w:r>
            <w:r>
              <w:rPr>
                <w:color w:val="auto"/>
                <w:sz w:val="24"/>
                <w:highlight w:val="none"/>
              </w:rPr>
              <w:t>废油桶产生量</w:t>
            </w:r>
            <w:r>
              <w:rPr>
                <w:rFonts w:hint="eastAsia"/>
                <w:color w:val="auto"/>
                <w:sz w:val="24"/>
                <w:highlight w:val="none"/>
                <w:lang w:eastAsia="zh-CN"/>
              </w:rPr>
              <w:t>约</w:t>
            </w:r>
            <w:r>
              <w:rPr>
                <w:rFonts w:hint="eastAsia"/>
                <w:color w:val="auto"/>
                <w:sz w:val="24"/>
                <w:highlight w:val="none"/>
              </w:rPr>
              <w:t>0.01t</w:t>
            </w:r>
            <w:r>
              <w:rPr>
                <w:color w:val="auto"/>
                <w:sz w:val="24"/>
                <w:highlight w:val="none"/>
              </w:rPr>
              <w:t>/a</w:t>
            </w:r>
            <w:r>
              <w:rPr>
                <w:rFonts w:hint="eastAsia"/>
                <w:color w:val="auto"/>
                <w:sz w:val="24"/>
                <w:highlight w:val="none"/>
              </w:rPr>
              <w:t>（按润滑油使用量及油桶净重综合计算得出）</w:t>
            </w:r>
            <w:r>
              <w:rPr>
                <w:rFonts w:hint="eastAsia" w:ascii="宋体" w:hAnsi="宋体" w:cs="宋体"/>
                <w:color w:val="auto"/>
                <w:kern w:val="0"/>
                <w:sz w:val="24"/>
                <w:highlight w:val="none"/>
              </w:rPr>
              <w:t>。</w:t>
            </w:r>
          </w:p>
          <w:p w14:paraId="147FCB66">
            <w:pPr>
              <w:adjustRightInd w:val="0"/>
              <w:snapToGrid w:val="0"/>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此外，运营期间检验室也会产生少量检验废液和器皿清洗废水，结合污水日处理量、检验频次和清洗频次要求，预计检验废液和器皿清洗废水产生量约0.02t/a。</w:t>
            </w:r>
          </w:p>
          <w:p w14:paraId="6847587E">
            <w:pPr>
              <w:adjustRightInd w:val="0"/>
              <w:snapToGrid w:val="0"/>
              <w:spacing w:line="360" w:lineRule="auto"/>
              <w:ind w:firstLine="482" w:firstLineChars="200"/>
              <w:jc w:val="both"/>
              <w:rPr>
                <w:color w:val="auto"/>
                <w:sz w:val="24"/>
                <w:highlight w:val="none"/>
              </w:rPr>
            </w:pPr>
            <w:r>
              <w:rPr>
                <w:rFonts w:hint="eastAsia" w:ascii="Times New Roman" w:hAnsi="Times New Roman" w:cs="Times New Roman"/>
                <w:b/>
                <w:bCs/>
                <w:color w:val="auto"/>
                <w:sz w:val="24"/>
                <w:highlight w:val="none"/>
                <w:lang w:eastAsia="zh-CN"/>
              </w:rPr>
              <w:t>处置措施：</w:t>
            </w:r>
            <w:r>
              <w:rPr>
                <w:rFonts w:hint="eastAsia" w:ascii="Times New Roman" w:hAnsi="Times New Roman" w:cs="Times New Roman"/>
                <w:color w:val="auto"/>
                <w:sz w:val="24"/>
                <w:highlight w:val="none"/>
                <w:lang w:eastAsia="zh-CN"/>
              </w:rPr>
              <w:t>根据</w:t>
            </w:r>
            <w:r>
              <w:rPr>
                <w:rFonts w:hint="eastAsia" w:ascii="Times New Roman" w:hAnsi="Times New Roman" w:cs="Times New Roman"/>
                <w:color w:val="auto"/>
                <w:sz w:val="24"/>
                <w:highlight w:val="none"/>
                <w:lang w:eastAsia="zh-CN"/>
              </w:rPr>
              <w:t>《国家危险废物名录》（202</w:t>
            </w:r>
            <w:r>
              <w:rPr>
                <w:rFonts w:hint="eastAsia" w:cs="Times New Roman"/>
                <w:color w:val="auto"/>
                <w:sz w:val="24"/>
                <w:highlight w:val="none"/>
                <w:lang w:val="en-US" w:eastAsia="zh-CN"/>
              </w:rPr>
              <w:t>5</w:t>
            </w:r>
            <w:r>
              <w:rPr>
                <w:rFonts w:hint="eastAsia" w:ascii="Times New Roman" w:hAnsi="Times New Roman" w:cs="Times New Roman"/>
                <w:color w:val="auto"/>
                <w:sz w:val="24"/>
                <w:highlight w:val="none"/>
                <w:lang w:eastAsia="zh-CN"/>
              </w:rPr>
              <w:t>年版</w:t>
            </w:r>
            <w:r>
              <w:rPr>
                <w:rFonts w:hint="eastAsia"/>
                <w:color w:val="auto"/>
                <w:sz w:val="24"/>
                <w:highlight w:val="none"/>
              </w:rPr>
              <w:t>）</w:t>
            </w:r>
            <w:r>
              <w:rPr>
                <w:color w:val="auto"/>
                <w:sz w:val="24"/>
                <w:highlight w:val="none"/>
              </w:rPr>
              <w:t>可知，废</w:t>
            </w:r>
            <w:r>
              <w:rPr>
                <w:rFonts w:hint="eastAsia"/>
                <w:color w:val="auto"/>
                <w:sz w:val="24"/>
                <w:highlight w:val="none"/>
              </w:rPr>
              <w:t>润滑</w:t>
            </w:r>
            <w:r>
              <w:rPr>
                <w:color w:val="auto"/>
                <w:sz w:val="24"/>
                <w:highlight w:val="none"/>
              </w:rPr>
              <w:t>油</w:t>
            </w:r>
            <w:r>
              <w:rPr>
                <w:rFonts w:hint="eastAsia"/>
                <w:color w:val="auto"/>
                <w:sz w:val="24"/>
                <w:highlight w:val="none"/>
              </w:rPr>
              <w:t>、</w:t>
            </w:r>
            <w:r>
              <w:rPr>
                <w:color w:val="auto"/>
                <w:sz w:val="24"/>
                <w:highlight w:val="none"/>
              </w:rPr>
              <w:t>含油手套</w:t>
            </w:r>
            <w:r>
              <w:rPr>
                <w:rFonts w:hint="eastAsia"/>
                <w:color w:val="auto"/>
                <w:sz w:val="24"/>
                <w:highlight w:val="none"/>
              </w:rPr>
              <w:t>及</w:t>
            </w:r>
            <w:r>
              <w:rPr>
                <w:color w:val="auto"/>
                <w:sz w:val="24"/>
                <w:highlight w:val="none"/>
              </w:rPr>
              <w:t>棉纱</w:t>
            </w:r>
            <w:r>
              <w:rPr>
                <w:rFonts w:hint="eastAsia"/>
                <w:color w:val="auto"/>
                <w:sz w:val="24"/>
                <w:highlight w:val="none"/>
              </w:rPr>
              <w:t>、</w:t>
            </w:r>
            <w:r>
              <w:rPr>
                <w:color w:val="auto"/>
                <w:sz w:val="24"/>
                <w:highlight w:val="none"/>
              </w:rPr>
              <w:t>废油桶</w:t>
            </w:r>
            <w:r>
              <w:rPr>
                <w:rFonts w:hint="eastAsia"/>
                <w:color w:val="auto"/>
                <w:sz w:val="24"/>
                <w:highlight w:val="none"/>
                <w:lang w:eastAsia="zh-CN"/>
              </w:rPr>
              <w:t>、</w:t>
            </w:r>
            <w:r>
              <w:rPr>
                <w:rFonts w:hint="eastAsia" w:cs="Times New Roman"/>
                <w:color w:val="auto"/>
                <w:sz w:val="24"/>
                <w:highlight w:val="none"/>
                <w:lang w:val="en-US" w:eastAsia="zh-CN"/>
              </w:rPr>
              <w:t>检验废液及清洗废水</w:t>
            </w:r>
            <w:r>
              <w:rPr>
                <w:rFonts w:hint="eastAsia" w:ascii="Times New Roman" w:hAnsi="Times New Roman" w:cs="Times New Roman"/>
                <w:color w:val="auto"/>
                <w:sz w:val="24"/>
                <w:highlight w:val="none"/>
                <w:lang w:val="en-US" w:eastAsia="zh-CN"/>
              </w:rPr>
              <w:t>均</w:t>
            </w:r>
            <w:r>
              <w:rPr>
                <w:color w:val="auto"/>
                <w:sz w:val="24"/>
                <w:highlight w:val="none"/>
              </w:rPr>
              <w:t>属于危险废物，</w:t>
            </w:r>
            <w:r>
              <w:rPr>
                <w:rFonts w:hint="eastAsia"/>
                <w:color w:val="auto"/>
                <w:sz w:val="24"/>
                <w:highlight w:val="none"/>
              </w:rPr>
              <w:t>环评</w:t>
            </w:r>
            <w:r>
              <w:rPr>
                <w:rFonts w:hint="eastAsia"/>
                <w:color w:val="auto"/>
                <w:sz w:val="24"/>
                <w:highlight w:val="none"/>
                <w:lang w:eastAsia="zh-CN"/>
              </w:rPr>
              <w:t>要求污水处理厂</w:t>
            </w:r>
            <w:r>
              <w:rPr>
                <w:rFonts w:hint="eastAsia"/>
                <w:color w:val="auto"/>
                <w:sz w:val="24"/>
                <w:highlight w:val="none"/>
              </w:rPr>
              <w:t>应对上述危废</w:t>
            </w:r>
            <w:r>
              <w:rPr>
                <w:rFonts w:hint="eastAsia" w:ascii="宋体" w:hAnsi="宋体" w:cs="宋体"/>
                <w:color w:val="auto"/>
                <w:kern w:val="0"/>
                <w:sz w:val="24"/>
                <w:highlight w:val="none"/>
              </w:rPr>
              <w:t>分类别进行收集，并临时储存于</w:t>
            </w:r>
            <w:r>
              <w:rPr>
                <w:rFonts w:hint="eastAsia" w:ascii="宋体" w:hAnsi="宋体" w:cs="宋体"/>
                <w:color w:val="auto"/>
                <w:kern w:val="0"/>
                <w:sz w:val="24"/>
                <w:highlight w:val="none"/>
                <w:lang w:eastAsia="zh-CN"/>
              </w:rPr>
              <w:t>厂区中部</w:t>
            </w:r>
            <w:r>
              <w:rPr>
                <w:rFonts w:hint="eastAsia" w:ascii="宋体" w:hAnsi="宋体" w:cs="宋体"/>
                <w:color w:val="auto"/>
                <w:kern w:val="0"/>
                <w:sz w:val="24"/>
                <w:highlight w:val="none"/>
              </w:rPr>
              <w:t>新建危废暂存间内（占地面积</w:t>
            </w:r>
            <w:r>
              <w:rPr>
                <w:rFonts w:hint="default" w:ascii="Times New Roman" w:hAnsi="Times New Roman" w:cs="Times New Roman"/>
                <w:color w:val="auto"/>
                <w:kern w:val="0"/>
                <w:sz w:val="24"/>
                <w:highlight w:val="none"/>
                <w:lang w:val="en-US" w:eastAsia="zh-CN"/>
              </w:rPr>
              <w:t>24.3</w:t>
            </w:r>
            <w:r>
              <w:rPr>
                <w:color w:val="auto"/>
                <w:kern w:val="0"/>
                <w:sz w:val="24"/>
                <w:highlight w:val="none"/>
              </w:rPr>
              <w:t>m</w:t>
            </w:r>
            <w:r>
              <w:rPr>
                <w:color w:val="auto"/>
                <w:kern w:val="0"/>
                <w:sz w:val="24"/>
                <w:highlight w:val="none"/>
                <w:vertAlign w:val="superscript"/>
              </w:rPr>
              <w:t>2</w:t>
            </w:r>
            <w:r>
              <w:rPr>
                <w:rFonts w:hint="eastAsia" w:ascii="宋体" w:hAnsi="宋体" w:cs="宋体"/>
                <w:color w:val="auto"/>
                <w:kern w:val="0"/>
                <w:sz w:val="24"/>
                <w:highlight w:val="none"/>
              </w:rPr>
              <w:t>），</w:t>
            </w:r>
            <w:r>
              <w:rPr>
                <w:rFonts w:hint="eastAsia" w:cs="Times New Roman"/>
                <w:color w:val="auto"/>
                <w:sz w:val="24"/>
                <w:highlight w:val="none"/>
                <w:lang w:eastAsia="zh-CN"/>
              </w:rPr>
              <w:t>定期交由有资质单位进行处置</w:t>
            </w:r>
            <w:r>
              <w:rPr>
                <w:rFonts w:hint="eastAsia" w:ascii="宋体" w:hAnsi="宋体" w:cs="宋体"/>
                <w:color w:val="auto"/>
                <w:kern w:val="0"/>
                <w:sz w:val="24"/>
                <w:highlight w:val="none"/>
              </w:rPr>
              <w:t>。此外，</w:t>
            </w:r>
            <w:r>
              <w:rPr>
                <w:color w:val="auto"/>
                <w:sz w:val="24"/>
                <w:highlight w:val="none"/>
              </w:rPr>
              <w:t>环评要求建设单位应严格</w:t>
            </w:r>
            <w:r>
              <w:rPr>
                <w:rFonts w:hint="eastAsia"/>
                <w:color w:val="auto"/>
                <w:sz w:val="24"/>
                <w:highlight w:val="none"/>
              </w:rPr>
              <w:t>按照</w:t>
            </w:r>
            <w:r>
              <w:rPr>
                <w:color w:val="auto"/>
                <w:sz w:val="24"/>
                <w:highlight w:val="none"/>
              </w:rPr>
              <w:t>《危险废物贮存污染控制标准》（GB18597-20</w:t>
            </w:r>
            <w:r>
              <w:rPr>
                <w:rFonts w:hint="eastAsia"/>
                <w:color w:val="auto"/>
                <w:sz w:val="24"/>
                <w:highlight w:val="none"/>
              </w:rPr>
              <w:t>23</w:t>
            </w:r>
            <w:r>
              <w:rPr>
                <w:color w:val="auto"/>
                <w:sz w:val="24"/>
                <w:highlight w:val="none"/>
              </w:rPr>
              <w:t>）</w:t>
            </w:r>
            <w:r>
              <w:rPr>
                <w:rFonts w:hint="eastAsia"/>
                <w:color w:val="auto"/>
                <w:sz w:val="24"/>
                <w:highlight w:val="none"/>
              </w:rPr>
              <w:t>中</w:t>
            </w:r>
            <w:r>
              <w:rPr>
                <w:color w:val="auto"/>
                <w:sz w:val="24"/>
                <w:highlight w:val="none"/>
              </w:rPr>
              <w:t>相关规定</w:t>
            </w:r>
            <w:r>
              <w:rPr>
                <w:rFonts w:hint="eastAsia"/>
                <w:color w:val="auto"/>
                <w:sz w:val="24"/>
                <w:highlight w:val="none"/>
              </w:rPr>
              <w:t>设置危废暂存间</w:t>
            </w:r>
            <w:r>
              <w:rPr>
                <w:color w:val="auto"/>
                <w:sz w:val="24"/>
                <w:highlight w:val="none"/>
              </w:rPr>
              <w:t>。</w:t>
            </w:r>
          </w:p>
          <w:p w14:paraId="63980DBE">
            <w:pPr>
              <w:autoSpaceDE w:val="0"/>
              <w:autoSpaceDN w:val="0"/>
              <w:adjustRightInd w:val="0"/>
              <w:spacing w:line="360" w:lineRule="auto"/>
              <w:ind w:firstLine="482" w:firstLineChars="200"/>
              <w:jc w:val="left"/>
              <w:rPr>
                <w:color w:val="auto"/>
                <w:sz w:val="24"/>
                <w:highlight w:val="none"/>
              </w:rPr>
            </w:pPr>
            <w:r>
              <w:rPr>
                <w:rFonts w:hint="eastAsia" w:ascii="宋体" w:hAnsi="宋体" w:cs="宋体"/>
                <w:b/>
                <w:bCs/>
                <w:color w:val="auto"/>
                <w:kern w:val="0"/>
                <w:sz w:val="24"/>
                <w:highlight w:val="none"/>
              </w:rPr>
              <w:t>危废暂存间设置要求：</w:t>
            </w:r>
            <w:r>
              <w:rPr>
                <w:rFonts w:hint="eastAsia"/>
                <w:color w:val="auto"/>
                <w:sz w:val="24"/>
                <w:highlight w:val="none"/>
              </w:rPr>
              <w:t>各危险废物应分别单独收集贮存；贮存场所地面与裙脚要用坚固、防渗的材料，建筑材料必须与危险废物兼容。</w:t>
            </w:r>
            <w:r>
              <w:rPr>
                <w:color w:val="auto"/>
                <w:sz w:val="24"/>
                <w:highlight w:val="none"/>
              </w:rPr>
              <w:t>危废暂存间基础必须防渗，防渗层为至少1m厚粘土层（渗透系数≤10</w:t>
            </w:r>
            <w:r>
              <w:rPr>
                <w:color w:val="auto"/>
                <w:sz w:val="24"/>
                <w:highlight w:val="none"/>
                <w:vertAlign w:val="superscript"/>
              </w:rPr>
              <w:t>-7</w:t>
            </w:r>
            <w:r>
              <w:rPr>
                <w:color w:val="auto"/>
                <w:sz w:val="24"/>
                <w:highlight w:val="none"/>
              </w:rPr>
              <w:t>cm/s），或2mm厚高密度聚乙烯，或至少2mm厚的其他人工材料，渗透系数≤10</w:t>
            </w:r>
            <w:r>
              <w:rPr>
                <w:color w:val="auto"/>
                <w:sz w:val="24"/>
                <w:highlight w:val="none"/>
                <w:vertAlign w:val="superscript"/>
              </w:rPr>
              <w:t>-10</w:t>
            </w:r>
            <w:r>
              <w:rPr>
                <w:color w:val="auto"/>
                <w:sz w:val="24"/>
                <w:highlight w:val="none"/>
              </w:rPr>
              <w:t>cm/s等，装载液体、半固体危险废物的容器内须留足够空间，容器顶部与液体表面之间保留100mm以上的空间。</w:t>
            </w:r>
            <w:r>
              <w:rPr>
                <w:rFonts w:hint="eastAsia"/>
                <w:color w:val="auto"/>
                <w:sz w:val="24"/>
                <w:highlight w:val="none"/>
              </w:rPr>
              <w:t>贮存场所必须有泄漏液体收集装置，必须有耐腐蚀的硬化地面，且表面无裂缝。危险废物堆场应防风、防雨、防晒。不兼容的危险废物不能堆放在一起。贮存场所内要有安全照明设施和观察窗口，设置明显的标志。</w:t>
            </w:r>
          </w:p>
          <w:p w14:paraId="0AF91764">
            <w:pPr>
              <w:autoSpaceDE w:val="0"/>
              <w:autoSpaceDN w:val="0"/>
              <w:adjustRightInd w:val="0"/>
              <w:snapToGrid w:val="0"/>
              <w:spacing w:line="360" w:lineRule="auto"/>
              <w:ind w:firstLine="480" w:firstLineChars="200"/>
              <w:rPr>
                <w:color w:val="auto"/>
                <w:sz w:val="24"/>
                <w:highlight w:val="none"/>
              </w:rPr>
            </w:pPr>
            <w:r>
              <w:rPr>
                <w:rFonts w:hint="eastAsia"/>
                <w:color w:val="auto"/>
                <w:sz w:val="24"/>
                <w:highlight w:val="none"/>
              </w:rPr>
              <w:t>危险废物的运输应采取危险废物转移联单制度，保证运输安全，防止非法转移和非法处置；还应保证危险废物的安全监控，防止危险废物污染事故发生。除此之外，应建立危废管理档案，设置管理台账记录。</w:t>
            </w:r>
          </w:p>
          <w:p w14:paraId="5006993D">
            <w:pPr>
              <w:adjustRightInd w:val="0"/>
              <w:snapToGrid w:val="0"/>
              <w:spacing w:line="360" w:lineRule="auto"/>
              <w:ind w:firstLine="480" w:firstLineChars="200"/>
              <w:jc w:val="both"/>
              <w:rPr>
                <w:rFonts w:hint="default" w:ascii="Times New Roman" w:hAnsi="Times New Roman" w:cs="Times New Roman"/>
                <w:b/>
                <w:bCs/>
                <w:color w:val="auto"/>
                <w:highlight w:val="none"/>
              </w:rPr>
            </w:pPr>
            <w:r>
              <w:rPr>
                <w:rFonts w:hint="eastAsia" w:cs="Times New Roman"/>
                <w:color w:val="auto"/>
                <w:sz w:val="24"/>
                <w:highlight w:val="none"/>
                <w:lang w:eastAsia="zh-CN"/>
              </w:rPr>
              <w:t>综上，</w:t>
            </w:r>
            <w:r>
              <w:rPr>
                <w:rFonts w:hint="default" w:ascii="Times New Roman" w:hAnsi="Times New Roman" w:cs="Times New Roman"/>
                <w:color w:val="auto"/>
                <w:sz w:val="24"/>
                <w:szCs w:val="24"/>
                <w:highlight w:val="none"/>
              </w:rPr>
              <w:t>本项目固体废物产排特性见下表所示：</w:t>
            </w:r>
          </w:p>
          <w:p w14:paraId="7B8C6B5E">
            <w:pPr>
              <w:snapToGrid w:val="0"/>
              <w:jc w:val="center"/>
              <w:rPr>
                <w:rFonts w:hint="default" w:eastAsia="宋体"/>
                <w:b/>
                <w:color w:val="auto"/>
                <w:highlight w:val="none"/>
                <w:lang w:val="en-US" w:eastAsia="zh-CN"/>
              </w:rPr>
            </w:pPr>
            <w:r>
              <w:rPr>
                <w:rFonts w:hint="eastAsia" w:cs="宋体"/>
                <w:b/>
                <w:color w:val="auto"/>
                <w:highlight w:val="none"/>
              </w:rPr>
              <w:t>表</w:t>
            </w:r>
            <w:r>
              <w:rPr>
                <w:b/>
                <w:color w:val="auto"/>
                <w:highlight w:val="none"/>
              </w:rPr>
              <w:t>4-</w:t>
            </w:r>
            <w:r>
              <w:rPr>
                <w:rFonts w:hint="eastAsia"/>
                <w:b/>
                <w:color w:val="auto"/>
                <w:highlight w:val="none"/>
                <w:lang w:val="en-US" w:eastAsia="zh-CN"/>
              </w:rPr>
              <w:t>12</w:t>
            </w:r>
            <w:r>
              <w:rPr>
                <w:rFonts w:hint="eastAsia"/>
                <w:b/>
                <w:color w:val="auto"/>
                <w:highlight w:val="none"/>
              </w:rPr>
              <w:t xml:space="preserve"> </w:t>
            </w:r>
            <w:r>
              <w:rPr>
                <w:b/>
                <w:color w:val="auto"/>
                <w:highlight w:val="none"/>
              </w:rPr>
              <w:t xml:space="preserve"> </w:t>
            </w:r>
            <w:r>
              <w:rPr>
                <w:rFonts w:hint="eastAsia" w:cs="宋体"/>
                <w:b/>
                <w:color w:val="auto"/>
                <w:highlight w:val="none"/>
              </w:rPr>
              <w:t>项目固体废物产排特性表</w:t>
            </w:r>
            <w:r>
              <w:rPr>
                <w:rFonts w:hint="eastAsia" w:cs="宋体"/>
                <w:b/>
                <w:color w:val="auto"/>
                <w:highlight w:val="none"/>
                <w:lang w:val="en-US" w:eastAsia="zh-CN"/>
              </w:rPr>
              <w:t xml:space="preserve">    单位t/a</w:t>
            </w:r>
          </w:p>
          <w:tbl>
            <w:tblPr>
              <w:tblStyle w:val="31"/>
              <w:tblW w:w="7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40"/>
              <w:gridCol w:w="1261"/>
              <w:gridCol w:w="800"/>
              <w:gridCol w:w="747"/>
              <w:gridCol w:w="1033"/>
              <w:gridCol w:w="846"/>
              <w:gridCol w:w="1093"/>
              <w:gridCol w:w="1338"/>
            </w:tblGrid>
            <w:tr w14:paraId="126FC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vMerge w:val="restart"/>
                  <w:tcBorders>
                    <w:tl2br w:val="nil"/>
                    <w:tr2bl w:val="nil"/>
                  </w:tcBorders>
                  <w:vAlign w:val="center"/>
                </w:tcPr>
                <w:p w14:paraId="401A4E9C">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产排</w:t>
                  </w:r>
                </w:p>
                <w:p w14:paraId="0B3A8096">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特性</w:t>
                  </w:r>
                </w:p>
              </w:tc>
              <w:tc>
                <w:tcPr>
                  <w:tcW w:w="7118" w:type="dxa"/>
                  <w:gridSpan w:val="7"/>
                  <w:tcBorders>
                    <w:tl2br w:val="nil"/>
                    <w:tr2bl w:val="nil"/>
                  </w:tcBorders>
                  <w:vAlign w:val="center"/>
                </w:tcPr>
                <w:p w14:paraId="3F52C712">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污染物</w:t>
                  </w:r>
                </w:p>
              </w:tc>
            </w:tr>
            <w:tr w14:paraId="2153AC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vMerge w:val="continue"/>
                  <w:tcBorders>
                    <w:tl2br w:val="nil"/>
                    <w:tr2bl w:val="nil"/>
                  </w:tcBorders>
                  <w:vAlign w:val="center"/>
                </w:tcPr>
                <w:p w14:paraId="1BB0A231">
                  <w:pPr>
                    <w:rPr>
                      <w:color w:val="auto"/>
                      <w:sz w:val="20"/>
                      <w:szCs w:val="20"/>
                      <w:highlight w:val="none"/>
                    </w:rPr>
                  </w:pPr>
                </w:p>
              </w:tc>
              <w:tc>
                <w:tcPr>
                  <w:tcW w:w="1261" w:type="dxa"/>
                  <w:tcBorders>
                    <w:tl2br w:val="nil"/>
                    <w:tr2bl w:val="nil"/>
                  </w:tcBorders>
                  <w:vAlign w:val="center"/>
                </w:tcPr>
                <w:p w14:paraId="6740AFAD">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生活</w:t>
                  </w:r>
                </w:p>
                <w:p w14:paraId="7E896206">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垃圾</w:t>
                  </w:r>
                </w:p>
              </w:tc>
              <w:tc>
                <w:tcPr>
                  <w:tcW w:w="800" w:type="dxa"/>
                  <w:tcBorders>
                    <w:right w:val="single" w:color="auto" w:sz="4" w:space="0"/>
                    <w:tl2br w:val="nil"/>
                    <w:tr2bl w:val="nil"/>
                  </w:tcBorders>
                  <w:vAlign w:val="center"/>
                </w:tcPr>
                <w:p w14:paraId="5876178A">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泥饼</w:t>
                  </w:r>
                </w:p>
              </w:tc>
              <w:tc>
                <w:tcPr>
                  <w:tcW w:w="747" w:type="dxa"/>
                  <w:tcBorders>
                    <w:left w:val="single" w:color="auto" w:sz="4" w:space="0"/>
                    <w:right w:val="single" w:color="auto" w:sz="4" w:space="0"/>
                  </w:tcBorders>
                  <w:vAlign w:val="center"/>
                </w:tcPr>
                <w:p w14:paraId="5777B8F3">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default" w:ascii="Times New Roman" w:hAnsi="Times New Roman" w:cs="宋体"/>
                      <w:color w:val="auto"/>
                      <w:kern w:val="2"/>
                      <w:sz w:val="21"/>
                      <w:szCs w:val="21"/>
                      <w:highlight w:val="none"/>
                    </w:rPr>
                    <w:t>栅渣</w:t>
                  </w:r>
                </w:p>
              </w:tc>
              <w:tc>
                <w:tcPr>
                  <w:tcW w:w="1033" w:type="dxa"/>
                  <w:tcBorders>
                    <w:left w:val="single" w:color="auto" w:sz="4" w:space="0"/>
                    <w:tl2br w:val="nil"/>
                    <w:tr2bl w:val="nil"/>
                  </w:tcBorders>
                  <w:vAlign w:val="center"/>
                </w:tcPr>
                <w:p w14:paraId="4FA616B9">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废润滑油</w:t>
                  </w:r>
                </w:p>
              </w:tc>
              <w:tc>
                <w:tcPr>
                  <w:tcW w:w="846" w:type="dxa"/>
                  <w:tcBorders>
                    <w:tl2br w:val="nil"/>
                    <w:tr2bl w:val="nil"/>
                  </w:tcBorders>
                  <w:vAlign w:val="center"/>
                </w:tcPr>
                <w:p w14:paraId="463D2F91">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废油桶</w:t>
                  </w:r>
                </w:p>
              </w:tc>
              <w:tc>
                <w:tcPr>
                  <w:tcW w:w="1093" w:type="dxa"/>
                  <w:tcBorders>
                    <w:tl2br w:val="nil"/>
                    <w:tr2bl w:val="nil"/>
                  </w:tcBorders>
                  <w:vAlign w:val="center"/>
                </w:tcPr>
                <w:p w14:paraId="0E56DB6D">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含油手套及棉纱</w:t>
                  </w:r>
                </w:p>
              </w:tc>
              <w:tc>
                <w:tcPr>
                  <w:tcW w:w="1338" w:type="dxa"/>
                  <w:tcBorders>
                    <w:tl2br w:val="nil"/>
                    <w:tr2bl w:val="nil"/>
                  </w:tcBorders>
                  <w:vAlign w:val="center"/>
                </w:tcPr>
                <w:p w14:paraId="0DB6827D">
                  <w:pPr>
                    <w:pStyle w:val="28"/>
                    <w:widowControl w:val="0"/>
                    <w:spacing w:before="0" w:beforeAutospacing="0" w:after="0" w:afterAutospacing="0"/>
                    <w:jc w:val="center"/>
                    <w:rPr>
                      <w:rFonts w:hint="eastAsia" w:ascii="Times New Roman" w:hAnsi="Times New Roman" w:cs="宋体"/>
                      <w:color w:val="auto"/>
                      <w:kern w:val="2"/>
                      <w:sz w:val="21"/>
                      <w:szCs w:val="21"/>
                      <w:highlight w:val="none"/>
                      <w:lang w:val="en-US" w:eastAsia="zh-CN"/>
                    </w:rPr>
                  </w:pPr>
                  <w:r>
                    <w:rPr>
                      <w:rFonts w:hint="eastAsia" w:ascii="Times New Roman" w:hAnsi="Times New Roman" w:cs="宋体"/>
                      <w:color w:val="auto"/>
                      <w:kern w:val="2"/>
                      <w:sz w:val="21"/>
                      <w:szCs w:val="21"/>
                      <w:highlight w:val="none"/>
                      <w:lang w:val="en-US" w:eastAsia="zh-CN"/>
                    </w:rPr>
                    <w:t>检验废液和</w:t>
                  </w:r>
                </w:p>
                <w:p w14:paraId="2D76F57B">
                  <w:pPr>
                    <w:pStyle w:val="28"/>
                    <w:widowControl w:val="0"/>
                    <w:spacing w:before="0" w:beforeAutospacing="0" w:after="0" w:afterAutospacing="0"/>
                    <w:jc w:val="center"/>
                    <w:rPr>
                      <w:rFonts w:hint="eastAsia" w:ascii="Times New Roman" w:hAnsi="Times New Roman" w:cs="宋体"/>
                      <w:color w:val="auto"/>
                      <w:kern w:val="2"/>
                      <w:sz w:val="21"/>
                      <w:szCs w:val="21"/>
                      <w:highlight w:val="none"/>
                      <w:lang w:val="en-US" w:eastAsia="zh-CN"/>
                    </w:rPr>
                  </w:pPr>
                  <w:r>
                    <w:rPr>
                      <w:rFonts w:hint="eastAsia" w:ascii="Times New Roman" w:hAnsi="Times New Roman" w:cs="宋体"/>
                      <w:color w:val="auto"/>
                      <w:kern w:val="2"/>
                      <w:sz w:val="21"/>
                      <w:szCs w:val="21"/>
                      <w:highlight w:val="none"/>
                      <w:lang w:val="en-US" w:eastAsia="zh-CN"/>
                    </w:rPr>
                    <w:t>清洗废水</w:t>
                  </w:r>
                </w:p>
              </w:tc>
            </w:tr>
            <w:tr w14:paraId="428AE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1264B203">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产生</w:t>
                  </w:r>
                </w:p>
                <w:p w14:paraId="00697E15">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环节</w:t>
                  </w:r>
                </w:p>
              </w:tc>
              <w:tc>
                <w:tcPr>
                  <w:tcW w:w="1261" w:type="dxa"/>
                  <w:tcBorders>
                    <w:tl2br w:val="nil"/>
                    <w:tr2bl w:val="nil"/>
                  </w:tcBorders>
                  <w:vAlign w:val="center"/>
                </w:tcPr>
                <w:p w14:paraId="56BD23C5">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员工</w:t>
                  </w:r>
                </w:p>
                <w:p w14:paraId="1BC69EDE">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生活</w:t>
                  </w:r>
                </w:p>
              </w:tc>
              <w:tc>
                <w:tcPr>
                  <w:tcW w:w="800" w:type="dxa"/>
                  <w:tcBorders>
                    <w:right w:val="single" w:color="auto" w:sz="4" w:space="0"/>
                    <w:tl2br w:val="nil"/>
                    <w:tr2bl w:val="nil"/>
                  </w:tcBorders>
                  <w:vAlign w:val="center"/>
                </w:tcPr>
                <w:p w14:paraId="3B9A8FF9">
                  <w:pPr>
                    <w:pStyle w:val="28"/>
                    <w:widowControl w:val="0"/>
                    <w:spacing w:before="0" w:beforeAutospacing="0" w:after="0" w:afterAutospacing="0"/>
                    <w:jc w:val="center"/>
                    <w:rPr>
                      <w:rFonts w:hint="eastAsia" w:ascii="Times New Roman" w:hAnsi="Times New Roman" w:cs="宋体"/>
                      <w:color w:val="auto"/>
                      <w:kern w:val="2"/>
                      <w:sz w:val="21"/>
                      <w:szCs w:val="21"/>
                      <w:highlight w:val="none"/>
                      <w:lang w:eastAsia="zh-CN"/>
                    </w:rPr>
                  </w:pPr>
                  <w:r>
                    <w:rPr>
                      <w:rFonts w:hint="eastAsia" w:ascii="Times New Roman" w:hAnsi="Times New Roman" w:cs="宋体"/>
                      <w:color w:val="auto"/>
                      <w:kern w:val="2"/>
                      <w:sz w:val="21"/>
                      <w:szCs w:val="21"/>
                      <w:highlight w:val="none"/>
                      <w:lang w:eastAsia="zh-CN"/>
                    </w:rPr>
                    <w:t>浓缩</w:t>
                  </w:r>
                </w:p>
                <w:p w14:paraId="591D8AEC">
                  <w:pPr>
                    <w:pStyle w:val="28"/>
                    <w:widowControl w:val="0"/>
                    <w:spacing w:before="0" w:beforeAutospacing="0" w:after="0" w:afterAutospacing="0"/>
                    <w:jc w:val="center"/>
                    <w:rPr>
                      <w:rFonts w:hint="eastAsia" w:ascii="Times New Roman" w:hAnsi="Times New Roman" w:eastAsia="宋体" w:cs="宋体"/>
                      <w:color w:val="auto"/>
                      <w:kern w:val="2"/>
                      <w:sz w:val="21"/>
                      <w:szCs w:val="21"/>
                      <w:highlight w:val="none"/>
                      <w:lang w:eastAsia="zh-CN"/>
                    </w:rPr>
                  </w:pPr>
                  <w:r>
                    <w:rPr>
                      <w:rFonts w:hint="eastAsia" w:ascii="Times New Roman" w:hAnsi="Times New Roman" w:cs="宋体"/>
                      <w:color w:val="auto"/>
                      <w:kern w:val="2"/>
                      <w:sz w:val="21"/>
                      <w:szCs w:val="21"/>
                      <w:highlight w:val="none"/>
                      <w:lang w:eastAsia="zh-CN"/>
                    </w:rPr>
                    <w:t>脱水</w:t>
                  </w:r>
                </w:p>
              </w:tc>
              <w:tc>
                <w:tcPr>
                  <w:tcW w:w="747" w:type="dxa"/>
                  <w:tcBorders>
                    <w:left w:val="single" w:color="auto" w:sz="4" w:space="0"/>
                    <w:right w:val="single" w:color="auto" w:sz="4" w:space="0"/>
                  </w:tcBorders>
                  <w:vAlign w:val="center"/>
                </w:tcPr>
                <w:p w14:paraId="28462857">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default" w:ascii="Times New Roman" w:hAnsi="Times New Roman" w:cs="宋体"/>
                      <w:color w:val="auto"/>
                      <w:kern w:val="2"/>
                      <w:sz w:val="21"/>
                      <w:szCs w:val="21"/>
                      <w:highlight w:val="none"/>
                    </w:rPr>
                    <w:t>格栅</w:t>
                  </w:r>
                </w:p>
              </w:tc>
              <w:tc>
                <w:tcPr>
                  <w:tcW w:w="2972" w:type="dxa"/>
                  <w:gridSpan w:val="3"/>
                  <w:tcBorders>
                    <w:left w:val="single" w:color="auto" w:sz="4" w:space="0"/>
                    <w:tl2br w:val="nil"/>
                    <w:tr2bl w:val="nil"/>
                  </w:tcBorders>
                  <w:vAlign w:val="center"/>
                </w:tcPr>
                <w:p w14:paraId="1B322D60">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设备维护保养</w:t>
                  </w:r>
                </w:p>
              </w:tc>
              <w:tc>
                <w:tcPr>
                  <w:tcW w:w="1338" w:type="dxa"/>
                  <w:tcBorders>
                    <w:left w:val="single" w:color="auto" w:sz="4" w:space="0"/>
                    <w:tl2br w:val="nil"/>
                    <w:tr2bl w:val="nil"/>
                  </w:tcBorders>
                  <w:vAlign w:val="center"/>
                </w:tcPr>
                <w:p w14:paraId="2CCBE594">
                  <w:pPr>
                    <w:pStyle w:val="28"/>
                    <w:widowControl w:val="0"/>
                    <w:spacing w:before="0" w:beforeAutospacing="0" w:after="0" w:afterAutospacing="0"/>
                    <w:jc w:val="center"/>
                    <w:rPr>
                      <w:rFonts w:hint="eastAsia" w:ascii="Times New Roman" w:hAnsi="Times New Roman" w:cs="宋体"/>
                      <w:color w:val="auto"/>
                      <w:kern w:val="2"/>
                      <w:sz w:val="21"/>
                      <w:szCs w:val="21"/>
                      <w:highlight w:val="none"/>
                      <w:lang w:eastAsia="zh-CN"/>
                    </w:rPr>
                  </w:pPr>
                  <w:r>
                    <w:rPr>
                      <w:rFonts w:hint="eastAsia" w:ascii="Times New Roman" w:hAnsi="Times New Roman" w:cs="宋体"/>
                      <w:color w:val="auto"/>
                      <w:kern w:val="2"/>
                      <w:sz w:val="21"/>
                      <w:szCs w:val="21"/>
                      <w:highlight w:val="none"/>
                      <w:lang w:eastAsia="zh-CN"/>
                    </w:rPr>
                    <w:t>检验</w:t>
                  </w:r>
                </w:p>
              </w:tc>
            </w:tr>
            <w:tr w14:paraId="6628D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06C3648E">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属性</w:t>
                  </w:r>
                </w:p>
              </w:tc>
              <w:tc>
                <w:tcPr>
                  <w:tcW w:w="1261" w:type="dxa"/>
                  <w:tcBorders>
                    <w:right w:val="single" w:color="auto" w:sz="4" w:space="0"/>
                    <w:tl2br w:val="nil"/>
                    <w:tr2bl w:val="nil"/>
                  </w:tcBorders>
                  <w:vAlign w:val="center"/>
                </w:tcPr>
                <w:p w14:paraId="26048042">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生活</w:t>
                  </w:r>
                </w:p>
                <w:p w14:paraId="211214E9">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垃圾</w:t>
                  </w:r>
                </w:p>
              </w:tc>
              <w:tc>
                <w:tcPr>
                  <w:tcW w:w="800" w:type="dxa"/>
                  <w:tcBorders>
                    <w:left w:val="single" w:color="auto" w:sz="4" w:space="0"/>
                    <w:right w:val="single" w:color="auto" w:sz="4" w:space="0"/>
                  </w:tcBorders>
                  <w:vAlign w:val="center"/>
                </w:tcPr>
                <w:p w14:paraId="7DF938BF">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一般工业固体废物</w:t>
                  </w:r>
                </w:p>
              </w:tc>
              <w:tc>
                <w:tcPr>
                  <w:tcW w:w="747" w:type="dxa"/>
                  <w:tcBorders>
                    <w:left w:val="single" w:color="auto" w:sz="4" w:space="0"/>
                    <w:right w:val="single" w:color="auto" w:sz="4" w:space="0"/>
                  </w:tcBorders>
                  <w:vAlign w:val="center"/>
                </w:tcPr>
                <w:p w14:paraId="02F398F6">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lang w:eastAsia="zh-CN"/>
                    </w:rPr>
                    <w:t>类似于</w:t>
                  </w:r>
                  <w:r>
                    <w:rPr>
                      <w:rFonts w:hint="eastAsia" w:ascii="Times New Roman" w:hAnsi="Times New Roman" w:cs="宋体"/>
                      <w:color w:val="auto"/>
                      <w:kern w:val="2"/>
                      <w:sz w:val="21"/>
                      <w:szCs w:val="21"/>
                      <w:highlight w:val="none"/>
                    </w:rPr>
                    <w:t>生活垃圾</w:t>
                  </w:r>
                </w:p>
              </w:tc>
              <w:tc>
                <w:tcPr>
                  <w:tcW w:w="1033" w:type="dxa"/>
                  <w:tcBorders>
                    <w:left w:val="single" w:color="auto" w:sz="4" w:space="0"/>
                    <w:tl2br w:val="nil"/>
                    <w:tr2bl w:val="nil"/>
                  </w:tcBorders>
                  <w:vAlign w:val="center"/>
                </w:tcPr>
                <w:p w14:paraId="4D953981">
                  <w:pPr>
                    <w:pStyle w:val="28"/>
                    <w:widowControl w:val="0"/>
                    <w:spacing w:before="0" w:beforeAutospacing="0" w:after="0" w:afterAutospacing="0"/>
                    <w:jc w:val="center"/>
                    <w:rPr>
                      <w:rFonts w:ascii="Times New Roman" w:hAnsi="Times New Roman"/>
                      <w:color w:val="auto"/>
                      <w:sz w:val="18"/>
                      <w:szCs w:val="18"/>
                      <w:highlight w:val="none"/>
                    </w:rPr>
                  </w:pPr>
                  <w:r>
                    <w:rPr>
                      <w:rFonts w:hint="eastAsia" w:ascii="Times New Roman" w:hAnsi="Times New Roman" w:cs="宋体"/>
                      <w:color w:val="auto"/>
                      <w:kern w:val="2"/>
                      <w:sz w:val="21"/>
                      <w:szCs w:val="21"/>
                      <w:highlight w:val="none"/>
                    </w:rPr>
                    <w:t>危险废物分类</w:t>
                  </w:r>
                  <w:r>
                    <w:rPr>
                      <w:rFonts w:ascii="Times New Roman" w:hAnsi="Times New Roman"/>
                      <w:color w:val="auto"/>
                      <w:sz w:val="21"/>
                      <w:szCs w:val="21"/>
                      <w:highlight w:val="none"/>
                    </w:rPr>
                    <w:t>HW08</w:t>
                  </w:r>
                </w:p>
                <w:p w14:paraId="474B3A28">
                  <w:pPr>
                    <w:pStyle w:val="28"/>
                    <w:widowControl w:val="0"/>
                    <w:spacing w:before="0" w:beforeAutospacing="0" w:after="0" w:afterAutospacing="0"/>
                    <w:jc w:val="center"/>
                    <w:rPr>
                      <w:rFonts w:ascii="Times New Roman" w:hAnsi="Times New Roman"/>
                      <w:color w:val="auto"/>
                      <w:sz w:val="18"/>
                      <w:szCs w:val="18"/>
                      <w:highlight w:val="none"/>
                    </w:rPr>
                  </w:pPr>
                  <w:r>
                    <w:rPr>
                      <w:rFonts w:hint="eastAsia" w:ascii="Times New Roman" w:hAnsi="Times New Roman" w:cs="宋体"/>
                      <w:color w:val="auto"/>
                      <w:kern w:val="2"/>
                      <w:sz w:val="21"/>
                      <w:szCs w:val="21"/>
                      <w:highlight w:val="none"/>
                    </w:rPr>
                    <w:t>危险代码900-214-08</w:t>
                  </w:r>
                </w:p>
              </w:tc>
              <w:tc>
                <w:tcPr>
                  <w:tcW w:w="1939" w:type="dxa"/>
                  <w:gridSpan w:val="2"/>
                  <w:tcBorders>
                    <w:tl2br w:val="nil"/>
                    <w:tr2bl w:val="nil"/>
                  </w:tcBorders>
                  <w:vAlign w:val="center"/>
                </w:tcPr>
                <w:p w14:paraId="223BE3F6">
                  <w:pPr>
                    <w:pStyle w:val="28"/>
                    <w:widowControl w:val="0"/>
                    <w:spacing w:before="0" w:beforeAutospacing="0" w:after="0" w:afterAutospacing="0" w:line="240" w:lineRule="auto"/>
                    <w:jc w:val="center"/>
                    <w:rPr>
                      <w:rFonts w:ascii="Times New Roman" w:hAnsi="Times New Roman"/>
                      <w:color w:val="auto"/>
                      <w:sz w:val="18"/>
                      <w:szCs w:val="18"/>
                      <w:highlight w:val="none"/>
                    </w:rPr>
                  </w:pPr>
                  <w:r>
                    <w:rPr>
                      <w:rFonts w:hint="eastAsia" w:ascii="Times New Roman" w:hAnsi="Times New Roman" w:cs="宋体"/>
                      <w:color w:val="auto"/>
                      <w:kern w:val="2"/>
                      <w:sz w:val="21"/>
                      <w:szCs w:val="21"/>
                      <w:highlight w:val="none"/>
                    </w:rPr>
                    <w:t>危险废物分类</w:t>
                  </w:r>
                  <w:r>
                    <w:rPr>
                      <w:rFonts w:ascii="Times New Roman" w:hAnsi="Times New Roman"/>
                      <w:color w:val="auto"/>
                      <w:sz w:val="21"/>
                      <w:szCs w:val="21"/>
                      <w:highlight w:val="none"/>
                    </w:rPr>
                    <w:t>HW</w:t>
                  </w:r>
                  <w:r>
                    <w:rPr>
                      <w:rFonts w:hint="eastAsia" w:ascii="Times New Roman" w:hAnsi="Times New Roman"/>
                      <w:color w:val="auto"/>
                      <w:sz w:val="21"/>
                      <w:szCs w:val="21"/>
                      <w:highlight w:val="none"/>
                    </w:rPr>
                    <w:t>49</w:t>
                  </w:r>
                </w:p>
                <w:p w14:paraId="0C7D4B1D">
                  <w:pPr>
                    <w:pStyle w:val="28"/>
                    <w:widowControl w:val="0"/>
                    <w:spacing w:before="0" w:beforeAutospacing="0" w:after="0" w:afterAutospacing="0" w:line="240" w:lineRule="auto"/>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危险代码900-041-49</w:t>
                  </w:r>
                </w:p>
              </w:tc>
              <w:tc>
                <w:tcPr>
                  <w:tcW w:w="1338" w:type="dxa"/>
                  <w:tcBorders>
                    <w:tl2br w:val="nil"/>
                    <w:tr2bl w:val="nil"/>
                  </w:tcBorders>
                  <w:vAlign w:val="center"/>
                </w:tcPr>
                <w:p w14:paraId="51E5BC58">
                  <w:pPr>
                    <w:pStyle w:val="45"/>
                    <w:spacing w:before="72" w:beforeLines="30" w:after="72" w:afterLines="30" w:line="240" w:lineRule="auto"/>
                    <w:ind w:firstLine="0" w:firstLineChars="0"/>
                    <w:jc w:val="center"/>
                    <w:rPr>
                      <w:rFonts w:hint="eastAsia" w:ascii="Times New Roman" w:hAnsi="Times New Roman" w:cs="宋体"/>
                      <w:color w:val="auto"/>
                      <w:sz w:val="21"/>
                      <w:szCs w:val="21"/>
                      <w:highlight w:val="none"/>
                      <w:lang w:bidi="ar"/>
                    </w:rPr>
                  </w:pPr>
                  <w:r>
                    <w:rPr>
                      <w:rFonts w:hint="eastAsia" w:ascii="Times New Roman" w:hAnsi="Times New Roman" w:cs="宋体"/>
                      <w:color w:val="auto"/>
                      <w:sz w:val="21"/>
                      <w:szCs w:val="21"/>
                      <w:highlight w:val="none"/>
                      <w:lang w:bidi="ar"/>
                    </w:rPr>
                    <w:t>危险废物分类HW</w:t>
                  </w:r>
                  <w:r>
                    <w:rPr>
                      <w:rFonts w:hint="eastAsia" w:ascii="Times New Roman" w:hAnsi="Times New Roman" w:cs="宋体"/>
                      <w:color w:val="auto"/>
                      <w:sz w:val="21"/>
                      <w:szCs w:val="21"/>
                      <w:highlight w:val="none"/>
                      <w:lang w:val="en-US" w:eastAsia="zh-CN" w:bidi="ar"/>
                    </w:rPr>
                    <w:t>4</w:t>
                  </w:r>
                  <w:r>
                    <w:rPr>
                      <w:rFonts w:hint="eastAsia" w:ascii="Times New Roman" w:hAnsi="Times New Roman" w:cs="宋体"/>
                      <w:color w:val="auto"/>
                      <w:sz w:val="21"/>
                      <w:szCs w:val="21"/>
                      <w:highlight w:val="none"/>
                      <w:lang w:bidi="ar"/>
                    </w:rPr>
                    <w:t>9</w:t>
                  </w:r>
                </w:p>
                <w:p w14:paraId="08C81746">
                  <w:pPr>
                    <w:pStyle w:val="45"/>
                    <w:spacing w:before="72" w:beforeLines="30" w:after="72" w:afterLines="30" w:line="240" w:lineRule="auto"/>
                    <w:ind w:firstLine="0" w:firstLineChars="0"/>
                    <w:jc w:val="center"/>
                    <w:rPr>
                      <w:rFonts w:hint="default" w:ascii="Times New Roman" w:hAnsi="Times New Roman" w:eastAsia="宋体" w:cs="宋体"/>
                      <w:color w:val="auto"/>
                      <w:sz w:val="21"/>
                      <w:szCs w:val="21"/>
                      <w:highlight w:val="none"/>
                      <w:lang w:val="en-US" w:eastAsia="zh-CN" w:bidi="ar"/>
                    </w:rPr>
                  </w:pPr>
                  <w:r>
                    <w:rPr>
                      <w:rFonts w:hint="eastAsia" w:ascii="Times New Roman" w:hAnsi="Times New Roman" w:cs="宋体"/>
                      <w:color w:val="auto"/>
                      <w:sz w:val="21"/>
                      <w:szCs w:val="21"/>
                      <w:highlight w:val="none"/>
                      <w:lang w:bidi="ar"/>
                    </w:rPr>
                    <w:t>废物代码900-0</w:t>
                  </w:r>
                  <w:r>
                    <w:rPr>
                      <w:rFonts w:hint="eastAsia" w:ascii="Times New Roman" w:hAnsi="Times New Roman" w:cs="宋体"/>
                      <w:color w:val="auto"/>
                      <w:sz w:val="21"/>
                      <w:szCs w:val="21"/>
                      <w:highlight w:val="none"/>
                      <w:lang w:val="en-US" w:eastAsia="zh-CN" w:bidi="ar"/>
                    </w:rPr>
                    <w:t>47</w:t>
                  </w:r>
                  <w:r>
                    <w:rPr>
                      <w:rFonts w:hint="eastAsia" w:ascii="Times New Roman" w:hAnsi="Times New Roman" w:cs="宋体"/>
                      <w:color w:val="auto"/>
                      <w:sz w:val="21"/>
                      <w:szCs w:val="21"/>
                      <w:highlight w:val="none"/>
                      <w:lang w:bidi="ar"/>
                    </w:rPr>
                    <w:t>-</w:t>
                  </w:r>
                  <w:r>
                    <w:rPr>
                      <w:rFonts w:hint="eastAsia" w:ascii="Times New Roman" w:hAnsi="Times New Roman" w:cs="宋体"/>
                      <w:color w:val="auto"/>
                      <w:sz w:val="21"/>
                      <w:szCs w:val="21"/>
                      <w:highlight w:val="none"/>
                      <w:lang w:val="en-US" w:eastAsia="zh-CN" w:bidi="ar"/>
                    </w:rPr>
                    <w:t>49</w:t>
                  </w:r>
                </w:p>
              </w:tc>
            </w:tr>
            <w:tr w14:paraId="342DF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37B33B85">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主要有毒有害物质</w:t>
                  </w:r>
                </w:p>
              </w:tc>
              <w:tc>
                <w:tcPr>
                  <w:tcW w:w="1261" w:type="dxa"/>
                  <w:tcBorders>
                    <w:tl2br w:val="nil"/>
                    <w:tr2bl w:val="nil"/>
                  </w:tcBorders>
                  <w:vAlign w:val="center"/>
                </w:tcPr>
                <w:p w14:paraId="05B2CCA0">
                  <w:pPr>
                    <w:pStyle w:val="28"/>
                    <w:widowControl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kern w:val="2"/>
                      <w:sz w:val="21"/>
                      <w:szCs w:val="21"/>
                      <w:highlight w:val="none"/>
                    </w:rPr>
                    <w:t>/</w:t>
                  </w:r>
                </w:p>
              </w:tc>
              <w:tc>
                <w:tcPr>
                  <w:tcW w:w="800" w:type="dxa"/>
                  <w:tcBorders>
                    <w:right w:val="single" w:color="auto" w:sz="4" w:space="0"/>
                    <w:tl2br w:val="nil"/>
                    <w:tr2bl w:val="nil"/>
                  </w:tcBorders>
                  <w:vAlign w:val="center"/>
                </w:tcPr>
                <w:p w14:paraId="21838361">
                  <w:pPr>
                    <w:pStyle w:val="28"/>
                    <w:widowControl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w:t>
                  </w:r>
                </w:p>
              </w:tc>
              <w:tc>
                <w:tcPr>
                  <w:tcW w:w="747" w:type="dxa"/>
                  <w:tcBorders>
                    <w:left w:val="single" w:color="auto" w:sz="4" w:space="0"/>
                    <w:right w:val="single" w:color="auto" w:sz="4" w:space="0"/>
                  </w:tcBorders>
                  <w:vAlign w:val="center"/>
                </w:tcPr>
                <w:p w14:paraId="1F8B5497">
                  <w:pPr>
                    <w:pStyle w:val="28"/>
                    <w:widowControl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w:t>
                  </w:r>
                </w:p>
              </w:tc>
              <w:tc>
                <w:tcPr>
                  <w:tcW w:w="1033" w:type="dxa"/>
                  <w:tcBorders>
                    <w:left w:val="single" w:color="auto" w:sz="4" w:space="0"/>
                    <w:tl2br w:val="nil"/>
                    <w:tr2bl w:val="nil"/>
                  </w:tcBorders>
                  <w:vAlign w:val="center"/>
                </w:tcPr>
                <w:p w14:paraId="108114C2">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废矿物油</w:t>
                  </w:r>
                </w:p>
              </w:tc>
              <w:tc>
                <w:tcPr>
                  <w:tcW w:w="1939" w:type="dxa"/>
                  <w:gridSpan w:val="2"/>
                  <w:tcBorders>
                    <w:tl2br w:val="nil"/>
                    <w:tr2bl w:val="nil"/>
                  </w:tcBorders>
                  <w:vAlign w:val="center"/>
                </w:tcPr>
                <w:p w14:paraId="0297C53C">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废矿物油</w:t>
                  </w:r>
                </w:p>
              </w:tc>
              <w:tc>
                <w:tcPr>
                  <w:tcW w:w="1338" w:type="dxa"/>
                  <w:tcBorders>
                    <w:tl2br w:val="nil"/>
                    <w:tr2bl w:val="nil"/>
                  </w:tcBorders>
                  <w:vAlign w:val="center"/>
                </w:tcPr>
                <w:p w14:paraId="265667C0">
                  <w:pPr>
                    <w:pStyle w:val="28"/>
                    <w:widowControl w:val="0"/>
                    <w:spacing w:before="0" w:beforeAutospacing="0" w:after="0" w:afterAutospacing="0"/>
                    <w:jc w:val="center"/>
                    <w:rPr>
                      <w:rFonts w:hint="eastAsia" w:ascii="Times New Roman" w:hAnsi="Times New Roman" w:eastAsia="宋体"/>
                      <w:color w:val="auto"/>
                      <w:sz w:val="21"/>
                      <w:szCs w:val="21"/>
                      <w:highlight w:val="none"/>
                      <w:lang w:eastAsia="zh-CN" w:bidi="ar"/>
                    </w:rPr>
                  </w:pPr>
                  <w:r>
                    <w:rPr>
                      <w:rFonts w:hint="eastAsia" w:ascii="Times New Roman" w:hAnsi="Times New Roman"/>
                      <w:color w:val="auto"/>
                      <w:sz w:val="21"/>
                      <w:szCs w:val="21"/>
                      <w:highlight w:val="none"/>
                      <w:lang w:eastAsia="zh-CN" w:bidi="ar"/>
                    </w:rPr>
                    <w:t>废酸、废碱等</w:t>
                  </w:r>
                </w:p>
              </w:tc>
            </w:tr>
            <w:tr w14:paraId="2F8DA0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147C9F87">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物理</w:t>
                  </w:r>
                </w:p>
                <w:p w14:paraId="580950C6">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性状</w:t>
                  </w:r>
                </w:p>
              </w:tc>
              <w:tc>
                <w:tcPr>
                  <w:tcW w:w="1261" w:type="dxa"/>
                  <w:tcBorders>
                    <w:tl2br w:val="nil"/>
                    <w:tr2bl w:val="nil"/>
                  </w:tcBorders>
                  <w:vAlign w:val="center"/>
                </w:tcPr>
                <w:p w14:paraId="46FF39AF">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固体</w:t>
                  </w:r>
                </w:p>
              </w:tc>
              <w:tc>
                <w:tcPr>
                  <w:tcW w:w="800" w:type="dxa"/>
                  <w:tcBorders>
                    <w:right w:val="single" w:color="auto" w:sz="4" w:space="0"/>
                    <w:tl2br w:val="nil"/>
                    <w:tr2bl w:val="nil"/>
                  </w:tcBorders>
                  <w:vAlign w:val="center"/>
                </w:tcPr>
                <w:p w14:paraId="190074E4">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固体</w:t>
                  </w:r>
                </w:p>
              </w:tc>
              <w:tc>
                <w:tcPr>
                  <w:tcW w:w="747" w:type="dxa"/>
                  <w:tcBorders>
                    <w:left w:val="single" w:color="auto" w:sz="4" w:space="0"/>
                    <w:right w:val="single" w:color="auto" w:sz="4" w:space="0"/>
                  </w:tcBorders>
                  <w:vAlign w:val="center"/>
                </w:tcPr>
                <w:p w14:paraId="075AB8BA">
                  <w:pPr>
                    <w:pStyle w:val="28"/>
                    <w:widowControl w:val="0"/>
                    <w:spacing w:before="0" w:beforeAutospacing="0" w:after="0" w:afterAutospacing="0"/>
                    <w:jc w:val="center"/>
                    <w:rPr>
                      <w:rFonts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固体</w:t>
                  </w:r>
                </w:p>
              </w:tc>
              <w:tc>
                <w:tcPr>
                  <w:tcW w:w="1033" w:type="dxa"/>
                  <w:tcBorders>
                    <w:left w:val="single" w:color="auto" w:sz="4" w:space="0"/>
                    <w:tl2br w:val="nil"/>
                    <w:tr2bl w:val="nil"/>
                  </w:tcBorders>
                  <w:vAlign w:val="center"/>
                </w:tcPr>
                <w:p w14:paraId="53A69D7D">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液体</w:t>
                  </w:r>
                </w:p>
              </w:tc>
              <w:tc>
                <w:tcPr>
                  <w:tcW w:w="1939" w:type="dxa"/>
                  <w:gridSpan w:val="2"/>
                  <w:tcBorders>
                    <w:tl2br w:val="nil"/>
                    <w:tr2bl w:val="nil"/>
                  </w:tcBorders>
                  <w:vAlign w:val="center"/>
                </w:tcPr>
                <w:p w14:paraId="0A1F3A3C">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固体</w:t>
                  </w:r>
                </w:p>
              </w:tc>
              <w:tc>
                <w:tcPr>
                  <w:tcW w:w="1338" w:type="dxa"/>
                  <w:tcBorders>
                    <w:tl2br w:val="nil"/>
                    <w:tr2bl w:val="nil"/>
                  </w:tcBorders>
                  <w:vAlign w:val="center"/>
                </w:tcPr>
                <w:p w14:paraId="105048F4">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液体</w:t>
                  </w:r>
                </w:p>
              </w:tc>
            </w:tr>
            <w:tr w14:paraId="15941A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32F8B711">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环境危险特性</w:t>
                  </w:r>
                </w:p>
              </w:tc>
              <w:tc>
                <w:tcPr>
                  <w:tcW w:w="1261" w:type="dxa"/>
                  <w:tcBorders>
                    <w:tl2br w:val="nil"/>
                    <w:tr2bl w:val="nil"/>
                  </w:tcBorders>
                  <w:vAlign w:val="center"/>
                </w:tcPr>
                <w:p w14:paraId="167E0C38">
                  <w:pPr>
                    <w:pStyle w:val="28"/>
                    <w:widowControl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kern w:val="2"/>
                      <w:sz w:val="21"/>
                      <w:szCs w:val="21"/>
                      <w:highlight w:val="none"/>
                    </w:rPr>
                    <w:t>/</w:t>
                  </w:r>
                </w:p>
              </w:tc>
              <w:tc>
                <w:tcPr>
                  <w:tcW w:w="800" w:type="dxa"/>
                  <w:tcBorders>
                    <w:right w:val="single" w:color="auto" w:sz="4" w:space="0"/>
                    <w:tl2br w:val="nil"/>
                    <w:tr2bl w:val="nil"/>
                  </w:tcBorders>
                  <w:vAlign w:val="center"/>
                </w:tcPr>
                <w:p w14:paraId="6187CF18">
                  <w:pPr>
                    <w:pStyle w:val="28"/>
                    <w:widowControl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w:t>
                  </w:r>
                </w:p>
              </w:tc>
              <w:tc>
                <w:tcPr>
                  <w:tcW w:w="747" w:type="dxa"/>
                  <w:tcBorders>
                    <w:left w:val="single" w:color="auto" w:sz="4" w:space="0"/>
                    <w:right w:val="single" w:color="auto" w:sz="4" w:space="0"/>
                  </w:tcBorders>
                  <w:vAlign w:val="center"/>
                </w:tcPr>
                <w:p w14:paraId="4A65F4C8">
                  <w:pPr>
                    <w:pStyle w:val="28"/>
                    <w:widowControl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w:t>
                  </w:r>
                </w:p>
              </w:tc>
              <w:tc>
                <w:tcPr>
                  <w:tcW w:w="1033" w:type="dxa"/>
                  <w:tcBorders>
                    <w:left w:val="single" w:color="auto" w:sz="4" w:space="0"/>
                    <w:tl2br w:val="nil"/>
                    <w:tr2bl w:val="nil"/>
                  </w:tcBorders>
                  <w:vAlign w:val="center"/>
                </w:tcPr>
                <w:p w14:paraId="08813BC7">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T，I</w:t>
                  </w:r>
                </w:p>
              </w:tc>
              <w:tc>
                <w:tcPr>
                  <w:tcW w:w="1939" w:type="dxa"/>
                  <w:gridSpan w:val="2"/>
                  <w:tcBorders>
                    <w:tl2br w:val="nil"/>
                    <w:tr2bl w:val="nil"/>
                  </w:tcBorders>
                  <w:vAlign w:val="center"/>
                </w:tcPr>
                <w:p w14:paraId="03AEFEA4">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T/In</w:t>
                  </w:r>
                </w:p>
              </w:tc>
              <w:tc>
                <w:tcPr>
                  <w:tcW w:w="1338" w:type="dxa"/>
                  <w:tcBorders>
                    <w:tl2br w:val="nil"/>
                    <w:tr2bl w:val="nil"/>
                  </w:tcBorders>
                  <w:vAlign w:val="center"/>
                </w:tcPr>
                <w:p w14:paraId="198E5EC5">
                  <w:pPr>
                    <w:pStyle w:val="28"/>
                    <w:widowControl w:val="0"/>
                    <w:spacing w:before="0" w:beforeAutospacing="0" w:after="0" w:afterAutospacing="0"/>
                    <w:jc w:val="center"/>
                    <w:rPr>
                      <w:rFonts w:hint="eastAsia" w:ascii="Times New Roman" w:hAnsi="Times New Roman" w:cs="宋体"/>
                      <w:color w:val="auto"/>
                      <w:sz w:val="21"/>
                      <w:szCs w:val="21"/>
                      <w:highlight w:val="none"/>
                      <w:lang w:bidi="ar"/>
                    </w:rPr>
                  </w:pPr>
                  <w:r>
                    <w:rPr>
                      <w:rFonts w:hint="eastAsia" w:ascii="Times New Roman" w:hAnsi="Times New Roman" w:cs="宋体"/>
                      <w:color w:val="auto"/>
                      <w:sz w:val="21"/>
                      <w:szCs w:val="21"/>
                      <w:highlight w:val="none"/>
                      <w:lang w:bidi="ar"/>
                    </w:rPr>
                    <w:t>T/C/I/R</w:t>
                  </w:r>
                </w:p>
              </w:tc>
            </w:tr>
            <w:tr w14:paraId="00CBC8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2B4F32D3">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年产</w:t>
                  </w:r>
                </w:p>
                <w:p w14:paraId="68A844CA">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生量</w:t>
                  </w:r>
                </w:p>
              </w:tc>
              <w:tc>
                <w:tcPr>
                  <w:tcW w:w="1261" w:type="dxa"/>
                  <w:tcBorders>
                    <w:tl2br w:val="nil"/>
                    <w:tr2bl w:val="nil"/>
                  </w:tcBorders>
                  <w:vAlign w:val="center"/>
                </w:tcPr>
                <w:p w14:paraId="662FDBC2">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olor w:val="auto"/>
                      <w:kern w:val="2"/>
                      <w:sz w:val="21"/>
                      <w:szCs w:val="21"/>
                      <w:highlight w:val="none"/>
                      <w:lang w:val="en-US" w:eastAsia="zh-CN"/>
                    </w:rPr>
                    <w:t>5.686</w:t>
                  </w:r>
                </w:p>
              </w:tc>
              <w:tc>
                <w:tcPr>
                  <w:tcW w:w="800" w:type="dxa"/>
                  <w:tcBorders>
                    <w:right w:val="single" w:color="auto" w:sz="4" w:space="0"/>
                    <w:tl2br w:val="nil"/>
                    <w:tr2bl w:val="nil"/>
                  </w:tcBorders>
                  <w:vAlign w:val="center"/>
                </w:tcPr>
                <w:p w14:paraId="4FCDD10E">
                  <w:pPr>
                    <w:pStyle w:val="28"/>
                    <w:widowControl w:val="0"/>
                    <w:spacing w:before="0" w:beforeAutospacing="0" w:after="0" w:afterAutospacing="0"/>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lang w:val="en-US" w:eastAsia="zh-CN"/>
                    </w:rPr>
                    <w:t>186.15</w:t>
                  </w:r>
                </w:p>
              </w:tc>
              <w:tc>
                <w:tcPr>
                  <w:tcW w:w="747" w:type="dxa"/>
                  <w:tcBorders>
                    <w:left w:val="single" w:color="auto" w:sz="4" w:space="0"/>
                    <w:right w:val="single" w:color="auto" w:sz="4" w:space="0"/>
                  </w:tcBorders>
                  <w:vAlign w:val="center"/>
                </w:tcPr>
                <w:p w14:paraId="36F2D0DB">
                  <w:pPr>
                    <w:pStyle w:val="28"/>
                    <w:widowControl w:val="0"/>
                    <w:spacing w:before="0" w:beforeAutospacing="0" w:after="0" w:afterAutospacing="0"/>
                    <w:jc w:val="center"/>
                    <w:rPr>
                      <w:rFonts w:ascii="Times New Roman" w:hAnsi="Times New Roman"/>
                      <w:color w:val="auto"/>
                      <w:kern w:val="2"/>
                      <w:sz w:val="21"/>
                      <w:szCs w:val="21"/>
                      <w:highlight w:val="none"/>
                    </w:rPr>
                  </w:pPr>
                  <w:r>
                    <w:rPr>
                      <w:rFonts w:hint="eastAsia" w:ascii="Times New Roman"/>
                      <w:color w:val="auto"/>
                      <w:kern w:val="2"/>
                      <w:sz w:val="21"/>
                      <w:szCs w:val="16"/>
                      <w:highlight w:val="none"/>
                      <w:lang w:val="en-US" w:eastAsia="zh-CN"/>
                    </w:rPr>
                    <w:t>52.56</w:t>
                  </w:r>
                </w:p>
              </w:tc>
              <w:tc>
                <w:tcPr>
                  <w:tcW w:w="1033" w:type="dxa"/>
                  <w:tcBorders>
                    <w:left w:val="single" w:color="auto" w:sz="4" w:space="0"/>
                    <w:tl2br w:val="nil"/>
                    <w:tr2bl w:val="nil"/>
                  </w:tcBorders>
                  <w:vAlign w:val="center"/>
                </w:tcPr>
                <w:p w14:paraId="2C228AEB">
                  <w:pPr>
                    <w:pStyle w:val="28"/>
                    <w:widowControl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kern w:val="2"/>
                      <w:sz w:val="21"/>
                      <w:szCs w:val="21"/>
                      <w:highlight w:val="none"/>
                    </w:rPr>
                    <w:t>0.</w:t>
                  </w:r>
                  <w:r>
                    <w:rPr>
                      <w:rFonts w:hint="eastAsia" w:ascii="Times New Roman" w:hAnsi="Times New Roman"/>
                      <w:color w:val="auto"/>
                      <w:kern w:val="2"/>
                      <w:sz w:val="21"/>
                      <w:szCs w:val="21"/>
                      <w:highlight w:val="none"/>
                    </w:rPr>
                    <w:t>02</w:t>
                  </w:r>
                </w:p>
              </w:tc>
              <w:tc>
                <w:tcPr>
                  <w:tcW w:w="846" w:type="dxa"/>
                  <w:tcBorders>
                    <w:tl2br w:val="nil"/>
                    <w:tr2bl w:val="nil"/>
                  </w:tcBorders>
                  <w:vAlign w:val="center"/>
                </w:tcPr>
                <w:p w14:paraId="0A7A71FA">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0.01</w:t>
                  </w:r>
                </w:p>
              </w:tc>
              <w:tc>
                <w:tcPr>
                  <w:tcW w:w="1093" w:type="dxa"/>
                  <w:tcBorders>
                    <w:tl2br w:val="nil"/>
                    <w:tr2bl w:val="nil"/>
                  </w:tcBorders>
                  <w:vAlign w:val="center"/>
                </w:tcPr>
                <w:p w14:paraId="34B62325">
                  <w:pPr>
                    <w:pStyle w:val="28"/>
                    <w:widowControl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0.0</w:t>
                  </w:r>
                  <w:r>
                    <w:rPr>
                      <w:rFonts w:hint="eastAsia" w:ascii="Times New Roman" w:hAnsi="Times New Roman"/>
                      <w:color w:val="auto"/>
                      <w:kern w:val="2"/>
                      <w:sz w:val="21"/>
                      <w:szCs w:val="21"/>
                      <w:highlight w:val="none"/>
                    </w:rPr>
                    <w:t>1</w:t>
                  </w:r>
                </w:p>
              </w:tc>
              <w:tc>
                <w:tcPr>
                  <w:tcW w:w="1338" w:type="dxa"/>
                  <w:tcBorders>
                    <w:tl2br w:val="nil"/>
                    <w:tr2bl w:val="nil"/>
                  </w:tcBorders>
                  <w:vAlign w:val="center"/>
                </w:tcPr>
                <w:p w14:paraId="792247EE">
                  <w:pPr>
                    <w:pStyle w:val="28"/>
                    <w:widowControl w:val="0"/>
                    <w:spacing w:before="0" w:beforeAutospacing="0" w:after="0" w:afterAutospacing="0"/>
                    <w:jc w:val="center"/>
                    <w:rPr>
                      <w:rFonts w:hint="default" w:ascii="Times New Roman" w:hAnsi="Times New Roman"/>
                      <w:color w:val="auto"/>
                      <w:kern w:val="2"/>
                      <w:sz w:val="21"/>
                      <w:szCs w:val="21"/>
                      <w:highlight w:val="none"/>
                      <w:lang w:val="en-US" w:eastAsia="zh-CN"/>
                    </w:rPr>
                  </w:pPr>
                  <w:r>
                    <w:rPr>
                      <w:rFonts w:hint="eastAsia" w:ascii="Times New Roman" w:hAnsi="Times New Roman"/>
                      <w:color w:val="auto"/>
                      <w:kern w:val="2"/>
                      <w:sz w:val="21"/>
                      <w:szCs w:val="21"/>
                      <w:highlight w:val="none"/>
                      <w:lang w:val="en-US" w:eastAsia="zh-CN"/>
                    </w:rPr>
                    <w:t>0.02</w:t>
                  </w:r>
                </w:p>
              </w:tc>
            </w:tr>
            <w:tr w14:paraId="285AE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2BBE0CAA">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贮存</w:t>
                  </w:r>
                </w:p>
                <w:p w14:paraId="207830C7">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方式</w:t>
                  </w:r>
                </w:p>
              </w:tc>
              <w:tc>
                <w:tcPr>
                  <w:tcW w:w="1261" w:type="dxa"/>
                  <w:tcBorders>
                    <w:right w:val="single" w:color="auto" w:sz="4" w:space="0"/>
                    <w:tl2br w:val="nil"/>
                    <w:tr2bl w:val="nil"/>
                  </w:tcBorders>
                  <w:vAlign w:val="center"/>
                </w:tcPr>
                <w:p w14:paraId="1AD4E728">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袋盖塑料垃圾桶收集</w:t>
                  </w:r>
                </w:p>
              </w:tc>
              <w:tc>
                <w:tcPr>
                  <w:tcW w:w="800" w:type="dxa"/>
                  <w:tcBorders>
                    <w:left w:val="single" w:color="auto" w:sz="4" w:space="0"/>
                    <w:right w:val="single" w:color="auto" w:sz="4" w:space="0"/>
                  </w:tcBorders>
                  <w:vAlign w:val="center"/>
                </w:tcPr>
                <w:p w14:paraId="34973F23">
                  <w:pPr>
                    <w:jc w:val="center"/>
                    <w:rPr>
                      <w:rFonts w:hint="eastAsia" w:cs="宋体"/>
                      <w:color w:val="auto"/>
                      <w:szCs w:val="21"/>
                      <w:highlight w:val="none"/>
                      <w:lang w:eastAsia="zh-CN"/>
                    </w:rPr>
                  </w:pPr>
                  <w:r>
                    <w:rPr>
                      <w:rFonts w:hint="eastAsia" w:cs="宋体"/>
                      <w:color w:val="auto"/>
                      <w:szCs w:val="21"/>
                      <w:highlight w:val="none"/>
                      <w:lang w:eastAsia="zh-CN"/>
                    </w:rPr>
                    <w:t>污泥斗</w:t>
                  </w:r>
                </w:p>
                <w:p w14:paraId="311DCE18">
                  <w:pPr>
                    <w:jc w:val="center"/>
                    <w:rPr>
                      <w:rFonts w:hint="eastAsia" w:eastAsia="宋体" w:cs="宋体"/>
                      <w:color w:val="auto"/>
                      <w:szCs w:val="21"/>
                      <w:highlight w:val="none"/>
                      <w:lang w:eastAsia="zh-CN"/>
                    </w:rPr>
                  </w:pPr>
                  <w:r>
                    <w:rPr>
                      <w:rFonts w:hint="eastAsia" w:cs="宋体"/>
                      <w:color w:val="auto"/>
                      <w:szCs w:val="21"/>
                      <w:highlight w:val="none"/>
                      <w:lang w:eastAsia="zh-CN"/>
                    </w:rPr>
                    <w:t>暂存</w:t>
                  </w:r>
                </w:p>
              </w:tc>
              <w:tc>
                <w:tcPr>
                  <w:tcW w:w="747" w:type="dxa"/>
                  <w:tcBorders>
                    <w:left w:val="single" w:color="auto" w:sz="4" w:space="0"/>
                    <w:right w:val="single" w:color="auto" w:sz="4" w:space="0"/>
                  </w:tcBorders>
                  <w:vAlign w:val="center"/>
                </w:tcPr>
                <w:p w14:paraId="7D6CD0D6">
                  <w:pPr>
                    <w:jc w:val="center"/>
                    <w:rPr>
                      <w:rFonts w:hint="eastAsia" w:cs="宋体"/>
                      <w:color w:val="auto"/>
                      <w:szCs w:val="21"/>
                      <w:highlight w:val="none"/>
                      <w:lang w:eastAsia="zh-CN"/>
                    </w:rPr>
                  </w:pPr>
                  <w:r>
                    <w:rPr>
                      <w:rFonts w:hint="eastAsia" w:cs="宋体"/>
                      <w:color w:val="auto"/>
                      <w:szCs w:val="21"/>
                      <w:highlight w:val="none"/>
                      <w:lang w:eastAsia="zh-CN"/>
                    </w:rPr>
                    <w:t>日产</w:t>
                  </w:r>
                </w:p>
                <w:p w14:paraId="71B93920">
                  <w:pPr>
                    <w:jc w:val="center"/>
                    <w:rPr>
                      <w:rFonts w:hint="eastAsia" w:eastAsia="宋体" w:cs="宋体"/>
                      <w:color w:val="auto"/>
                      <w:szCs w:val="21"/>
                      <w:highlight w:val="none"/>
                      <w:lang w:eastAsia="zh-CN"/>
                    </w:rPr>
                  </w:pPr>
                  <w:r>
                    <w:rPr>
                      <w:rFonts w:hint="eastAsia" w:cs="宋体"/>
                      <w:color w:val="auto"/>
                      <w:szCs w:val="21"/>
                      <w:highlight w:val="none"/>
                      <w:lang w:eastAsia="zh-CN"/>
                    </w:rPr>
                    <w:t>日清</w:t>
                  </w:r>
                </w:p>
              </w:tc>
              <w:tc>
                <w:tcPr>
                  <w:tcW w:w="1033" w:type="dxa"/>
                  <w:tcBorders>
                    <w:left w:val="single" w:color="auto" w:sz="4" w:space="0"/>
                    <w:tl2br w:val="nil"/>
                    <w:tr2bl w:val="nil"/>
                  </w:tcBorders>
                  <w:vAlign w:val="center"/>
                </w:tcPr>
                <w:p w14:paraId="437C1FEA">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钢质桶收集后置于危废间</w:t>
                  </w:r>
                </w:p>
              </w:tc>
              <w:tc>
                <w:tcPr>
                  <w:tcW w:w="1939" w:type="dxa"/>
                  <w:gridSpan w:val="2"/>
                  <w:tcBorders>
                    <w:tl2br w:val="nil"/>
                    <w:tr2bl w:val="nil"/>
                  </w:tcBorders>
                  <w:vAlign w:val="center"/>
                </w:tcPr>
                <w:p w14:paraId="2E100CEF">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含油手套及棉纱采用塑料桶收集后与废油桶一起放置在</w:t>
                  </w:r>
                  <w:r>
                    <w:rPr>
                      <w:rFonts w:hint="eastAsia" w:ascii="Times New Roman" w:hAnsi="Times New Roman" w:cs="宋体"/>
                      <w:color w:val="auto"/>
                      <w:kern w:val="2"/>
                      <w:sz w:val="21"/>
                      <w:szCs w:val="21"/>
                      <w:highlight w:val="none"/>
                      <w:lang w:eastAsia="zh-CN"/>
                    </w:rPr>
                    <w:t>危废</w:t>
                  </w:r>
                  <w:r>
                    <w:rPr>
                      <w:rFonts w:hint="eastAsia" w:ascii="Times New Roman" w:hAnsi="Times New Roman" w:cs="宋体"/>
                      <w:color w:val="auto"/>
                      <w:kern w:val="2"/>
                      <w:sz w:val="21"/>
                      <w:szCs w:val="21"/>
                      <w:highlight w:val="none"/>
                    </w:rPr>
                    <w:t>间</w:t>
                  </w:r>
                </w:p>
              </w:tc>
              <w:tc>
                <w:tcPr>
                  <w:tcW w:w="1338" w:type="dxa"/>
                  <w:tcBorders>
                    <w:tl2br w:val="nil"/>
                    <w:tr2bl w:val="nil"/>
                  </w:tcBorders>
                  <w:vAlign w:val="center"/>
                </w:tcPr>
                <w:p w14:paraId="76FC2F34">
                  <w:pPr>
                    <w:pStyle w:val="28"/>
                    <w:widowControl w:val="0"/>
                    <w:spacing w:before="0" w:beforeAutospacing="0" w:after="0" w:afterAutospacing="0"/>
                    <w:jc w:val="center"/>
                    <w:rPr>
                      <w:rFonts w:hint="eastAsia" w:ascii="Times New Roman" w:hAnsi="Times New Roman" w:cs="宋体"/>
                      <w:color w:val="auto"/>
                      <w:kern w:val="2"/>
                      <w:sz w:val="21"/>
                      <w:szCs w:val="21"/>
                      <w:highlight w:val="none"/>
                      <w:lang w:eastAsia="zh-CN"/>
                    </w:rPr>
                  </w:pPr>
                  <w:r>
                    <w:rPr>
                      <w:rFonts w:hint="eastAsia" w:ascii="Times New Roman" w:hAnsi="Times New Roman" w:cs="宋体"/>
                      <w:color w:val="auto"/>
                      <w:kern w:val="2"/>
                      <w:sz w:val="21"/>
                      <w:szCs w:val="21"/>
                      <w:highlight w:val="none"/>
                      <w:lang w:eastAsia="zh-CN"/>
                    </w:rPr>
                    <w:t>专用容器收集后暂存于</w:t>
                  </w:r>
                </w:p>
                <w:p w14:paraId="5720F3C7">
                  <w:pPr>
                    <w:pStyle w:val="28"/>
                    <w:widowControl w:val="0"/>
                    <w:spacing w:before="0" w:beforeAutospacing="0" w:after="0" w:afterAutospacing="0"/>
                    <w:jc w:val="center"/>
                    <w:rPr>
                      <w:rFonts w:hint="eastAsia" w:ascii="Times New Roman" w:hAnsi="Times New Roman" w:cs="宋体"/>
                      <w:color w:val="auto"/>
                      <w:kern w:val="2"/>
                      <w:sz w:val="21"/>
                      <w:szCs w:val="21"/>
                      <w:highlight w:val="none"/>
                      <w:lang w:eastAsia="zh-CN"/>
                    </w:rPr>
                  </w:pPr>
                  <w:r>
                    <w:rPr>
                      <w:rFonts w:hint="eastAsia" w:ascii="Times New Roman" w:hAnsi="Times New Roman" w:cs="宋体"/>
                      <w:color w:val="auto"/>
                      <w:kern w:val="2"/>
                      <w:sz w:val="21"/>
                      <w:szCs w:val="21"/>
                      <w:highlight w:val="none"/>
                    </w:rPr>
                    <w:t>危废间</w:t>
                  </w:r>
                </w:p>
              </w:tc>
            </w:tr>
            <w:tr w14:paraId="50B2F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4D22C614">
                  <w:pPr>
                    <w:pStyle w:val="28"/>
                    <w:widowControl w:val="0"/>
                    <w:spacing w:before="0" w:beforeAutospacing="0" w:after="0" w:afterAutospacing="0"/>
                    <w:jc w:val="center"/>
                    <w:rPr>
                      <w:rFonts w:ascii="Times New Roman" w:hAnsi="Times New Roman" w:cs="宋体"/>
                      <w:bCs/>
                      <w:color w:val="auto"/>
                      <w:kern w:val="21"/>
                      <w:sz w:val="21"/>
                      <w:szCs w:val="21"/>
                      <w:highlight w:val="none"/>
                    </w:rPr>
                  </w:pPr>
                  <w:r>
                    <w:rPr>
                      <w:rFonts w:hint="eastAsia" w:ascii="Times New Roman" w:hAnsi="Times New Roman" w:cs="宋体"/>
                      <w:bCs/>
                      <w:color w:val="auto"/>
                      <w:kern w:val="21"/>
                      <w:sz w:val="21"/>
                      <w:szCs w:val="21"/>
                      <w:highlight w:val="none"/>
                    </w:rPr>
                    <w:t>利用处置方式</w:t>
                  </w:r>
                </w:p>
                <w:p w14:paraId="10D80678">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bCs/>
                      <w:color w:val="auto"/>
                      <w:kern w:val="21"/>
                      <w:sz w:val="21"/>
                      <w:szCs w:val="21"/>
                      <w:highlight w:val="none"/>
                    </w:rPr>
                    <w:t>和去向</w:t>
                  </w:r>
                </w:p>
              </w:tc>
              <w:tc>
                <w:tcPr>
                  <w:tcW w:w="1261" w:type="dxa"/>
                  <w:tcBorders>
                    <w:tl2br w:val="nil"/>
                    <w:tr2bl w:val="nil"/>
                  </w:tcBorders>
                  <w:vAlign w:val="center"/>
                </w:tcPr>
                <w:p w14:paraId="209B8BBA">
                  <w:pPr>
                    <w:pStyle w:val="28"/>
                    <w:widowControl w:val="0"/>
                    <w:spacing w:before="0" w:beforeAutospacing="0" w:after="0" w:afterAutospacing="0"/>
                    <w:jc w:val="center"/>
                    <w:rPr>
                      <w:rFonts w:ascii="Times New Roman" w:hAnsi="Times New Roman"/>
                      <w:color w:val="auto"/>
                      <w:sz w:val="21"/>
                      <w:szCs w:val="21"/>
                      <w:highlight w:val="none"/>
                    </w:rPr>
                  </w:pPr>
                  <w:r>
                    <w:rPr>
                      <w:rFonts w:hint="eastAsia" w:ascii="Times New Roman" w:hAnsi="Times New Roman" w:cs="宋体"/>
                      <w:color w:val="auto"/>
                      <w:kern w:val="2"/>
                      <w:sz w:val="21"/>
                      <w:szCs w:val="21"/>
                      <w:highlight w:val="none"/>
                    </w:rPr>
                    <w:t>交环卫部门处置</w:t>
                  </w:r>
                </w:p>
              </w:tc>
              <w:tc>
                <w:tcPr>
                  <w:tcW w:w="800" w:type="dxa"/>
                  <w:tcBorders>
                    <w:right w:val="single" w:color="auto" w:sz="4" w:space="0"/>
                    <w:tl2br w:val="nil"/>
                    <w:tr2bl w:val="nil"/>
                  </w:tcBorders>
                  <w:vAlign w:val="center"/>
                </w:tcPr>
                <w:p w14:paraId="0F88DCD7">
                  <w:pPr>
                    <w:jc w:val="center"/>
                    <w:rPr>
                      <w:rFonts w:hint="eastAsia" w:eastAsia="宋体" w:cs="宋体"/>
                      <w:color w:val="auto"/>
                      <w:szCs w:val="21"/>
                      <w:highlight w:val="none"/>
                      <w:lang w:eastAsia="zh-CN"/>
                    </w:rPr>
                  </w:pPr>
                  <w:r>
                    <w:rPr>
                      <w:rFonts w:hint="eastAsia" w:cs="宋体"/>
                      <w:color w:val="auto"/>
                      <w:szCs w:val="21"/>
                      <w:highlight w:val="none"/>
                      <w:lang w:eastAsia="zh-CN"/>
                    </w:rPr>
                    <w:t>外运至砖厂处置</w:t>
                  </w:r>
                </w:p>
              </w:tc>
              <w:tc>
                <w:tcPr>
                  <w:tcW w:w="747" w:type="dxa"/>
                  <w:tcBorders>
                    <w:right w:val="single" w:color="auto" w:sz="4" w:space="0"/>
                    <w:tl2br w:val="nil"/>
                    <w:tr2bl w:val="nil"/>
                  </w:tcBorders>
                  <w:vAlign w:val="center"/>
                </w:tcPr>
                <w:p w14:paraId="1AFEFD2B">
                  <w:pPr>
                    <w:jc w:val="center"/>
                    <w:rPr>
                      <w:rFonts w:hint="eastAsia" w:cs="宋体"/>
                      <w:color w:val="auto"/>
                      <w:szCs w:val="21"/>
                      <w:highlight w:val="none"/>
                      <w:lang w:eastAsia="zh-CN"/>
                    </w:rPr>
                  </w:pPr>
                  <w:r>
                    <w:rPr>
                      <w:rFonts w:hint="eastAsia" w:cs="宋体"/>
                      <w:color w:val="auto"/>
                      <w:kern w:val="2"/>
                      <w:sz w:val="21"/>
                      <w:szCs w:val="21"/>
                      <w:highlight w:val="none"/>
                      <w:lang w:eastAsia="zh-CN"/>
                    </w:rPr>
                    <w:t>与生活垃圾一同</w:t>
                  </w:r>
                  <w:r>
                    <w:rPr>
                      <w:rFonts w:hint="eastAsia" w:ascii="Times New Roman" w:hAnsi="Times New Roman" w:cs="宋体"/>
                      <w:color w:val="auto"/>
                      <w:kern w:val="2"/>
                      <w:sz w:val="21"/>
                      <w:szCs w:val="21"/>
                      <w:highlight w:val="none"/>
                    </w:rPr>
                    <w:t>交环卫部门处置</w:t>
                  </w:r>
                </w:p>
              </w:tc>
              <w:tc>
                <w:tcPr>
                  <w:tcW w:w="4310" w:type="dxa"/>
                  <w:gridSpan w:val="4"/>
                  <w:tcBorders>
                    <w:left w:val="single" w:color="auto" w:sz="4" w:space="0"/>
                    <w:tl2br w:val="nil"/>
                    <w:tr2bl w:val="nil"/>
                  </w:tcBorders>
                  <w:vAlign w:val="center"/>
                </w:tcPr>
                <w:p w14:paraId="17C2CF0B">
                  <w:pPr>
                    <w:pStyle w:val="28"/>
                    <w:widowControl w:val="0"/>
                    <w:spacing w:before="0" w:beforeAutospacing="0" w:after="0" w:afterAutospacing="0"/>
                    <w:jc w:val="center"/>
                    <w:rPr>
                      <w:rFonts w:hint="eastAsia" w:ascii="Times New Roman" w:hAnsi="Times New Roman" w:cs="宋体"/>
                      <w:color w:val="auto"/>
                      <w:kern w:val="2"/>
                      <w:sz w:val="21"/>
                      <w:szCs w:val="21"/>
                      <w:highlight w:val="none"/>
                    </w:rPr>
                  </w:pPr>
                  <w:r>
                    <w:rPr>
                      <w:rFonts w:hint="eastAsia" w:ascii="Times New Roman" w:hAnsi="Times New Roman" w:cs="宋体"/>
                      <w:color w:val="auto"/>
                      <w:kern w:val="2"/>
                      <w:sz w:val="21"/>
                      <w:szCs w:val="21"/>
                      <w:highlight w:val="none"/>
                    </w:rPr>
                    <w:t>交由资质单位处置</w:t>
                  </w:r>
                </w:p>
              </w:tc>
            </w:tr>
            <w:tr w14:paraId="5BBD38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40" w:type="dxa"/>
                  <w:tcBorders>
                    <w:tl2br w:val="nil"/>
                    <w:tr2bl w:val="nil"/>
                  </w:tcBorders>
                  <w:vAlign w:val="center"/>
                </w:tcPr>
                <w:p w14:paraId="13FB3CE3">
                  <w:pPr>
                    <w:pStyle w:val="28"/>
                    <w:widowControl w:val="0"/>
                    <w:spacing w:before="0" w:beforeAutospacing="0" w:after="0" w:afterAutospacing="0"/>
                    <w:jc w:val="center"/>
                    <w:rPr>
                      <w:rFonts w:ascii="Times New Roman" w:hAnsi="Times New Roman"/>
                      <w:bCs/>
                      <w:color w:val="auto"/>
                      <w:kern w:val="21"/>
                      <w:sz w:val="21"/>
                      <w:szCs w:val="21"/>
                      <w:highlight w:val="none"/>
                    </w:rPr>
                  </w:pPr>
                  <w:r>
                    <w:rPr>
                      <w:rFonts w:hint="eastAsia" w:ascii="Times New Roman" w:hAnsi="Times New Roman" w:cs="宋体"/>
                      <w:bCs/>
                      <w:color w:val="auto"/>
                      <w:kern w:val="21"/>
                      <w:sz w:val="21"/>
                      <w:szCs w:val="21"/>
                      <w:highlight w:val="none"/>
                    </w:rPr>
                    <w:t>利用或处置量</w:t>
                  </w:r>
                </w:p>
              </w:tc>
              <w:tc>
                <w:tcPr>
                  <w:tcW w:w="7118" w:type="dxa"/>
                  <w:gridSpan w:val="7"/>
                  <w:tcBorders>
                    <w:tl2br w:val="nil"/>
                    <w:tr2bl w:val="nil"/>
                  </w:tcBorders>
                  <w:vAlign w:val="center"/>
                </w:tcPr>
                <w:p w14:paraId="41B77ED7">
                  <w:pPr>
                    <w:pStyle w:val="28"/>
                    <w:widowControl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100%</w:t>
                  </w:r>
                  <w:r>
                    <w:rPr>
                      <w:rFonts w:hint="eastAsia" w:ascii="Times New Roman" w:hAnsi="Times New Roman" w:cs="宋体"/>
                      <w:color w:val="auto"/>
                      <w:kern w:val="2"/>
                      <w:sz w:val="21"/>
                      <w:szCs w:val="21"/>
                      <w:highlight w:val="none"/>
                    </w:rPr>
                    <w:t>处置</w:t>
                  </w:r>
                </w:p>
              </w:tc>
            </w:tr>
          </w:tbl>
          <w:p w14:paraId="0E88763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color w:val="auto"/>
                <w:sz w:val="24"/>
                <w:szCs w:val="24"/>
                <w:highlight w:val="none"/>
              </w:rPr>
              <w:t>综上，本项目产生的各种固体废物经采取以上措施后均能达到减量化、无害化和资源化利用，处置率100%，</w:t>
            </w:r>
            <w:r>
              <w:rPr>
                <w:rFonts w:hint="eastAsia" w:cs="Times New Roman"/>
                <w:color w:val="auto"/>
                <w:sz w:val="24"/>
                <w:szCs w:val="24"/>
                <w:highlight w:val="none"/>
                <w:lang w:eastAsia="zh-CN"/>
              </w:rPr>
              <w:t>运营期间</w:t>
            </w:r>
            <w:r>
              <w:rPr>
                <w:rFonts w:hint="default" w:ascii="Times New Roman" w:hAnsi="Times New Roman" w:cs="Times New Roman"/>
                <w:color w:val="auto"/>
                <w:sz w:val="24"/>
                <w:szCs w:val="24"/>
                <w:highlight w:val="none"/>
                <w:lang w:bidi="ar"/>
              </w:rPr>
              <w:t>产生的固体废物对周围环境影响较小。</w:t>
            </w:r>
          </w:p>
          <w:p w14:paraId="67D29197">
            <w:pPr>
              <w:keepNext w:val="0"/>
              <w:keepLines w:val="0"/>
              <w:widowControl w:val="0"/>
              <w:suppressLineNumbers w:val="0"/>
              <w:adjustRightInd w:val="0"/>
              <w:snapToGrid w:val="0"/>
              <w:spacing w:before="0" w:beforeAutospacing="0" w:after="0" w:afterAutospacing="0" w:line="360" w:lineRule="auto"/>
              <w:ind w:right="0" w:firstLine="482" w:firstLineChars="200"/>
              <w:jc w:val="both"/>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五、土壤及</w:t>
            </w:r>
            <w:r>
              <w:rPr>
                <w:rFonts w:hint="default" w:ascii="Times New Roman" w:hAnsi="Times New Roman" w:cs="Times New Roman"/>
                <w:b/>
                <w:bCs/>
                <w:color w:val="auto"/>
                <w:sz w:val="24"/>
                <w:szCs w:val="24"/>
                <w:highlight w:val="none"/>
                <w:lang w:val="en-US" w:eastAsia="zh-CN"/>
              </w:rPr>
              <w:t>地下水</w:t>
            </w:r>
          </w:p>
          <w:p w14:paraId="69B3CBB1">
            <w:pPr>
              <w:snapToGrid w:val="0"/>
              <w:spacing w:line="360" w:lineRule="auto"/>
              <w:ind w:firstLine="482" w:firstLineChars="200"/>
              <w:jc w:val="left"/>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1、</w:t>
            </w:r>
            <w:r>
              <w:rPr>
                <w:rFonts w:hint="default" w:ascii="Times New Roman" w:hAnsi="Times New Roman" w:cs="Times New Roman"/>
                <w:b/>
                <w:bCs/>
                <w:color w:val="auto"/>
                <w:sz w:val="24"/>
                <w:highlight w:val="none"/>
              </w:rPr>
              <w:t>主要影响途径</w:t>
            </w:r>
          </w:p>
          <w:p w14:paraId="008C963C">
            <w:pPr>
              <w:adjustRightInd w:val="0"/>
              <w:snapToGrid w:val="0"/>
              <w:spacing w:line="360" w:lineRule="auto"/>
              <w:ind w:firstLine="480" w:firstLineChars="200"/>
              <w:rPr>
                <w:color w:val="auto"/>
                <w:sz w:val="24"/>
                <w:highlight w:val="none"/>
              </w:rPr>
            </w:pPr>
            <w:r>
              <w:rPr>
                <w:rFonts w:hint="eastAsia"/>
                <w:color w:val="auto"/>
                <w:sz w:val="24"/>
                <w:highlight w:val="none"/>
              </w:rPr>
              <w:t>主要污染源为：化粪池、</w:t>
            </w:r>
            <w:r>
              <w:rPr>
                <w:rFonts w:hint="eastAsia"/>
                <w:color w:val="auto"/>
                <w:sz w:val="24"/>
                <w:highlight w:val="none"/>
                <w:lang w:eastAsia="zh-CN"/>
              </w:rPr>
              <w:t>柴油间、污水处理设施构筑物（包含池体及管道等）</w:t>
            </w:r>
            <w:r>
              <w:rPr>
                <w:rFonts w:hint="eastAsia"/>
                <w:color w:val="auto"/>
                <w:sz w:val="24"/>
                <w:highlight w:val="none"/>
              </w:rPr>
              <w:t>以及危险废物暂存间；</w:t>
            </w:r>
          </w:p>
          <w:p w14:paraId="646C6F46">
            <w:pPr>
              <w:adjustRightInd w:val="0"/>
              <w:snapToGrid w:val="0"/>
              <w:spacing w:line="360" w:lineRule="auto"/>
              <w:ind w:firstLine="480" w:firstLineChars="200"/>
              <w:rPr>
                <w:color w:val="auto"/>
                <w:sz w:val="24"/>
                <w:highlight w:val="none"/>
              </w:rPr>
            </w:pPr>
            <w:r>
              <w:rPr>
                <w:rFonts w:hint="eastAsia"/>
                <w:color w:val="auto"/>
                <w:sz w:val="24"/>
                <w:highlight w:val="none"/>
              </w:rPr>
              <w:t>途径：污水处理设施渗漏，危废遗撒下渗，从而造成土壤和地下水污染；</w:t>
            </w:r>
          </w:p>
          <w:p w14:paraId="7A67A5DE">
            <w:pPr>
              <w:adjustRightInd w:val="0"/>
              <w:snapToGrid w:val="0"/>
              <w:spacing w:line="360" w:lineRule="auto"/>
              <w:ind w:firstLine="480" w:firstLineChars="200"/>
              <w:rPr>
                <w:color w:val="auto"/>
                <w:sz w:val="24"/>
                <w:highlight w:val="none"/>
              </w:rPr>
            </w:pPr>
            <w:r>
              <w:rPr>
                <w:rFonts w:hint="eastAsia"/>
                <w:color w:val="auto"/>
                <w:sz w:val="24"/>
                <w:highlight w:val="none"/>
              </w:rPr>
              <w:t>污染物类型：</w:t>
            </w:r>
            <w:r>
              <w:rPr>
                <w:rFonts w:hint="eastAsia"/>
                <w:color w:val="auto"/>
                <w:sz w:val="24"/>
                <w:highlight w:val="none"/>
                <w:lang w:eastAsia="zh-CN"/>
              </w:rPr>
              <w:t>各种污水处理设施的</w:t>
            </w:r>
            <w:r>
              <w:rPr>
                <w:rFonts w:hint="eastAsia"/>
                <w:color w:val="auto"/>
                <w:sz w:val="24"/>
                <w:highlight w:val="none"/>
              </w:rPr>
              <w:t>污染物主要为氨氮、COD、总磷等，</w:t>
            </w:r>
            <w:r>
              <w:rPr>
                <w:rFonts w:hint="eastAsia"/>
                <w:color w:val="auto"/>
                <w:sz w:val="24"/>
                <w:highlight w:val="none"/>
              </w:rPr>
              <w:t>危险废物污染物主要为石油类。</w:t>
            </w:r>
          </w:p>
          <w:p w14:paraId="6B8DD880">
            <w:pPr>
              <w:numPr>
                <w:ilvl w:val="0"/>
                <w:numId w:val="0"/>
              </w:numPr>
              <w:snapToGrid w:val="0"/>
              <w:spacing w:line="360" w:lineRule="auto"/>
              <w:ind w:firstLine="482" w:firstLineChars="200"/>
              <w:jc w:val="left"/>
              <w:rPr>
                <w:rFonts w:hint="eastAsia"/>
                <w:color w:val="auto"/>
                <w:sz w:val="24"/>
                <w:highlight w:val="none"/>
              </w:rPr>
            </w:pPr>
            <w:r>
              <w:rPr>
                <w:rFonts w:hint="eastAsia"/>
                <w:b/>
                <w:bCs/>
                <w:color w:val="auto"/>
                <w:sz w:val="24"/>
                <w:highlight w:val="none"/>
                <w:lang w:val="en-US" w:eastAsia="zh-CN"/>
              </w:rPr>
              <w:t>2、</w:t>
            </w:r>
            <w:r>
              <w:rPr>
                <w:rFonts w:hint="eastAsia"/>
                <w:b/>
                <w:bCs/>
                <w:color w:val="auto"/>
                <w:sz w:val="24"/>
                <w:highlight w:val="none"/>
              </w:rPr>
              <w:t>防控措施</w:t>
            </w:r>
          </w:p>
          <w:p w14:paraId="440FA44E">
            <w:pPr>
              <w:numPr>
                <w:ilvl w:val="0"/>
                <w:numId w:val="0"/>
              </w:numPr>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源头控制措施</w:t>
            </w:r>
          </w:p>
          <w:p w14:paraId="0BE9CB47">
            <w:pPr>
              <w:numPr>
                <w:ilvl w:val="0"/>
                <w:numId w:val="0"/>
              </w:numPr>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①</w:t>
            </w:r>
            <w:r>
              <w:rPr>
                <w:rFonts w:hint="eastAsia" w:cs="Times New Roman"/>
                <w:color w:val="auto"/>
                <w:sz w:val="24"/>
                <w:highlight w:val="none"/>
                <w:lang w:eastAsia="zh-CN"/>
              </w:rPr>
              <w:t>建设单位</w:t>
            </w:r>
            <w:r>
              <w:rPr>
                <w:rFonts w:hint="default" w:ascii="Times New Roman" w:hAnsi="Times New Roman" w:cs="Times New Roman"/>
                <w:color w:val="auto"/>
                <w:sz w:val="24"/>
                <w:highlight w:val="none"/>
              </w:rPr>
              <w:t>应根据国家现行相关规范加强环境管理，采取防止和降低污染物跑、冒、滴、漏的措施。正常</w:t>
            </w:r>
            <w:r>
              <w:rPr>
                <w:rFonts w:hint="eastAsia" w:cs="Times New Roman"/>
                <w:color w:val="auto"/>
                <w:sz w:val="24"/>
                <w:highlight w:val="none"/>
                <w:lang w:eastAsia="zh-CN"/>
              </w:rPr>
              <w:t>运营</w:t>
            </w:r>
            <w:r>
              <w:rPr>
                <w:rFonts w:hint="default" w:ascii="Times New Roman" w:hAnsi="Times New Roman" w:cs="Times New Roman"/>
                <w:color w:val="auto"/>
                <w:sz w:val="24"/>
                <w:highlight w:val="none"/>
              </w:rPr>
              <w:t>过程中应加强巡检</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及时处理污染物跑、冒、滴、漏，若发现防渗密封材料老化或损坏，应及时维修更换；</w:t>
            </w:r>
          </w:p>
          <w:p w14:paraId="7CC8BF1F">
            <w:pPr>
              <w:numPr>
                <w:ilvl w:val="0"/>
                <w:numId w:val="0"/>
              </w:numPr>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②</w:t>
            </w:r>
            <w:r>
              <w:rPr>
                <w:rFonts w:hint="default" w:ascii="Times New Roman" w:hAnsi="Times New Roman" w:cs="Times New Roman"/>
                <w:color w:val="auto"/>
                <w:sz w:val="24"/>
                <w:highlight w:val="none"/>
              </w:rPr>
              <w:t>对工艺、设备、污水储存及处理构筑物采取控制措施，防止污染物的跑、冒、滴、漏，将污染物泄漏的环境风险事故降到最低限度。</w:t>
            </w:r>
          </w:p>
          <w:p w14:paraId="3465E031">
            <w:pPr>
              <w:numPr>
                <w:ilvl w:val="0"/>
                <w:numId w:val="0"/>
              </w:numPr>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分区防治措施</w:t>
            </w:r>
          </w:p>
          <w:p w14:paraId="2C883348">
            <w:pPr>
              <w:numPr>
                <w:ilvl w:val="0"/>
                <w:numId w:val="0"/>
              </w:numPr>
              <w:snapToGrid w:val="0"/>
              <w:spacing w:line="360" w:lineRule="auto"/>
              <w:ind w:firstLine="480" w:firstLineChars="200"/>
              <w:jc w:val="left"/>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本项目厂区主要分为四大区域：综合管理用房区、综合设备用房区、污水处理区、污泥处理区。针对各区域建设内容，确定不同防渗要求，具体如下：</w:t>
            </w:r>
          </w:p>
          <w:p w14:paraId="369B3975">
            <w:pPr>
              <w:numPr>
                <w:ilvl w:val="0"/>
                <w:numId w:val="0"/>
              </w:numPr>
              <w:snapToGrid w:val="0"/>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①</w:t>
            </w:r>
            <w:r>
              <w:rPr>
                <w:rFonts w:hint="eastAsia" w:ascii="Times New Roman" w:hAnsi="Times New Roman" w:cs="Times New Roman"/>
                <w:color w:val="auto"/>
                <w:sz w:val="24"/>
                <w:highlight w:val="none"/>
                <w:lang w:val="en-US" w:eastAsia="zh-CN"/>
              </w:rPr>
              <w:t>简单防渗：</w:t>
            </w:r>
            <w:r>
              <w:rPr>
                <w:rFonts w:hint="eastAsia" w:cs="Times New Roman"/>
                <w:color w:val="auto"/>
                <w:sz w:val="24"/>
                <w:highlight w:val="none"/>
                <w:lang w:val="en-US" w:eastAsia="zh-CN"/>
              </w:rPr>
              <w:t>综合管理用房进行简单防渗—地面硬化即可。</w:t>
            </w:r>
          </w:p>
          <w:p w14:paraId="63026C22">
            <w:pPr>
              <w:numPr>
                <w:ilvl w:val="0"/>
                <w:numId w:val="0"/>
              </w:numPr>
              <w:snapToGrid w:val="0"/>
              <w:spacing w:line="360"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②</w:t>
            </w:r>
            <w:r>
              <w:rPr>
                <w:rFonts w:hint="default" w:ascii="Times New Roman" w:hAnsi="Times New Roman" w:cs="Times New Roman"/>
                <w:color w:val="auto"/>
                <w:sz w:val="24"/>
                <w:highlight w:val="none"/>
              </w:rPr>
              <w:t>一般防渗</w:t>
            </w:r>
            <w:r>
              <w:rPr>
                <w:rFonts w:hint="eastAsia" w:ascii="Times New Roman" w:hAnsi="Times New Roman" w:cs="Times New Roman"/>
                <w:color w:val="auto"/>
                <w:sz w:val="24"/>
                <w:highlight w:val="none"/>
                <w:lang w:eastAsia="zh-CN"/>
              </w:rPr>
              <w:t>：</w:t>
            </w:r>
            <w:r>
              <w:rPr>
                <w:rFonts w:hint="eastAsia" w:cs="Times New Roman"/>
                <w:color w:val="auto"/>
                <w:sz w:val="24"/>
                <w:highlight w:val="none"/>
                <w:lang w:val="en-US" w:eastAsia="zh-CN"/>
              </w:rPr>
              <w:t>综合设备用房中鼓风机房、配电室及加药间采取一般防渗处理，</w:t>
            </w:r>
            <w:r>
              <w:rPr>
                <w:rFonts w:hint="default" w:ascii="Times New Roman" w:hAnsi="Times New Roman" w:cs="Times New Roman"/>
                <w:color w:val="auto"/>
                <w:sz w:val="24"/>
                <w:highlight w:val="none"/>
              </w:rPr>
              <w:t>其防渗性能应达到等效粘土防渗层</w:t>
            </w:r>
            <w:r>
              <w:rPr>
                <w:rFonts w:hint="default" w:ascii="Times New Roman" w:hAnsi="Times New Roman" w:cs="Times New Roman"/>
                <w:color w:val="auto"/>
                <w:sz w:val="24"/>
                <w:highlight w:val="none"/>
                <w:lang w:val="en-US" w:eastAsia="zh-CN"/>
              </w:rPr>
              <w:t>Mb</w:t>
            </w:r>
            <w:r>
              <w:rPr>
                <w:rFonts w:hint="default" w:ascii="Times New Roman" w:hAnsi="Times New Roman" w:cs="Times New Roman"/>
                <w:color w:val="auto"/>
                <w:sz w:val="24"/>
                <w:highlight w:val="none"/>
              </w:rPr>
              <w:t>≥1.5m，K≤1×10</w:t>
            </w:r>
            <w:r>
              <w:rPr>
                <w:rFonts w:hint="default" w:ascii="Times New Roman" w:hAnsi="Times New Roman" w:cs="Times New Roman"/>
                <w:color w:val="auto"/>
                <w:sz w:val="24"/>
                <w:highlight w:val="none"/>
                <w:vertAlign w:val="superscript"/>
              </w:rPr>
              <w:t>-7</w:t>
            </w:r>
            <w:r>
              <w:rPr>
                <w:rFonts w:hint="default" w:ascii="Times New Roman" w:hAnsi="Times New Roman" w:cs="Times New Roman"/>
                <w:color w:val="auto"/>
                <w:sz w:val="24"/>
                <w:highlight w:val="none"/>
              </w:rPr>
              <w:t>cm/s。</w:t>
            </w:r>
          </w:p>
          <w:p w14:paraId="0055F657">
            <w:pPr>
              <w:numPr>
                <w:ilvl w:val="0"/>
                <w:numId w:val="0"/>
              </w:numPr>
              <w:snapToGrid w:val="0"/>
              <w:spacing w:line="360" w:lineRule="auto"/>
              <w:ind w:firstLine="480" w:firstLineChars="200"/>
              <w:jc w:val="both"/>
              <w:rPr>
                <w:rFonts w:hint="default" w:ascii="Times New Roman" w:hAnsi="Times New Roman" w:cs="Times New Roman"/>
                <w:color w:val="auto"/>
                <w:sz w:val="24"/>
                <w:highlight w:val="none"/>
              </w:rPr>
            </w:pPr>
            <w:r>
              <w:rPr>
                <w:rFonts w:hint="eastAsia" w:ascii="宋体" w:hAnsi="宋体" w:eastAsia="宋体" w:cs="宋体"/>
                <w:color w:val="auto"/>
                <w:sz w:val="24"/>
                <w:highlight w:val="none"/>
                <w:lang w:val="en-US" w:eastAsia="zh-CN"/>
              </w:rPr>
              <w:t>③</w:t>
            </w:r>
            <w:r>
              <w:rPr>
                <w:rFonts w:hint="eastAsia" w:cs="Times New Roman"/>
                <w:color w:val="auto"/>
                <w:sz w:val="24"/>
                <w:highlight w:val="none"/>
                <w:lang w:val="en-US" w:eastAsia="zh-CN"/>
              </w:rPr>
              <w:t>重点防渗：污水处理区、污泥处理区、危废暂存间、废水处理药剂存放区、柴油发电机房和除臭区全部进行重点防渗处理。其中</w:t>
            </w:r>
            <w:r>
              <w:rPr>
                <w:color w:val="auto"/>
                <w:sz w:val="24"/>
                <w:highlight w:val="none"/>
              </w:rPr>
              <w:t>危废</w:t>
            </w:r>
            <w:r>
              <w:rPr>
                <w:rFonts w:hint="eastAsia"/>
                <w:color w:val="auto"/>
                <w:sz w:val="24"/>
                <w:highlight w:val="none"/>
                <w:lang w:eastAsia="zh-CN"/>
              </w:rPr>
              <w:t>贮存库</w:t>
            </w:r>
            <w:r>
              <w:rPr>
                <w:rFonts w:hint="default" w:ascii="Times New Roman" w:hAnsi="Times New Roman" w:cs="Times New Roman"/>
                <w:color w:val="auto"/>
                <w:sz w:val="24"/>
                <w:highlight w:val="none"/>
              </w:rPr>
              <w:t>防渗要求为地面采用2mm厚高密度聚乙烯，确保渗透系数达到≤10</w:t>
            </w:r>
            <w:r>
              <w:rPr>
                <w:rFonts w:hint="default" w:ascii="Times New Roman" w:hAnsi="Times New Roman" w:cs="Times New Roman"/>
                <w:color w:val="auto"/>
                <w:sz w:val="24"/>
                <w:highlight w:val="none"/>
                <w:vertAlign w:val="superscript"/>
              </w:rPr>
              <w:t>-10</w:t>
            </w:r>
            <w:r>
              <w:rPr>
                <w:rFonts w:hint="default" w:ascii="Times New Roman" w:hAnsi="Times New Roman" w:cs="Times New Roman"/>
                <w:color w:val="auto"/>
                <w:sz w:val="24"/>
                <w:highlight w:val="none"/>
              </w:rPr>
              <w:t>cm/s的要求</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满足等效黏土防渗层Mb≥6.0m</w:t>
            </w:r>
            <w:r>
              <w:rPr>
                <w:rFonts w:hint="eastAsia" w:ascii="Times New Roman" w:hAnsi="Times New Roman" w:cs="Times New Roman"/>
                <w:color w:val="auto"/>
                <w:sz w:val="24"/>
                <w:highlight w:val="none"/>
                <w:lang w:eastAsia="zh-CN"/>
              </w:rPr>
              <w:t>；剩余区域</w:t>
            </w:r>
            <w:r>
              <w:rPr>
                <w:rFonts w:hint="default" w:ascii="Times New Roman" w:hAnsi="Times New Roman" w:cs="Times New Roman"/>
                <w:color w:val="auto"/>
                <w:sz w:val="24"/>
                <w:highlight w:val="none"/>
                <w:lang w:val="en-US" w:eastAsia="zh-CN"/>
              </w:rPr>
              <w:t>地面采用防渗混凝土+2mm厚HDPE膜，确保等效黏土防渗层Mb≥6.0m，K≤1×10</w:t>
            </w:r>
            <w:r>
              <w:rPr>
                <w:rFonts w:hint="default" w:ascii="Times New Roman" w:hAnsi="Times New Roman" w:cs="Times New Roman"/>
                <w:color w:val="auto"/>
                <w:sz w:val="24"/>
                <w:highlight w:val="none"/>
                <w:vertAlign w:val="superscript"/>
                <w:lang w:val="en-US" w:eastAsia="zh-CN"/>
              </w:rPr>
              <w:t>-7</w:t>
            </w:r>
            <w:r>
              <w:rPr>
                <w:rFonts w:hint="default" w:ascii="Times New Roman" w:hAnsi="Times New Roman" w:cs="Times New Roman"/>
                <w:color w:val="auto"/>
                <w:sz w:val="24"/>
                <w:highlight w:val="none"/>
                <w:lang w:val="en-US" w:eastAsia="zh-CN"/>
              </w:rPr>
              <w:t>cm/s。</w:t>
            </w:r>
          </w:p>
          <w:p w14:paraId="42047AB5">
            <w:pPr>
              <w:numPr>
                <w:ilvl w:val="0"/>
                <w:numId w:val="0"/>
              </w:numPr>
              <w:snapToGrid w:val="0"/>
              <w:spacing w:line="360" w:lineRule="auto"/>
              <w:ind w:firstLine="480" w:firstLineChars="200"/>
              <w:jc w:val="both"/>
              <w:rPr>
                <w:rFonts w:hint="default" w:ascii="Times New Roman" w:hAnsi="Times New Roman" w:cs="Times New Roman"/>
                <w:color w:val="auto"/>
                <w:sz w:val="24"/>
                <w:highlight w:val="none"/>
                <w:lang w:eastAsia="zh-CN"/>
              </w:rPr>
            </w:pPr>
            <w:r>
              <w:rPr>
                <w:rFonts w:hint="eastAsia" w:cs="Times New Roman"/>
                <w:color w:val="auto"/>
                <w:sz w:val="24"/>
                <w:highlight w:val="none"/>
                <w:lang w:eastAsia="zh-CN"/>
              </w:rPr>
              <w:t>此外，</w:t>
            </w:r>
            <w:r>
              <w:rPr>
                <w:rFonts w:hint="default" w:ascii="Times New Roman" w:hAnsi="Times New Roman" w:cs="Times New Roman"/>
                <w:color w:val="auto"/>
                <w:sz w:val="24"/>
                <w:highlight w:val="none"/>
              </w:rPr>
              <w:t>项目</w:t>
            </w:r>
            <w:r>
              <w:rPr>
                <w:rFonts w:hint="eastAsia" w:cs="Times New Roman"/>
                <w:color w:val="auto"/>
                <w:sz w:val="24"/>
                <w:highlight w:val="none"/>
                <w:lang w:eastAsia="zh-CN"/>
              </w:rPr>
              <w:t>运营期内</w:t>
            </w:r>
            <w:r>
              <w:rPr>
                <w:rFonts w:hint="default" w:ascii="Times New Roman" w:hAnsi="Times New Roman" w:cs="Times New Roman"/>
                <w:color w:val="auto"/>
                <w:sz w:val="24"/>
                <w:highlight w:val="none"/>
              </w:rPr>
              <w:t>应加强管理，定期对池体、</w:t>
            </w:r>
            <w:r>
              <w:rPr>
                <w:rFonts w:hint="eastAsia" w:cs="Times New Roman"/>
                <w:color w:val="auto"/>
                <w:sz w:val="24"/>
                <w:highlight w:val="none"/>
                <w:lang w:eastAsia="zh-CN"/>
              </w:rPr>
              <w:t>危废间等</w:t>
            </w:r>
            <w:r>
              <w:rPr>
                <w:rFonts w:hint="default" w:ascii="Times New Roman" w:hAnsi="Times New Roman" w:cs="Times New Roman"/>
                <w:color w:val="auto"/>
                <w:sz w:val="24"/>
                <w:highlight w:val="none"/>
              </w:rPr>
              <w:t>进行检查，杜绝发生跑、冒、滴、漏现象，避免</w:t>
            </w:r>
            <w:r>
              <w:rPr>
                <w:rFonts w:hint="eastAsia" w:cs="Times New Roman"/>
                <w:color w:val="auto"/>
                <w:sz w:val="24"/>
                <w:highlight w:val="none"/>
                <w:lang w:eastAsia="zh-CN"/>
              </w:rPr>
              <w:t>污</w:t>
            </w:r>
            <w:r>
              <w:rPr>
                <w:rFonts w:hint="default" w:ascii="Times New Roman" w:hAnsi="Times New Roman" w:cs="Times New Roman"/>
                <w:color w:val="auto"/>
                <w:sz w:val="24"/>
                <w:highlight w:val="none"/>
              </w:rPr>
              <w:t>水</w:t>
            </w:r>
            <w:r>
              <w:rPr>
                <w:rFonts w:hint="eastAsia" w:cs="Times New Roman"/>
                <w:color w:val="auto"/>
                <w:sz w:val="24"/>
                <w:highlight w:val="none"/>
                <w:lang w:eastAsia="zh-CN"/>
              </w:rPr>
              <w:t>泄漏</w:t>
            </w:r>
            <w:r>
              <w:rPr>
                <w:rFonts w:hint="default" w:ascii="Times New Roman" w:hAnsi="Times New Roman" w:cs="Times New Roman"/>
                <w:color w:val="auto"/>
                <w:sz w:val="24"/>
                <w:highlight w:val="none"/>
              </w:rPr>
              <w:t>导致</w:t>
            </w:r>
            <w:r>
              <w:rPr>
                <w:rFonts w:hint="eastAsia" w:cs="Times New Roman"/>
                <w:color w:val="auto"/>
                <w:sz w:val="24"/>
                <w:highlight w:val="none"/>
                <w:lang w:eastAsia="zh-CN"/>
              </w:rPr>
              <w:t>土壤及</w:t>
            </w:r>
            <w:r>
              <w:rPr>
                <w:rFonts w:hint="default" w:ascii="Times New Roman" w:hAnsi="Times New Roman" w:cs="Times New Roman"/>
                <w:color w:val="auto"/>
                <w:sz w:val="24"/>
                <w:highlight w:val="none"/>
              </w:rPr>
              <w:t>地下水污染</w:t>
            </w:r>
            <w:r>
              <w:rPr>
                <w:rFonts w:hint="default" w:ascii="Times New Roman" w:hAnsi="Times New Roman" w:cs="Times New Roman"/>
                <w:color w:val="auto"/>
                <w:sz w:val="24"/>
                <w:highlight w:val="none"/>
                <w:lang w:eastAsia="zh-CN"/>
              </w:rPr>
              <w:t>。</w:t>
            </w:r>
          </w:p>
          <w:p w14:paraId="1FF5C798">
            <w:pPr>
              <w:numPr>
                <w:ilvl w:val="0"/>
                <w:numId w:val="0"/>
              </w:numPr>
              <w:snapToGrid w:val="0"/>
              <w:spacing w:line="360"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综上，在采取上述防渗</w:t>
            </w:r>
            <w:r>
              <w:rPr>
                <w:rFonts w:hint="eastAsia" w:cs="Times New Roman"/>
                <w:color w:val="auto"/>
                <w:sz w:val="24"/>
                <w:highlight w:val="none"/>
                <w:lang w:eastAsia="zh-CN"/>
              </w:rPr>
              <w:t>措施及要求</w:t>
            </w:r>
            <w:r>
              <w:rPr>
                <w:rFonts w:hint="default" w:ascii="Times New Roman" w:hAnsi="Times New Roman" w:cs="Times New Roman"/>
                <w:color w:val="auto"/>
                <w:sz w:val="24"/>
                <w:highlight w:val="none"/>
              </w:rPr>
              <w:t>后，</w:t>
            </w:r>
            <w:r>
              <w:rPr>
                <w:rFonts w:hint="eastAsia" w:cs="Times New Roman"/>
                <w:color w:val="auto"/>
                <w:sz w:val="24"/>
                <w:highlight w:val="none"/>
                <w:lang w:eastAsia="zh-CN"/>
              </w:rPr>
              <w:t>运营期</w:t>
            </w:r>
            <w:r>
              <w:rPr>
                <w:rFonts w:hint="default" w:ascii="Times New Roman" w:hAnsi="Times New Roman" w:cs="Times New Roman"/>
                <w:color w:val="auto"/>
                <w:sz w:val="24"/>
                <w:highlight w:val="none"/>
              </w:rPr>
              <w:t>对地下水和土壤环境基本不会造成影响。</w:t>
            </w:r>
          </w:p>
          <w:p w14:paraId="1D2873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六、</w:t>
            </w:r>
            <w:r>
              <w:rPr>
                <w:rFonts w:hint="default" w:ascii="Times New Roman" w:hAnsi="Times New Roman" w:cs="Times New Roman"/>
                <w:b/>
                <w:bCs/>
                <w:color w:val="auto"/>
                <w:sz w:val="24"/>
                <w:szCs w:val="24"/>
                <w:highlight w:val="none"/>
                <w:lang w:val="en-US" w:eastAsia="zh-CN"/>
              </w:rPr>
              <w:t>环境风险</w:t>
            </w:r>
          </w:p>
          <w:p w14:paraId="4B98F491">
            <w:pPr>
              <w:snapToGrid w:val="0"/>
              <w:spacing w:line="372" w:lineRule="auto"/>
              <w:ind w:firstLine="480" w:firstLineChars="200"/>
              <w:jc w:val="both"/>
              <w:rPr>
                <w:rFonts w:hint="default" w:ascii="Times New Roman" w:hAnsi="Times New Roman" w:cs="Times New Roman"/>
                <w:color w:val="auto"/>
                <w:sz w:val="24"/>
                <w:highlight w:val="none"/>
              </w:rPr>
            </w:pPr>
            <w:r>
              <w:rPr>
                <w:rFonts w:hint="eastAsia" w:cs="Times New Roman"/>
                <w:color w:val="auto"/>
                <w:sz w:val="24"/>
                <w:highlight w:val="none"/>
                <w:lang w:val="en-US" w:eastAsia="zh-CN"/>
              </w:rPr>
              <w:t>1、环境风险物质及场所</w:t>
            </w:r>
          </w:p>
          <w:p w14:paraId="7E9BE37E">
            <w:pPr>
              <w:keepNext w:val="0"/>
              <w:keepLines w:val="0"/>
              <w:suppressLineNumbers w:val="0"/>
              <w:snapToGrid w:val="0"/>
              <w:spacing w:before="0" w:beforeAutospacing="0" w:after="0" w:afterAutospacing="0" w:line="360" w:lineRule="auto"/>
              <w:ind w:left="0" w:right="0" w:firstLine="480" w:firstLineChars="200"/>
              <w:rPr>
                <w:rFonts w:hint="eastAsia" w:cs="Times New Roman"/>
                <w:color w:val="auto"/>
                <w:sz w:val="24"/>
                <w:highlight w:val="none"/>
                <w:lang w:eastAsia="zh-CN"/>
              </w:rPr>
            </w:pPr>
            <w:r>
              <w:rPr>
                <w:rFonts w:hint="eastAsia" w:ascii="宋体" w:hAnsi="宋体" w:eastAsia="宋体" w:cs="宋体"/>
                <w:color w:val="auto"/>
                <w:sz w:val="24"/>
                <w:highlight w:val="none"/>
              </w:rPr>
              <w:t>①</w:t>
            </w:r>
            <w:r>
              <w:rPr>
                <w:rFonts w:hint="eastAsia" w:eastAsia="宋体" w:cs="Times New Roman"/>
                <w:color w:val="auto"/>
                <w:sz w:val="24"/>
                <w:highlight w:val="none"/>
                <w:lang w:eastAsia="zh-CN"/>
              </w:rPr>
              <w:t>风险物质识别及</w:t>
            </w:r>
            <w:r>
              <w:rPr>
                <w:rFonts w:hint="default" w:ascii="Times New Roman" w:hAnsi="Times New Roman" w:cs="Times New Roman"/>
                <w:color w:val="auto"/>
                <w:sz w:val="24"/>
                <w:highlight w:val="none"/>
              </w:rPr>
              <w:t>风险潜势</w:t>
            </w:r>
            <w:r>
              <w:rPr>
                <w:rFonts w:hint="eastAsia" w:cs="Times New Roman"/>
                <w:color w:val="auto"/>
                <w:sz w:val="24"/>
                <w:highlight w:val="none"/>
                <w:lang w:eastAsia="zh-CN"/>
              </w:rPr>
              <w:t>判定</w:t>
            </w:r>
          </w:p>
          <w:p w14:paraId="22F467FB">
            <w:pPr>
              <w:keepNext w:val="0"/>
              <w:keepLines w:val="0"/>
              <w:suppressLineNumbers w:val="0"/>
              <w:snapToGrid w:val="0"/>
              <w:spacing w:before="0" w:beforeAutospacing="0" w:after="0" w:afterAutospacing="0" w:line="360" w:lineRule="auto"/>
              <w:ind w:left="0" w:right="0" w:firstLine="480" w:firstLineChars="200"/>
              <w:rPr>
                <w:rStyle w:val="103"/>
                <w:rFonts w:hint="eastAsia" w:ascii="Times New Roman" w:hAnsi="Times New Roman" w:eastAsia="宋体" w:cs="Times New Roman"/>
                <w:color w:val="auto"/>
                <w:sz w:val="24"/>
                <w:highlight w:val="none"/>
                <w:lang w:val="zh-TW" w:eastAsia="zh-CN"/>
              </w:rPr>
            </w:pPr>
            <w:r>
              <w:rPr>
                <w:rFonts w:hint="default" w:ascii="Times New Roman" w:hAnsi="Times New Roman" w:cs="Times New Roman"/>
                <w:color w:val="auto"/>
                <w:sz w:val="24"/>
                <w:highlight w:val="none"/>
              </w:rPr>
              <w:t>根据《建设项目环境风险评价技术导则》</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HJ169</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2018</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本项目运营期使用的</w:t>
            </w:r>
            <w:r>
              <w:rPr>
                <w:rFonts w:hint="default" w:ascii="Times New Roman" w:hAnsi="Times New Roman" w:cs="Times New Roman"/>
                <w:color w:val="auto"/>
                <w:sz w:val="24"/>
                <w:highlight w:val="none"/>
                <w:lang w:eastAsia="zh-CN"/>
              </w:rPr>
              <w:t>次</w:t>
            </w:r>
            <w:r>
              <w:rPr>
                <w:rFonts w:hint="default" w:ascii="Times New Roman" w:hAnsi="Times New Roman" w:cs="Times New Roman"/>
                <w:color w:val="auto"/>
                <w:sz w:val="24"/>
                <w:highlight w:val="none"/>
              </w:rPr>
              <w:t>氯酸钠</w:t>
            </w:r>
            <w:r>
              <w:rPr>
                <w:rFonts w:hint="eastAsia" w:cs="Times New Roman"/>
                <w:color w:val="auto"/>
                <w:sz w:val="24"/>
                <w:highlight w:val="none"/>
                <w:lang w:eastAsia="zh-CN"/>
              </w:rPr>
              <w:t>、柴油以及产生的废润滑油均</w:t>
            </w:r>
            <w:r>
              <w:rPr>
                <w:rFonts w:hint="default" w:ascii="Times New Roman" w:hAnsi="Times New Roman" w:cs="Times New Roman"/>
                <w:color w:val="auto"/>
                <w:sz w:val="24"/>
                <w:highlight w:val="none"/>
              </w:rPr>
              <w:t>为附录表B.1中所列突发环境事件风险物质，根据附录C.1计算本项目物质总量与其临界量比值（Q）</w:t>
            </w:r>
            <w:r>
              <w:rPr>
                <w:rFonts w:hint="eastAsia" w:cs="Times New Roman"/>
                <w:color w:val="auto"/>
                <w:sz w:val="24"/>
                <w:highlight w:val="none"/>
                <w:lang w:eastAsia="zh-CN"/>
              </w:rPr>
              <w:t>。</w:t>
            </w:r>
          </w:p>
          <w:p w14:paraId="048405A2">
            <w:pPr>
              <w:pStyle w:val="104"/>
              <w:shd w:val="clear" w:color="auto" w:fill="auto"/>
              <w:snapToGrid w:val="0"/>
              <w:spacing w:before="156" w:beforeLines="50" w:line="360" w:lineRule="auto"/>
              <w:ind w:firstLine="480" w:firstLineChars="200"/>
              <w:rPr>
                <w:rStyle w:val="103"/>
                <w:rFonts w:hint="default" w:ascii="Times New Roman" w:hAnsi="Times New Roman" w:cs="Times New Roman"/>
                <w:color w:val="auto"/>
                <w:sz w:val="24"/>
                <w:highlight w:val="none"/>
                <w:lang w:val="zh-TW" w:eastAsia="zh-TW"/>
              </w:rPr>
            </w:pPr>
            <w:r>
              <w:rPr>
                <w:rStyle w:val="103"/>
                <w:rFonts w:hint="default" w:ascii="Times New Roman" w:hAnsi="Times New Roman" w:cs="Times New Roman"/>
                <w:color w:val="auto"/>
                <w:sz w:val="24"/>
                <w:highlight w:val="none"/>
                <w:lang w:eastAsia="zh-TW"/>
              </w:rPr>
              <w:t>Q=q</w:t>
            </w:r>
            <w:r>
              <w:rPr>
                <w:rStyle w:val="103"/>
                <w:rFonts w:hint="default" w:ascii="Times New Roman" w:hAnsi="Times New Roman" w:cs="Times New Roman"/>
                <w:color w:val="auto"/>
                <w:sz w:val="24"/>
                <w:highlight w:val="none"/>
                <w:vertAlign w:val="subscript"/>
                <w:lang w:eastAsia="zh-TW"/>
              </w:rPr>
              <w:t>1</w:t>
            </w:r>
            <w:r>
              <w:rPr>
                <w:rStyle w:val="103"/>
                <w:rFonts w:hint="default" w:ascii="Times New Roman" w:hAnsi="Times New Roman" w:cs="Times New Roman"/>
                <w:color w:val="auto"/>
                <w:sz w:val="24"/>
                <w:highlight w:val="none"/>
                <w:lang w:eastAsia="zh-TW"/>
              </w:rPr>
              <w:t>/Q</w:t>
            </w:r>
            <w:r>
              <w:rPr>
                <w:rStyle w:val="103"/>
                <w:rFonts w:hint="default" w:ascii="Times New Roman" w:hAnsi="Times New Roman" w:cs="Times New Roman"/>
                <w:color w:val="auto"/>
                <w:sz w:val="24"/>
                <w:highlight w:val="none"/>
                <w:vertAlign w:val="subscript"/>
                <w:lang w:eastAsia="zh-TW"/>
              </w:rPr>
              <w:t>1</w:t>
            </w:r>
            <w:r>
              <w:rPr>
                <w:rStyle w:val="103"/>
                <w:rFonts w:hint="default" w:ascii="Times New Roman" w:hAnsi="Times New Roman" w:cs="Times New Roman"/>
                <w:color w:val="auto"/>
                <w:sz w:val="24"/>
                <w:highlight w:val="none"/>
                <w:lang w:eastAsia="zh-TW"/>
              </w:rPr>
              <w:t>+q</w:t>
            </w:r>
            <w:r>
              <w:rPr>
                <w:rStyle w:val="103"/>
                <w:rFonts w:hint="default" w:ascii="Times New Roman" w:hAnsi="Times New Roman" w:cs="Times New Roman"/>
                <w:color w:val="auto"/>
                <w:sz w:val="24"/>
                <w:highlight w:val="none"/>
                <w:vertAlign w:val="subscript"/>
                <w:lang w:eastAsia="zh-TW"/>
              </w:rPr>
              <w:t>2</w:t>
            </w:r>
            <w:r>
              <w:rPr>
                <w:rStyle w:val="103"/>
                <w:rFonts w:hint="default" w:ascii="Times New Roman" w:hAnsi="Times New Roman" w:cs="Times New Roman"/>
                <w:color w:val="auto"/>
                <w:sz w:val="24"/>
                <w:highlight w:val="none"/>
                <w:lang w:eastAsia="zh-TW"/>
              </w:rPr>
              <w:t>/Q</w:t>
            </w:r>
            <w:r>
              <w:rPr>
                <w:rStyle w:val="103"/>
                <w:rFonts w:hint="default" w:ascii="Times New Roman" w:hAnsi="Times New Roman" w:cs="Times New Roman"/>
                <w:color w:val="auto"/>
                <w:sz w:val="24"/>
                <w:highlight w:val="none"/>
                <w:vertAlign w:val="subscript"/>
                <w:lang w:eastAsia="zh-TW"/>
              </w:rPr>
              <w:t>2</w:t>
            </w:r>
            <w:r>
              <w:rPr>
                <w:rStyle w:val="103"/>
                <w:rFonts w:hint="default" w:ascii="Times New Roman" w:hAnsi="Times New Roman" w:cs="Times New Roman"/>
                <w:color w:val="auto"/>
                <w:sz w:val="24"/>
                <w:highlight w:val="none"/>
                <w:lang w:eastAsia="zh-TW"/>
              </w:rPr>
              <w:t>+</w:t>
            </w:r>
            <w:r>
              <w:rPr>
                <w:rFonts w:hint="default" w:ascii="Times New Roman" w:hAnsi="Times New Roman" w:cs="Times New Roman"/>
                <w:color w:val="auto"/>
                <w:sz w:val="24"/>
                <w:highlight w:val="none"/>
                <w:vertAlign w:val="superscript"/>
                <w:lang w:eastAsia="zh-TW"/>
              </w:rPr>
              <w:t>……</w:t>
            </w:r>
            <w:r>
              <w:rPr>
                <w:rFonts w:hint="default" w:ascii="Times New Roman" w:hAnsi="Times New Roman" w:cs="Times New Roman"/>
                <w:color w:val="auto"/>
                <w:sz w:val="24"/>
                <w:highlight w:val="none"/>
                <w:lang w:eastAsia="zh-TW"/>
              </w:rPr>
              <w:t>+</w:t>
            </w:r>
            <w:r>
              <w:rPr>
                <w:rStyle w:val="103"/>
                <w:rFonts w:hint="default" w:ascii="Times New Roman" w:hAnsi="Times New Roman" w:cs="Times New Roman"/>
                <w:color w:val="auto"/>
                <w:sz w:val="24"/>
                <w:highlight w:val="none"/>
                <w:lang w:eastAsia="zh-TW"/>
              </w:rPr>
              <w:t>q</w:t>
            </w:r>
            <w:r>
              <w:rPr>
                <w:rStyle w:val="103"/>
                <w:rFonts w:hint="default" w:ascii="Times New Roman" w:hAnsi="Times New Roman" w:cs="Times New Roman"/>
                <w:color w:val="auto"/>
                <w:sz w:val="24"/>
                <w:highlight w:val="none"/>
                <w:vertAlign w:val="subscript"/>
                <w:lang w:eastAsia="zh-TW"/>
              </w:rPr>
              <w:t>n</w:t>
            </w:r>
            <w:r>
              <w:rPr>
                <w:rStyle w:val="103"/>
                <w:rFonts w:hint="default" w:ascii="Times New Roman" w:hAnsi="Times New Roman" w:cs="Times New Roman"/>
                <w:color w:val="auto"/>
                <w:sz w:val="24"/>
                <w:highlight w:val="none"/>
                <w:lang w:eastAsia="zh-TW"/>
              </w:rPr>
              <w:t>/Q</w:t>
            </w:r>
            <w:r>
              <w:rPr>
                <w:rStyle w:val="103"/>
                <w:rFonts w:hint="default" w:ascii="Times New Roman" w:hAnsi="Times New Roman" w:cs="Times New Roman"/>
                <w:color w:val="auto"/>
                <w:sz w:val="24"/>
                <w:highlight w:val="none"/>
                <w:vertAlign w:val="subscript"/>
                <w:lang w:eastAsia="zh-TW"/>
              </w:rPr>
              <w:t>n</w:t>
            </w:r>
          </w:p>
          <w:p w14:paraId="578A003A">
            <w:pPr>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式中，q</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、……qn为每种危险物质的最大存在总量，t；</w:t>
            </w:r>
          </w:p>
          <w:p w14:paraId="79A85BDF">
            <w:pPr>
              <w:snapToGrid w:val="0"/>
              <w:spacing w:line="360" w:lineRule="auto"/>
              <w:ind w:firstLine="1200" w:firstLineChars="500"/>
              <w:jc w:val="left"/>
              <w:rPr>
                <w:rFonts w:hint="default" w:ascii="Times New Roman" w:hAnsi="Times New Roman" w:cs="Times New Roman"/>
                <w:b/>
                <w:bCs/>
                <w:color w:val="auto"/>
                <w:szCs w:val="21"/>
                <w:highlight w:val="none"/>
                <w:lang w:val="zh-TW" w:eastAsia="zh-TW"/>
              </w:rPr>
            </w:pP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lang w:val="en-US" w:eastAsia="zh-CN"/>
              </w:rPr>
              <w:t>n</w:t>
            </w:r>
            <w:r>
              <w:rPr>
                <w:rFonts w:hint="default" w:ascii="Times New Roman" w:hAnsi="Times New Roman" w:cs="Times New Roman"/>
                <w:color w:val="auto"/>
                <w:sz w:val="24"/>
                <w:highlight w:val="none"/>
              </w:rPr>
              <w:t>为每种危险物质的临界量，t。</w:t>
            </w:r>
          </w:p>
          <w:p w14:paraId="7FED2925">
            <w:pPr>
              <w:jc w:val="center"/>
              <w:rPr>
                <w:rFonts w:hint="default" w:ascii="Times New Roman" w:hAnsi="Times New Roman" w:cs="Times New Roman"/>
                <w:b/>
                <w:bCs/>
                <w:color w:val="auto"/>
                <w:szCs w:val="21"/>
                <w:highlight w:val="none"/>
                <w:lang w:val="zh-TW"/>
              </w:rPr>
            </w:pPr>
            <w:r>
              <w:rPr>
                <w:rFonts w:hint="default" w:ascii="Times New Roman" w:hAnsi="Times New Roman" w:cs="Times New Roman"/>
                <w:b/>
                <w:bCs/>
                <w:color w:val="auto"/>
                <w:szCs w:val="21"/>
                <w:highlight w:val="none"/>
                <w:lang w:val="zh-TW" w:eastAsia="zh-TW"/>
              </w:rPr>
              <w:t>表</w:t>
            </w:r>
            <w:r>
              <w:rPr>
                <w:rFonts w:hint="default" w:ascii="Times New Roman" w:hAnsi="Times New Roman" w:cs="Times New Roman"/>
                <w:b/>
                <w:bCs/>
                <w:color w:val="auto"/>
                <w:szCs w:val="21"/>
                <w:highlight w:val="none"/>
                <w:lang w:val="en-US" w:eastAsia="zh-CN"/>
              </w:rPr>
              <w:t>4-</w:t>
            </w:r>
            <w:r>
              <w:rPr>
                <w:rFonts w:hint="eastAsia" w:cs="Times New Roman"/>
                <w:b/>
                <w:bCs/>
                <w:color w:val="auto"/>
                <w:szCs w:val="21"/>
                <w:highlight w:val="none"/>
                <w:lang w:val="en-US" w:eastAsia="zh-CN"/>
              </w:rPr>
              <w:t>13</w:t>
            </w:r>
            <w:r>
              <w:rPr>
                <w:rFonts w:hint="default" w:ascii="Times New Roman" w:hAnsi="Times New Roman" w:cs="Times New Roman"/>
                <w:b/>
                <w:bCs/>
                <w:color w:val="auto"/>
                <w:szCs w:val="21"/>
                <w:highlight w:val="none"/>
                <w:lang w:val="en-US" w:eastAsia="zh-CN"/>
              </w:rPr>
              <w:t xml:space="preserve"> </w:t>
            </w:r>
            <w:r>
              <w:rPr>
                <w:rFonts w:hint="default" w:ascii="Times New Roman" w:hAnsi="Times New Roman" w:cs="Times New Roman"/>
                <w:b/>
                <w:bCs/>
                <w:color w:val="auto"/>
                <w:szCs w:val="21"/>
                <w:highlight w:val="none"/>
                <w:lang w:val="zh-TW"/>
              </w:rPr>
              <w:t xml:space="preserve"> 本项目风险</w:t>
            </w:r>
            <w:r>
              <w:rPr>
                <w:rFonts w:hint="default" w:ascii="Times New Roman" w:hAnsi="Times New Roman" w:cs="Times New Roman"/>
                <w:b/>
                <w:bCs/>
                <w:color w:val="auto"/>
                <w:szCs w:val="21"/>
                <w:highlight w:val="none"/>
              </w:rPr>
              <w:t>潜势</w:t>
            </w:r>
            <w:r>
              <w:rPr>
                <w:rFonts w:hint="default" w:ascii="Times New Roman" w:hAnsi="Times New Roman" w:cs="Times New Roman"/>
                <w:b/>
                <w:bCs/>
                <w:color w:val="auto"/>
                <w:szCs w:val="21"/>
                <w:highlight w:val="none"/>
                <w:lang w:val="zh-TW"/>
              </w:rPr>
              <w:t>判定结果</w:t>
            </w:r>
            <w:r>
              <w:rPr>
                <w:rFonts w:hint="default" w:ascii="Times New Roman" w:hAnsi="Times New Roman" w:cs="Times New Roman"/>
                <w:b/>
                <w:bCs/>
                <w:color w:val="auto"/>
                <w:szCs w:val="21"/>
                <w:highlight w:val="none"/>
                <w:lang w:val="zh-TW" w:eastAsia="zh-TW"/>
              </w:rPr>
              <w:t>一览表</w:t>
            </w:r>
          </w:p>
          <w:tbl>
            <w:tblPr>
              <w:tblStyle w:val="31"/>
              <w:tblW w:w="79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02"/>
              <w:gridCol w:w="1773"/>
              <w:gridCol w:w="1857"/>
              <w:gridCol w:w="2091"/>
              <w:gridCol w:w="1374"/>
            </w:tblGrid>
            <w:tr w14:paraId="209055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2" w:type="dxa"/>
                  <w:tcBorders>
                    <w:tl2br w:val="nil"/>
                    <w:tr2bl w:val="nil"/>
                  </w:tcBorders>
                  <w:noWrap w:val="0"/>
                  <w:vAlign w:val="center"/>
                </w:tcPr>
                <w:p w14:paraId="5B1DEA9E">
                  <w:pPr>
                    <w:widowControl/>
                    <w:snapToGrid w:val="0"/>
                    <w:spacing w:before="31" w:beforeLines="10" w:after="31" w:afterLines="1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zh-TW" w:eastAsia="zh-TW"/>
                    </w:rPr>
                    <w:t>序号</w:t>
                  </w:r>
                </w:p>
              </w:tc>
              <w:tc>
                <w:tcPr>
                  <w:tcW w:w="1773" w:type="dxa"/>
                  <w:tcBorders>
                    <w:tl2br w:val="nil"/>
                    <w:tr2bl w:val="nil"/>
                  </w:tcBorders>
                  <w:noWrap w:val="0"/>
                  <w:vAlign w:val="center"/>
                </w:tcPr>
                <w:p w14:paraId="2F6638FB">
                  <w:pPr>
                    <w:widowControl/>
                    <w:snapToGrid w:val="0"/>
                    <w:spacing w:before="31" w:beforeLines="10" w:after="31" w:afterLines="1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zh-TW" w:eastAsia="zh-TW"/>
                    </w:rPr>
                    <w:t>物质名称</w:t>
                  </w:r>
                </w:p>
              </w:tc>
              <w:tc>
                <w:tcPr>
                  <w:tcW w:w="1857" w:type="dxa"/>
                  <w:tcBorders>
                    <w:tl2br w:val="nil"/>
                    <w:tr2bl w:val="nil"/>
                  </w:tcBorders>
                  <w:noWrap w:val="0"/>
                  <w:vAlign w:val="center"/>
                </w:tcPr>
                <w:p w14:paraId="5A73EE8D">
                  <w:pPr>
                    <w:widowControl/>
                    <w:snapToGrid w:val="0"/>
                    <w:spacing w:before="31" w:beforeLines="10" w:after="31" w:afterLines="1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zh-TW" w:eastAsia="zh-TW"/>
                    </w:rPr>
                    <w:t>标准临界量</w:t>
                  </w:r>
                  <w:r>
                    <w:rPr>
                      <w:rFonts w:hint="default" w:ascii="Times New Roman" w:hAnsi="Times New Roman" w:cs="Times New Roman"/>
                      <w:color w:val="auto"/>
                      <w:szCs w:val="21"/>
                      <w:highlight w:val="none"/>
                    </w:rPr>
                    <w:t>/t</w:t>
                  </w:r>
                </w:p>
              </w:tc>
              <w:tc>
                <w:tcPr>
                  <w:tcW w:w="2091" w:type="dxa"/>
                  <w:tcBorders>
                    <w:tl2br w:val="nil"/>
                    <w:tr2bl w:val="nil"/>
                  </w:tcBorders>
                  <w:noWrap w:val="0"/>
                  <w:vAlign w:val="center"/>
                </w:tcPr>
                <w:p w14:paraId="6270A3F7">
                  <w:pPr>
                    <w:widowControl/>
                    <w:snapToGrid w:val="0"/>
                    <w:spacing w:before="31" w:beforeLines="10" w:after="31" w:afterLines="1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最大存在总量/t</w:t>
                  </w:r>
                </w:p>
              </w:tc>
              <w:tc>
                <w:tcPr>
                  <w:tcW w:w="1374" w:type="dxa"/>
                  <w:tcBorders>
                    <w:tl2br w:val="nil"/>
                    <w:tr2bl w:val="nil"/>
                  </w:tcBorders>
                  <w:noWrap w:val="0"/>
                  <w:vAlign w:val="center"/>
                </w:tcPr>
                <w:p w14:paraId="3A1CA9AC">
                  <w:pPr>
                    <w:widowControl/>
                    <w:snapToGrid w:val="0"/>
                    <w:spacing w:before="31" w:beforeLines="10" w:after="31" w:afterLines="1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Q</w:t>
                  </w:r>
                </w:p>
              </w:tc>
            </w:tr>
            <w:tr w14:paraId="08EDF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2" w:type="dxa"/>
                  <w:tcBorders>
                    <w:tl2br w:val="nil"/>
                    <w:tr2bl w:val="nil"/>
                  </w:tcBorders>
                  <w:noWrap w:val="0"/>
                  <w:vAlign w:val="center"/>
                </w:tcPr>
                <w:p w14:paraId="455277BD">
                  <w:pPr>
                    <w:widowControl/>
                    <w:snapToGrid w:val="0"/>
                    <w:spacing w:before="31" w:beforeLines="10" w:after="31" w:afterLines="10"/>
                    <w:jc w:val="center"/>
                    <w:rPr>
                      <w:rFonts w:hint="default" w:ascii="Times New Roman" w:hAnsi="Times New Roman" w:eastAsia="宋体" w:cs="Times New Roman"/>
                      <w:color w:val="auto"/>
                      <w:szCs w:val="21"/>
                      <w:highlight w:val="none"/>
                      <w:lang w:val="zh-TW" w:eastAsia="zh-TW"/>
                    </w:rPr>
                  </w:pPr>
                  <w:r>
                    <w:rPr>
                      <w:rFonts w:hint="default" w:ascii="Times New Roman" w:hAnsi="Times New Roman" w:eastAsia="宋体" w:cs="Times New Roman"/>
                      <w:color w:val="auto"/>
                      <w:szCs w:val="21"/>
                      <w:highlight w:val="none"/>
                      <w:lang w:val="zh-TW" w:eastAsia="zh-TW"/>
                    </w:rPr>
                    <w:t>1</w:t>
                  </w:r>
                </w:p>
              </w:tc>
              <w:tc>
                <w:tcPr>
                  <w:tcW w:w="1773" w:type="dxa"/>
                  <w:tcBorders>
                    <w:tl2br w:val="nil"/>
                    <w:tr2bl w:val="nil"/>
                  </w:tcBorders>
                  <w:noWrap w:val="0"/>
                  <w:vAlign w:val="center"/>
                </w:tcPr>
                <w:p w14:paraId="1C062665">
                  <w:pPr>
                    <w:widowControl/>
                    <w:snapToGrid w:val="0"/>
                    <w:spacing w:before="31" w:beforeLines="10" w:after="31" w:afterLines="10"/>
                    <w:jc w:val="center"/>
                    <w:rPr>
                      <w:rFonts w:hint="default" w:ascii="Times New Roman" w:hAnsi="Times New Roman" w:eastAsia="宋体" w:cs="Times New Roman"/>
                      <w:color w:val="auto"/>
                      <w:szCs w:val="21"/>
                      <w:highlight w:val="none"/>
                      <w:lang w:val="zh-TW" w:eastAsia="zh-CN"/>
                    </w:rPr>
                  </w:pPr>
                  <w:r>
                    <w:rPr>
                      <w:rFonts w:hint="default" w:ascii="Times New Roman" w:hAnsi="Times New Roman" w:eastAsia="宋体" w:cs="Times New Roman"/>
                      <w:color w:val="auto"/>
                      <w:szCs w:val="21"/>
                      <w:highlight w:val="none"/>
                      <w:lang w:val="zh-TW" w:eastAsia="zh-CN"/>
                    </w:rPr>
                    <w:t>次</w:t>
                  </w:r>
                  <w:r>
                    <w:rPr>
                      <w:rFonts w:hint="default" w:ascii="Times New Roman" w:hAnsi="Times New Roman" w:eastAsia="宋体" w:cs="Times New Roman"/>
                      <w:color w:val="auto"/>
                      <w:szCs w:val="21"/>
                      <w:highlight w:val="none"/>
                      <w:lang w:val="zh-TW" w:eastAsia="zh-TW"/>
                    </w:rPr>
                    <w:t>氯酸钠</w:t>
                  </w:r>
                </w:p>
              </w:tc>
              <w:tc>
                <w:tcPr>
                  <w:tcW w:w="1857" w:type="dxa"/>
                  <w:tcBorders>
                    <w:tl2br w:val="nil"/>
                    <w:tr2bl w:val="nil"/>
                  </w:tcBorders>
                  <w:noWrap w:val="0"/>
                  <w:vAlign w:val="center"/>
                </w:tcPr>
                <w:p w14:paraId="5B1D41B5">
                  <w:pPr>
                    <w:widowControl/>
                    <w:snapToGrid w:val="0"/>
                    <w:spacing w:before="31" w:beforeLines="10" w:after="31" w:afterLines="1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5</w:t>
                  </w:r>
                </w:p>
              </w:tc>
              <w:tc>
                <w:tcPr>
                  <w:tcW w:w="2091" w:type="dxa"/>
                  <w:tcBorders>
                    <w:tl2br w:val="nil"/>
                    <w:tr2bl w:val="nil"/>
                  </w:tcBorders>
                  <w:noWrap w:val="0"/>
                  <w:vAlign w:val="center"/>
                </w:tcPr>
                <w:p w14:paraId="00AD124C">
                  <w:pPr>
                    <w:widowControl/>
                    <w:snapToGrid w:val="0"/>
                    <w:spacing w:before="31" w:beforeLines="10" w:after="31" w:afterLines="1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0.65</w:t>
                  </w:r>
                </w:p>
              </w:tc>
              <w:tc>
                <w:tcPr>
                  <w:tcW w:w="1374" w:type="dxa"/>
                  <w:tcBorders>
                    <w:tl2br w:val="nil"/>
                    <w:tr2bl w:val="nil"/>
                  </w:tcBorders>
                  <w:noWrap w:val="0"/>
                  <w:vAlign w:val="center"/>
                </w:tcPr>
                <w:p w14:paraId="6F4B6014">
                  <w:pPr>
                    <w:widowControl/>
                    <w:snapToGrid w:val="0"/>
                    <w:spacing w:before="31" w:beforeLines="10" w:after="31" w:afterLines="1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13</w:t>
                  </w:r>
                </w:p>
              </w:tc>
            </w:tr>
            <w:tr w14:paraId="3402E3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2" w:type="dxa"/>
                  <w:tcBorders>
                    <w:tl2br w:val="nil"/>
                    <w:tr2bl w:val="nil"/>
                  </w:tcBorders>
                  <w:noWrap w:val="0"/>
                  <w:vAlign w:val="center"/>
                </w:tcPr>
                <w:p w14:paraId="18CA2653">
                  <w:pPr>
                    <w:widowControl/>
                    <w:snapToGrid w:val="0"/>
                    <w:spacing w:before="31" w:beforeLines="10" w:after="31" w:afterLines="1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773" w:type="dxa"/>
                  <w:tcBorders>
                    <w:tl2br w:val="nil"/>
                    <w:tr2bl w:val="nil"/>
                  </w:tcBorders>
                  <w:noWrap w:val="0"/>
                  <w:vAlign w:val="center"/>
                </w:tcPr>
                <w:p w14:paraId="1FF8DBEF">
                  <w:pPr>
                    <w:widowControl/>
                    <w:snapToGrid w:val="0"/>
                    <w:spacing w:before="31" w:beforeLines="10" w:after="31" w:afterLines="10"/>
                    <w:jc w:val="center"/>
                    <w:rPr>
                      <w:rFonts w:hint="default" w:ascii="Times New Roman" w:hAnsi="Times New Roman" w:eastAsia="宋体" w:cs="Times New Roman"/>
                      <w:color w:val="auto"/>
                      <w:szCs w:val="21"/>
                      <w:highlight w:val="none"/>
                      <w:lang w:val="zh-TW" w:eastAsia="zh-CN"/>
                    </w:rPr>
                  </w:pPr>
                  <w:r>
                    <w:rPr>
                      <w:rFonts w:hint="eastAsia" w:cs="Times New Roman"/>
                      <w:color w:val="auto"/>
                      <w:szCs w:val="21"/>
                      <w:highlight w:val="none"/>
                      <w:lang w:val="zh-TW" w:eastAsia="zh-CN"/>
                    </w:rPr>
                    <w:t>柴油</w:t>
                  </w:r>
                </w:p>
              </w:tc>
              <w:tc>
                <w:tcPr>
                  <w:tcW w:w="1857" w:type="dxa"/>
                  <w:tcBorders>
                    <w:tl2br w:val="nil"/>
                    <w:tr2bl w:val="nil"/>
                  </w:tcBorders>
                  <w:noWrap w:val="0"/>
                  <w:vAlign w:val="center"/>
                </w:tcPr>
                <w:p w14:paraId="0665F196">
                  <w:pPr>
                    <w:widowControl/>
                    <w:snapToGrid w:val="0"/>
                    <w:spacing w:before="31" w:beforeLines="10" w:after="31" w:afterLines="1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2500</w:t>
                  </w:r>
                </w:p>
              </w:tc>
              <w:tc>
                <w:tcPr>
                  <w:tcW w:w="2091" w:type="dxa"/>
                  <w:tcBorders>
                    <w:tl2br w:val="nil"/>
                    <w:tr2bl w:val="nil"/>
                  </w:tcBorders>
                  <w:noWrap w:val="0"/>
                  <w:vAlign w:val="center"/>
                </w:tcPr>
                <w:p w14:paraId="5FE2AC9F">
                  <w:pPr>
                    <w:widowControl/>
                    <w:snapToGrid w:val="0"/>
                    <w:spacing w:before="31" w:beforeLines="10" w:after="31" w:afterLines="1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0.00085</w:t>
                  </w:r>
                </w:p>
              </w:tc>
              <w:tc>
                <w:tcPr>
                  <w:tcW w:w="1374" w:type="dxa"/>
                  <w:tcBorders>
                    <w:tl2br w:val="nil"/>
                    <w:tr2bl w:val="nil"/>
                  </w:tcBorders>
                  <w:noWrap w:val="0"/>
                  <w:vAlign w:val="center"/>
                </w:tcPr>
                <w:p w14:paraId="4E46D8F4">
                  <w:pPr>
                    <w:widowControl/>
                    <w:snapToGrid w:val="0"/>
                    <w:spacing w:before="31" w:beforeLines="10" w:after="31" w:afterLines="1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0.00000034</w:t>
                  </w:r>
                </w:p>
              </w:tc>
            </w:tr>
            <w:tr w14:paraId="5B7B9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2" w:type="dxa"/>
                  <w:tcBorders>
                    <w:tl2br w:val="nil"/>
                    <w:tr2bl w:val="nil"/>
                  </w:tcBorders>
                  <w:noWrap w:val="0"/>
                  <w:vAlign w:val="center"/>
                </w:tcPr>
                <w:p w14:paraId="06835B5B">
                  <w:pPr>
                    <w:widowControl/>
                    <w:snapToGrid w:val="0"/>
                    <w:spacing w:before="31" w:beforeLines="10" w:after="31" w:afterLines="1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1773" w:type="dxa"/>
                  <w:tcBorders>
                    <w:tl2br w:val="nil"/>
                    <w:tr2bl w:val="nil"/>
                  </w:tcBorders>
                  <w:noWrap w:val="0"/>
                  <w:vAlign w:val="center"/>
                </w:tcPr>
                <w:p w14:paraId="18E65ADF">
                  <w:pPr>
                    <w:widowControl/>
                    <w:snapToGrid w:val="0"/>
                    <w:spacing w:before="31" w:beforeLines="10" w:after="31" w:afterLines="10"/>
                    <w:jc w:val="center"/>
                    <w:rPr>
                      <w:rFonts w:hint="default" w:ascii="Times New Roman" w:hAnsi="Times New Roman" w:eastAsia="宋体" w:cs="Times New Roman"/>
                      <w:color w:val="auto"/>
                      <w:szCs w:val="21"/>
                      <w:highlight w:val="none"/>
                      <w:lang w:val="zh-TW" w:eastAsia="zh-CN"/>
                    </w:rPr>
                  </w:pPr>
                  <w:r>
                    <w:rPr>
                      <w:rFonts w:hint="eastAsia" w:cs="Times New Roman"/>
                      <w:color w:val="auto"/>
                      <w:szCs w:val="21"/>
                      <w:highlight w:val="none"/>
                      <w:lang w:val="zh-TW" w:eastAsia="zh-CN"/>
                    </w:rPr>
                    <w:t>润滑油及废润滑油</w:t>
                  </w:r>
                </w:p>
              </w:tc>
              <w:tc>
                <w:tcPr>
                  <w:tcW w:w="1857" w:type="dxa"/>
                  <w:tcBorders>
                    <w:tl2br w:val="nil"/>
                    <w:tr2bl w:val="nil"/>
                  </w:tcBorders>
                  <w:noWrap w:val="0"/>
                  <w:vAlign w:val="center"/>
                </w:tcPr>
                <w:p w14:paraId="353A08C9">
                  <w:pPr>
                    <w:widowControl/>
                    <w:snapToGrid w:val="0"/>
                    <w:spacing w:before="31" w:beforeLines="10" w:after="31" w:afterLines="1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2500</w:t>
                  </w:r>
                </w:p>
              </w:tc>
              <w:tc>
                <w:tcPr>
                  <w:tcW w:w="2091" w:type="dxa"/>
                  <w:tcBorders>
                    <w:tl2br w:val="nil"/>
                    <w:tr2bl w:val="nil"/>
                  </w:tcBorders>
                  <w:noWrap w:val="0"/>
                  <w:vAlign w:val="center"/>
                </w:tcPr>
                <w:p w14:paraId="3292B1DF">
                  <w:pPr>
                    <w:widowControl/>
                    <w:snapToGrid w:val="0"/>
                    <w:spacing w:before="31" w:beforeLines="10" w:after="31" w:afterLines="1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0.12</w:t>
                  </w:r>
                </w:p>
              </w:tc>
              <w:tc>
                <w:tcPr>
                  <w:tcW w:w="1374" w:type="dxa"/>
                  <w:tcBorders>
                    <w:tl2br w:val="nil"/>
                    <w:tr2bl w:val="nil"/>
                  </w:tcBorders>
                  <w:noWrap w:val="0"/>
                  <w:vAlign w:val="center"/>
                </w:tcPr>
                <w:p w14:paraId="30D0CB2B">
                  <w:pPr>
                    <w:widowControl/>
                    <w:snapToGrid w:val="0"/>
                    <w:spacing w:before="31" w:beforeLines="10" w:after="31" w:afterLines="1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0.000048</w:t>
                  </w:r>
                </w:p>
              </w:tc>
            </w:tr>
            <w:tr w14:paraId="353BC9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623" w:type="dxa"/>
                  <w:gridSpan w:val="4"/>
                  <w:tcBorders>
                    <w:tl2br w:val="nil"/>
                    <w:tr2bl w:val="nil"/>
                  </w:tcBorders>
                  <w:noWrap w:val="0"/>
                  <w:vAlign w:val="center"/>
                </w:tcPr>
                <w:p w14:paraId="085CD9ED">
                  <w:pPr>
                    <w:widowControl/>
                    <w:snapToGrid w:val="0"/>
                    <w:spacing w:before="31" w:beforeLines="10" w:after="31" w:afterLines="1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合计</w:t>
                  </w:r>
                </w:p>
              </w:tc>
              <w:tc>
                <w:tcPr>
                  <w:tcW w:w="1374" w:type="dxa"/>
                  <w:tcBorders>
                    <w:tl2br w:val="nil"/>
                    <w:tr2bl w:val="nil"/>
                  </w:tcBorders>
                  <w:shd w:val="clear" w:color="auto" w:fill="auto"/>
                  <w:noWrap w:val="0"/>
                  <w:vAlign w:val="center"/>
                </w:tcPr>
                <w:p w14:paraId="2A9FFFE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0.1300</w:t>
                  </w:r>
                  <w:r>
                    <w:rPr>
                      <w:rFonts w:hint="eastAsia" w:cs="Times New Roman"/>
                      <w:i w:val="0"/>
                      <w:iCs w:val="0"/>
                      <w:color w:val="auto"/>
                      <w:kern w:val="0"/>
                      <w:sz w:val="21"/>
                      <w:szCs w:val="21"/>
                      <w:highlight w:val="none"/>
                      <w:u w:val="none"/>
                      <w:lang w:val="en-US" w:eastAsia="zh-CN" w:bidi="ar"/>
                    </w:rPr>
                    <w:t>4834</w:t>
                  </w:r>
                </w:p>
              </w:tc>
            </w:tr>
          </w:tbl>
          <w:p w14:paraId="27502C91">
            <w:pPr>
              <w:snapToGrid w:val="0"/>
              <w:spacing w:line="372" w:lineRule="auto"/>
              <w:ind w:firstLine="480" w:firstLineChars="200"/>
              <w:rPr>
                <w:rFonts w:hint="default" w:ascii="Times New Roman" w:hAnsi="Times New Roman" w:cs="Times New Roman"/>
                <w:color w:val="auto"/>
                <w:sz w:val="24"/>
                <w:szCs w:val="22"/>
                <w:highlight w:val="none"/>
                <w:lang w:bidi="ar"/>
              </w:rPr>
            </w:pPr>
            <w:r>
              <w:rPr>
                <w:rFonts w:hint="default" w:ascii="Times New Roman" w:hAnsi="Times New Roman" w:cs="Times New Roman"/>
                <w:color w:val="auto"/>
                <w:sz w:val="24"/>
                <w:highlight w:val="none"/>
              </w:rPr>
              <w:t>根据上表判定结果可知，本项目Q</w:t>
            </w:r>
            <w:r>
              <w:rPr>
                <w:rFonts w:hint="eastAsia" w:cs="Times New Roman"/>
                <w:color w:val="auto"/>
                <w:sz w:val="24"/>
                <w:highlight w:val="none"/>
                <w:lang w:val="en-US" w:eastAsia="zh-CN"/>
              </w:rPr>
              <w:t>=</w:t>
            </w:r>
            <w:r>
              <w:rPr>
                <w:rFonts w:hint="eastAsia" w:cs="Times New Roman"/>
                <w:color w:val="auto"/>
                <w:sz w:val="24"/>
                <w:highlight w:val="none"/>
                <w:lang w:val="en-US" w:eastAsia="zh-CN"/>
              </w:rPr>
              <w:t>0.13004834</w:t>
            </w: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rPr>
              <w:t>环境风险潜势为Ⅰ。</w:t>
            </w:r>
            <w:r>
              <w:rPr>
                <w:rFonts w:hint="eastAsia" w:cs="Times New Roman"/>
                <w:color w:val="auto"/>
                <w:sz w:val="24"/>
                <w:szCs w:val="22"/>
                <w:highlight w:val="none"/>
                <w:lang w:eastAsia="zh-CN" w:bidi="ar"/>
              </w:rPr>
              <w:t>结合</w:t>
            </w:r>
            <w:r>
              <w:rPr>
                <w:rFonts w:hint="default" w:ascii="Times New Roman" w:hAnsi="Times New Roman" w:cs="Times New Roman"/>
                <w:color w:val="auto"/>
                <w:sz w:val="24"/>
                <w:szCs w:val="22"/>
                <w:highlight w:val="none"/>
                <w:lang w:bidi="ar"/>
              </w:rPr>
              <w:t>《建设项目环境风险评价技术导则》</w:t>
            </w:r>
            <w:r>
              <w:rPr>
                <w:rFonts w:hint="default" w:ascii="Times New Roman" w:hAnsi="Times New Roman" w:cs="Times New Roman"/>
                <w:color w:val="auto"/>
                <w:sz w:val="24"/>
                <w:szCs w:val="22"/>
                <w:highlight w:val="none"/>
                <w:lang w:eastAsia="zh-CN" w:bidi="ar"/>
              </w:rPr>
              <w:t>（</w:t>
            </w:r>
            <w:r>
              <w:rPr>
                <w:rFonts w:hint="default" w:ascii="Times New Roman" w:hAnsi="Times New Roman" w:cs="Times New Roman"/>
                <w:color w:val="auto"/>
                <w:sz w:val="24"/>
                <w:szCs w:val="22"/>
                <w:highlight w:val="none"/>
                <w:lang w:bidi="ar"/>
              </w:rPr>
              <w:t>HJ169-2018</w:t>
            </w:r>
            <w:r>
              <w:rPr>
                <w:rFonts w:hint="default" w:ascii="Times New Roman" w:hAnsi="Times New Roman" w:cs="Times New Roman"/>
                <w:color w:val="auto"/>
                <w:sz w:val="24"/>
                <w:szCs w:val="22"/>
                <w:highlight w:val="none"/>
                <w:lang w:eastAsia="zh-CN" w:bidi="ar"/>
              </w:rPr>
              <w:t>）</w:t>
            </w:r>
            <w:r>
              <w:rPr>
                <w:rFonts w:hint="default" w:ascii="Times New Roman" w:hAnsi="Times New Roman" w:cs="Times New Roman"/>
                <w:color w:val="auto"/>
                <w:sz w:val="24"/>
                <w:szCs w:val="22"/>
                <w:highlight w:val="none"/>
                <w:lang w:bidi="ar"/>
              </w:rPr>
              <w:t>要求，仅需进行简单分析。</w:t>
            </w:r>
          </w:p>
          <w:p w14:paraId="68AB97F8">
            <w:pPr>
              <w:snapToGrid w:val="0"/>
              <w:spacing w:line="372" w:lineRule="auto"/>
              <w:ind w:firstLine="480" w:firstLineChars="200"/>
              <w:rPr>
                <w:rFonts w:hint="eastAsia" w:eastAsia="宋体" w:cs="Times New Roman"/>
                <w:color w:val="auto"/>
                <w:sz w:val="24"/>
                <w:szCs w:val="22"/>
                <w:highlight w:val="none"/>
                <w:lang w:eastAsia="zh-CN" w:bidi="ar"/>
              </w:rPr>
            </w:pPr>
            <w:r>
              <w:rPr>
                <w:rFonts w:hint="eastAsia" w:ascii="宋体" w:hAnsi="宋体" w:eastAsia="宋体" w:cs="宋体"/>
                <w:color w:val="auto"/>
                <w:sz w:val="24"/>
                <w:szCs w:val="22"/>
                <w:highlight w:val="none"/>
                <w:lang w:bidi="ar"/>
              </w:rPr>
              <w:t>②</w:t>
            </w:r>
            <w:r>
              <w:rPr>
                <w:rFonts w:hint="eastAsia" w:eastAsia="宋体" w:cs="Times New Roman"/>
                <w:color w:val="auto"/>
                <w:sz w:val="24"/>
                <w:szCs w:val="22"/>
                <w:highlight w:val="none"/>
                <w:lang w:eastAsia="zh-CN" w:bidi="ar"/>
              </w:rPr>
              <w:t>风险物质储存场所</w:t>
            </w:r>
          </w:p>
          <w:p w14:paraId="49A46BD2">
            <w:pPr>
              <w:snapToGrid w:val="0"/>
              <w:spacing w:line="372" w:lineRule="auto"/>
              <w:ind w:firstLine="480" w:firstLineChars="200"/>
              <w:rPr>
                <w:rFonts w:hint="eastAsia" w:eastAsia="宋体" w:cs="Times New Roman"/>
                <w:color w:val="auto"/>
                <w:sz w:val="24"/>
                <w:szCs w:val="22"/>
                <w:highlight w:val="none"/>
                <w:lang w:eastAsia="zh-CN" w:bidi="ar"/>
              </w:rPr>
            </w:pPr>
            <w:r>
              <w:rPr>
                <w:rFonts w:hint="eastAsia" w:eastAsia="宋体" w:cs="Times New Roman"/>
                <w:color w:val="auto"/>
                <w:sz w:val="24"/>
                <w:szCs w:val="22"/>
                <w:highlight w:val="none"/>
                <w:lang w:val="zh-TW" w:eastAsia="zh-CN" w:bidi="ar"/>
              </w:rPr>
              <w:t>次氯酸钠暂存于加药间，柴油储存于发电机房内储油间，润滑油储存于储油区，废润滑油暂存于危废间。</w:t>
            </w:r>
          </w:p>
          <w:p w14:paraId="5309C35E">
            <w:pPr>
              <w:keepNext w:val="0"/>
              <w:keepLines w:val="0"/>
              <w:suppressLineNumbers w:val="0"/>
              <w:snapToGrid w:val="0"/>
              <w:spacing w:before="0" w:beforeAutospacing="0" w:after="0" w:afterAutospacing="0" w:line="372"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2、污染途径</w:t>
            </w:r>
          </w:p>
          <w:p w14:paraId="19C2FB83">
            <w:pPr>
              <w:keepNext w:val="0"/>
              <w:keepLines w:val="0"/>
              <w:suppressLineNumbers w:val="0"/>
              <w:snapToGrid w:val="0"/>
              <w:spacing w:before="0" w:beforeAutospacing="0" w:after="0" w:afterAutospacing="0" w:line="372"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次氯酸钠不稳定，见光易分解。受高热分解产生有毒的</w:t>
            </w:r>
            <w:r>
              <w:rPr>
                <w:rFonts w:hint="default" w:ascii="Times New Roman" w:hAnsi="Times New Roman" w:cs="Times New Roman"/>
                <w:color w:val="auto"/>
                <w:sz w:val="24"/>
                <w:highlight w:val="none"/>
                <w:lang w:val="en-US" w:eastAsia="zh-CN"/>
              </w:rPr>
              <w:fldChar w:fldCharType="begin"/>
            </w:r>
            <w:r>
              <w:rPr>
                <w:rFonts w:hint="default" w:ascii="Times New Roman" w:hAnsi="Times New Roman" w:cs="Times New Roman"/>
                <w:color w:val="auto"/>
                <w:sz w:val="24"/>
                <w:highlight w:val="none"/>
                <w:lang w:val="en-US" w:eastAsia="zh-CN"/>
              </w:rPr>
              <w:instrText xml:space="preserve"> HYPERLINK "https://baike.baidu.com/item/%E8%85%90%E8%9A%80%E6%80%A7" \t "https://baike.baidu.com/item/%E6%AC%A1%E6%B0%AF%E9%85%B8%E9%92%A0/_blank" </w:instrText>
            </w:r>
            <w:r>
              <w:rPr>
                <w:rFonts w:hint="default" w:ascii="Times New Roman" w:hAnsi="Times New Roman" w:cs="Times New Roman"/>
                <w:color w:val="auto"/>
                <w:sz w:val="24"/>
                <w:highlight w:val="none"/>
                <w:lang w:val="en-US" w:eastAsia="zh-CN"/>
              </w:rPr>
              <w:fldChar w:fldCharType="separate"/>
            </w:r>
            <w:r>
              <w:rPr>
                <w:rFonts w:hint="default" w:ascii="Times New Roman" w:hAnsi="Times New Roman" w:cs="Times New Roman"/>
                <w:color w:val="auto"/>
                <w:sz w:val="24"/>
                <w:highlight w:val="none"/>
                <w:lang w:val="en-US" w:eastAsia="zh-CN"/>
              </w:rPr>
              <w:t>腐蚀性</w:t>
            </w:r>
            <w:r>
              <w:rPr>
                <w:rFonts w:hint="default" w:ascii="Times New Roman" w:hAnsi="Times New Roman" w:cs="Times New Roman"/>
                <w:color w:val="auto"/>
                <w:sz w:val="24"/>
                <w:highlight w:val="none"/>
                <w:lang w:val="en-US" w:eastAsia="zh-CN"/>
              </w:rPr>
              <w:fldChar w:fldCharType="end"/>
            </w:r>
            <w:r>
              <w:rPr>
                <w:rFonts w:hint="default" w:ascii="Times New Roman" w:hAnsi="Times New Roman" w:cs="Times New Roman"/>
                <w:color w:val="auto"/>
                <w:sz w:val="24"/>
                <w:highlight w:val="none"/>
                <w:lang w:val="en-US" w:eastAsia="zh-CN"/>
              </w:rPr>
              <w:t>烟气，具有腐蚀性，会使</w:t>
            </w:r>
            <w:r>
              <w:rPr>
                <w:rFonts w:hint="eastAsia" w:cs="Times New Roman"/>
                <w:color w:val="auto"/>
                <w:sz w:val="24"/>
                <w:highlight w:val="none"/>
                <w:lang w:val="en-US" w:eastAsia="zh-CN"/>
              </w:rPr>
              <w:t>工作人员</w:t>
            </w:r>
            <w:r>
              <w:rPr>
                <w:rFonts w:hint="default" w:ascii="Times New Roman" w:hAnsi="Times New Roman" w:cs="Times New Roman"/>
                <w:color w:val="auto"/>
                <w:sz w:val="24"/>
                <w:highlight w:val="none"/>
                <w:lang w:val="en-US" w:eastAsia="zh-CN"/>
              </w:rPr>
              <w:t>手掌大量出汗，指甲变薄，毛发脱落；除此之外，次氯酸钠与盐酸混合放出的</w:t>
            </w:r>
            <w:r>
              <w:rPr>
                <w:rFonts w:hint="default" w:ascii="Times New Roman" w:hAnsi="Times New Roman" w:cs="Times New Roman"/>
                <w:color w:val="auto"/>
                <w:sz w:val="24"/>
                <w:highlight w:val="none"/>
                <w:lang w:val="en-US" w:eastAsia="zh-CN"/>
              </w:rPr>
              <w:fldChar w:fldCharType="begin"/>
            </w:r>
            <w:r>
              <w:rPr>
                <w:rFonts w:hint="default" w:ascii="Times New Roman" w:hAnsi="Times New Roman" w:cs="Times New Roman"/>
                <w:color w:val="auto"/>
                <w:sz w:val="24"/>
                <w:highlight w:val="none"/>
                <w:lang w:val="en-US" w:eastAsia="zh-CN"/>
              </w:rPr>
              <w:instrText xml:space="preserve"> HYPERLINK "https://baike.baidu.com/item/%E6%B0%AF%E6%B0%94" \t "https://baike.baidu.com/item/%E6%AC%A1%E6%B0%AF%E9%85%B8%E9%92%A0/_blank" </w:instrText>
            </w:r>
            <w:r>
              <w:rPr>
                <w:rFonts w:hint="default" w:ascii="Times New Roman" w:hAnsi="Times New Roman" w:cs="Times New Roman"/>
                <w:color w:val="auto"/>
                <w:sz w:val="24"/>
                <w:highlight w:val="none"/>
                <w:lang w:val="en-US" w:eastAsia="zh-CN"/>
              </w:rPr>
              <w:fldChar w:fldCharType="separate"/>
            </w:r>
            <w:r>
              <w:rPr>
                <w:rFonts w:hint="default" w:ascii="Times New Roman" w:hAnsi="Times New Roman" w:cs="Times New Roman"/>
                <w:color w:val="auto"/>
                <w:sz w:val="24"/>
                <w:highlight w:val="none"/>
                <w:lang w:val="en-US" w:eastAsia="zh-CN"/>
              </w:rPr>
              <w:t>氯气</w:t>
            </w:r>
            <w:r>
              <w:rPr>
                <w:rFonts w:hint="default" w:ascii="Times New Roman" w:hAnsi="Times New Roman" w:cs="Times New Roman"/>
                <w:color w:val="auto"/>
                <w:sz w:val="24"/>
                <w:highlight w:val="none"/>
                <w:lang w:val="en-US" w:eastAsia="zh-CN"/>
              </w:rPr>
              <w:fldChar w:fldCharType="end"/>
            </w:r>
            <w:r>
              <w:rPr>
                <w:rFonts w:hint="default" w:ascii="Times New Roman" w:hAnsi="Times New Roman" w:cs="Times New Roman"/>
                <w:color w:val="auto"/>
                <w:sz w:val="24"/>
                <w:highlight w:val="none"/>
                <w:lang w:val="en-US" w:eastAsia="zh-CN"/>
              </w:rPr>
              <w:t>有可能引起</w:t>
            </w:r>
            <w:r>
              <w:rPr>
                <w:rFonts w:hint="eastAsia" w:cs="Times New Roman"/>
                <w:color w:val="auto"/>
                <w:sz w:val="24"/>
                <w:highlight w:val="none"/>
                <w:lang w:val="en-US" w:eastAsia="zh-CN"/>
              </w:rPr>
              <w:t>工人</w:t>
            </w:r>
            <w:r>
              <w:rPr>
                <w:rFonts w:hint="default" w:ascii="Times New Roman" w:hAnsi="Times New Roman" w:cs="Times New Roman"/>
                <w:color w:val="auto"/>
                <w:sz w:val="24"/>
                <w:highlight w:val="none"/>
                <w:lang w:val="en-US" w:eastAsia="zh-CN"/>
              </w:rPr>
              <w:t>中毒。</w:t>
            </w:r>
            <w:r>
              <w:rPr>
                <w:rFonts w:hint="eastAsia" w:cs="Times New Roman"/>
                <w:color w:val="auto"/>
                <w:sz w:val="24"/>
                <w:highlight w:val="none"/>
                <w:lang w:val="en-US" w:eastAsia="zh-CN"/>
              </w:rPr>
              <w:t>柴油和润滑油易挥发，且在保存不当的情况下易下渗影响土壤及地下水。</w:t>
            </w:r>
          </w:p>
          <w:p w14:paraId="6B725841">
            <w:pPr>
              <w:keepNext w:val="0"/>
              <w:keepLines w:val="0"/>
              <w:numPr>
                <w:ilvl w:val="0"/>
                <w:numId w:val="5"/>
              </w:numPr>
              <w:suppressLineNumbers w:val="0"/>
              <w:snapToGrid w:val="0"/>
              <w:spacing w:before="0" w:beforeAutospacing="0" w:after="0" w:afterAutospacing="0" w:line="372" w:lineRule="auto"/>
              <w:ind w:left="0" w:right="0"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防治措施</w:t>
            </w:r>
          </w:p>
          <w:p w14:paraId="2D9FEE13">
            <w:pPr>
              <w:keepNext w:val="0"/>
              <w:keepLines w:val="0"/>
              <w:numPr>
                <w:ilvl w:val="0"/>
                <w:numId w:val="0"/>
              </w:numPr>
              <w:suppressLineNumbers w:val="0"/>
              <w:snapToGrid w:val="0"/>
              <w:spacing w:before="0" w:beforeAutospacing="0" w:after="0" w:afterAutospacing="0" w:line="372" w:lineRule="auto"/>
              <w:ind w:right="0" w:rightChars="0"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因为</w:t>
            </w:r>
            <w:r>
              <w:rPr>
                <w:rFonts w:hint="default" w:ascii="Times New Roman" w:hAnsi="Times New Roman" w:cs="Times New Roman"/>
                <w:color w:val="auto"/>
                <w:sz w:val="24"/>
                <w:highlight w:val="none"/>
                <w:lang w:eastAsia="zh-CN"/>
              </w:rPr>
              <w:t>次</w:t>
            </w:r>
            <w:r>
              <w:rPr>
                <w:rFonts w:hint="default" w:ascii="Times New Roman" w:hAnsi="Times New Roman" w:cs="Times New Roman"/>
                <w:color w:val="auto"/>
                <w:sz w:val="24"/>
                <w:highlight w:val="none"/>
              </w:rPr>
              <w:t>氯酸钠有</w:t>
            </w:r>
            <w:r>
              <w:rPr>
                <w:rFonts w:hint="default" w:ascii="Times New Roman" w:hAnsi="Times New Roman" w:cs="Times New Roman"/>
                <w:color w:val="auto"/>
                <w:sz w:val="24"/>
                <w:highlight w:val="none"/>
                <w:lang w:eastAsia="zh-CN"/>
              </w:rPr>
              <w:t>易腐蚀</w:t>
            </w:r>
            <w:r>
              <w:rPr>
                <w:rFonts w:hint="default" w:ascii="Times New Roman" w:hAnsi="Times New Roman" w:cs="Times New Roman"/>
                <w:color w:val="auto"/>
                <w:sz w:val="24"/>
                <w:highlight w:val="none"/>
              </w:rPr>
              <w:t>的特性，所以使用、存储和运输过程中要格外注意以下安全事项：</w:t>
            </w:r>
          </w:p>
          <w:p w14:paraId="00E55A0C">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①</w:t>
            </w:r>
            <w:r>
              <w:rPr>
                <w:rFonts w:hint="default" w:ascii="Times New Roman" w:hAnsi="Times New Roman" w:cs="Times New Roman"/>
                <w:color w:val="auto"/>
                <w:sz w:val="24"/>
                <w:highlight w:val="none"/>
              </w:rPr>
              <w:t>包装密封，存储在通风良好，阴凉干燥的库房内，切勿受潮，防止破损，防止阳光直射</w:t>
            </w:r>
            <w:r>
              <w:rPr>
                <w:rFonts w:hint="default" w:ascii="Times New Roman" w:hAnsi="Times New Roman" w:cs="Times New Roman"/>
                <w:color w:val="auto"/>
                <w:sz w:val="24"/>
                <w:highlight w:val="none"/>
                <w:lang w:eastAsia="zh-CN"/>
              </w:rPr>
              <w:t>；</w:t>
            </w:r>
          </w:p>
          <w:p w14:paraId="058197CB">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②</w:t>
            </w:r>
            <w:r>
              <w:rPr>
                <w:rFonts w:hint="default" w:ascii="Times New Roman" w:hAnsi="Times New Roman" w:cs="Times New Roman"/>
                <w:color w:val="auto"/>
                <w:sz w:val="24"/>
                <w:highlight w:val="none"/>
              </w:rPr>
              <w:t>远离火种，易（可）燃物，热源</w:t>
            </w:r>
            <w:r>
              <w:rPr>
                <w:rFonts w:hint="default" w:ascii="Times New Roman" w:hAnsi="Times New Roman" w:cs="Times New Roman"/>
                <w:color w:val="auto"/>
                <w:sz w:val="24"/>
                <w:highlight w:val="none"/>
                <w:lang w:eastAsia="zh-CN"/>
              </w:rPr>
              <w:t>；</w:t>
            </w:r>
          </w:p>
          <w:p w14:paraId="10F7FA88">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③</w:t>
            </w:r>
            <w:r>
              <w:rPr>
                <w:rFonts w:hint="default" w:ascii="Times New Roman" w:hAnsi="Times New Roman" w:cs="Times New Roman"/>
                <w:color w:val="auto"/>
                <w:sz w:val="24"/>
                <w:highlight w:val="none"/>
              </w:rPr>
              <w:t>避免与还原剂、可燃物、强酸、醇类、硫、磷、碳粉、金属粉末、铵化合物等共储混运</w:t>
            </w:r>
            <w:r>
              <w:rPr>
                <w:rFonts w:hint="default" w:ascii="Times New Roman" w:hAnsi="Times New Roman" w:cs="Times New Roman"/>
                <w:color w:val="auto"/>
                <w:sz w:val="24"/>
                <w:highlight w:val="none"/>
                <w:lang w:eastAsia="zh-CN"/>
              </w:rPr>
              <w:t>；</w:t>
            </w:r>
          </w:p>
          <w:p w14:paraId="3C55687C">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④</w:t>
            </w:r>
            <w:r>
              <w:rPr>
                <w:rFonts w:hint="default" w:ascii="Times New Roman" w:hAnsi="Times New Roman" w:cs="Times New Roman"/>
                <w:color w:val="auto"/>
                <w:sz w:val="24"/>
                <w:highlight w:val="none"/>
              </w:rPr>
              <w:t>使用过程中佩戴防护手套、佩戴防护眼镜、防护面罩</w:t>
            </w:r>
            <w:r>
              <w:rPr>
                <w:rFonts w:hint="default" w:ascii="Times New Roman" w:hAnsi="Times New Roman" w:cs="Times New Roman"/>
                <w:color w:val="auto"/>
                <w:sz w:val="24"/>
                <w:highlight w:val="none"/>
                <w:lang w:eastAsia="zh-CN"/>
              </w:rPr>
              <w:t>；</w:t>
            </w:r>
          </w:p>
          <w:p w14:paraId="057309AC">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⑤</w:t>
            </w:r>
            <w:r>
              <w:rPr>
                <w:rFonts w:hint="default" w:ascii="Times New Roman" w:hAnsi="Times New Roman" w:cs="Times New Roman"/>
                <w:color w:val="auto"/>
                <w:sz w:val="24"/>
                <w:highlight w:val="none"/>
              </w:rPr>
              <w:t>防止皮肤接触、防止溅入眼镜</w:t>
            </w:r>
            <w:r>
              <w:rPr>
                <w:rFonts w:hint="default" w:ascii="Times New Roman" w:hAnsi="Times New Roman" w:cs="Times New Roman"/>
                <w:color w:val="auto"/>
                <w:sz w:val="24"/>
                <w:highlight w:val="none"/>
                <w:lang w:eastAsia="zh-CN"/>
              </w:rPr>
              <w:t>；</w:t>
            </w:r>
          </w:p>
          <w:p w14:paraId="442D1973">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⑥</w:t>
            </w:r>
            <w:r>
              <w:rPr>
                <w:rFonts w:hint="default" w:ascii="Times New Roman" w:hAnsi="Times New Roman" w:cs="Times New Roman"/>
                <w:color w:val="auto"/>
                <w:sz w:val="24"/>
                <w:highlight w:val="none"/>
              </w:rPr>
              <w:t>皮肤接触后，立即脱掉所有被污染的衣服，用水冲洗皮肤、沐浴，污染衣服必须洗净后，方可继续使用</w:t>
            </w:r>
            <w:r>
              <w:rPr>
                <w:rFonts w:hint="default" w:ascii="Times New Roman" w:hAnsi="Times New Roman" w:cs="Times New Roman"/>
                <w:color w:val="auto"/>
                <w:sz w:val="24"/>
                <w:highlight w:val="none"/>
                <w:lang w:eastAsia="zh-CN"/>
              </w:rPr>
              <w:t>；</w:t>
            </w:r>
          </w:p>
          <w:p w14:paraId="4F072AD6">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⑦</w:t>
            </w:r>
            <w:r>
              <w:rPr>
                <w:rFonts w:hint="default" w:ascii="Times New Roman" w:hAnsi="Times New Roman" w:cs="Times New Roman"/>
                <w:color w:val="auto"/>
                <w:sz w:val="24"/>
                <w:highlight w:val="none"/>
              </w:rPr>
              <w:t>工作场所禁止吸烟、进食和饮水，工作完，沐浴更衣，保持良好的卫生习惯</w:t>
            </w:r>
            <w:r>
              <w:rPr>
                <w:rFonts w:hint="default" w:ascii="Times New Roman" w:hAnsi="Times New Roman" w:cs="Times New Roman"/>
                <w:color w:val="auto"/>
                <w:sz w:val="24"/>
                <w:highlight w:val="none"/>
                <w:lang w:eastAsia="zh-CN"/>
              </w:rPr>
              <w:t>；</w:t>
            </w:r>
          </w:p>
          <w:p w14:paraId="536946DF">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eastAsia="微软雅黑" w:cs="Times New Roman"/>
                <w:color w:val="auto"/>
                <w:highlight w:val="none"/>
              </w:rPr>
            </w:pPr>
            <w:r>
              <w:rPr>
                <w:rFonts w:hint="default" w:ascii="Times New Roman" w:hAnsi="Times New Roman" w:eastAsia="宋体" w:cs="Times New Roman"/>
                <w:color w:val="auto"/>
                <w:sz w:val="24"/>
                <w:highlight w:val="none"/>
              </w:rPr>
              <w:t>⑧</w:t>
            </w:r>
            <w:r>
              <w:rPr>
                <w:rFonts w:hint="default" w:ascii="Times New Roman" w:hAnsi="Times New Roman" w:cs="Times New Roman"/>
                <w:color w:val="auto"/>
                <w:sz w:val="24"/>
                <w:highlight w:val="none"/>
              </w:rPr>
              <w:t>误食中毒应立即催吐，洗胃、导泻、食入牛奶或蛋清保护</w:t>
            </w:r>
            <w:r>
              <w:rPr>
                <w:rFonts w:hint="default" w:ascii="Times New Roman" w:hAnsi="Times New Roman" w:cs="Times New Roman"/>
                <w:color w:val="auto"/>
                <w:sz w:val="24"/>
                <w:highlight w:val="none"/>
                <w:lang w:eastAsia="zh-CN"/>
              </w:rPr>
              <w:t>胃黏膜</w:t>
            </w:r>
            <w:r>
              <w:rPr>
                <w:rFonts w:hint="default" w:ascii="Times New Roman" w:hAnsi="Times New Roman" w:cs="Times New Roman"/>
                <w:color w:val="auto"/>
                <w:sz w:val="24"/>
                <w:highlight w:val="none"/>
              </w:rPr>
              <w:t>，同时立即就医。</w:t>
            </w:r>
          </w:p>
          <w:p w14:paraId="048972F7">
            <w:pPr>
              <w:snapToGrid w:val="0"/>
              <w:spacing w:line="372" w:lineRule="auto"/>
              <w:ind w:firstLine="480" w:firstLineChars="200"/>
              <w:rPr>
                <w:rFonts w:hint="eastAsia"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2</w:t>
            </w:r>
            <w:r>
              <w:rPr>
                <w:rFonts w:hint="eastAsia" w:cs="Times New Roman"/>
                <w:color w:val="auto"/>
                <w:sz w:val="24"/>
                <w:highlight w:val="none"/>
                <w:lang w:eastAsia="zh-CN"/>
              </w:rPr>
              <w:t>）由于柴油和润滑油具有挥发性，因此应采用专用容器密封保存，远离热源、火源；同时柴油间和危废间地面应进行重点防渗处理，废润滑油底部应设置托盘等。</w:t>
            </w:r>
          </w:p>
          <w:p w14:paraId="0112AD53">
            <w:pPr>
              <w:snapToGrid w:val="0"/>
              <w:spacing w:line="372"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环评要求</w:t>
            </w:r>
            <w:r>
              <w:rPr>
                <w:rFonts w:hint="eastAsia" w:cs="Times New Roman"/>
                <w:color w:val="auto"/>
                <w:sz w:val="24"/>
                <w:highlight w:val="none"/>
                <w:lang w:eastAsia="zh-CN"/>
              </w:rPr>
              <w:t>污水处理厂运营期</w:t>
            </w:r>
            <w:r>
              <w:rPr>
                <w:rFonts w:hint="default" w:ascii="Times New Roman" w:hAnsi="Times New Roman" w:cs="Times New Roman"/>
                <w:color w:val="auto"/>
                <w:sz w:val="24"/>
                <w:highlight w:val="none"/>
              </w:rPr>
              <w:t>使用</w:t>
            </w:r>
            <w:r>
              <w:rPr>
                <w:rFonts w:hint="eastAsia" w:cs="Times New Roman"/>
                <w:color w:val="auto"/>
                <w:sz w:val="24"/>
                <w:highlight w:val="none"/>
                <w:lang w:eastAsia="zh-CN"/>
              </w:rPr>
              <w:t>次氯酸钠、润滑油、柴油</w:t>
            </w:r>
            <w:r>
              <w:rPr>
                <w:rFonts w:hint="default" w:ascii="Times New Roman" w:hAnsi="Times New Roman" w:cs="Times New Roman"/>
                <w:color w:val="auto"/>
                <w:sz w:val="24"/>
                <w:highlight w:val="none"/>
              </w:rPr>
              <w:t>的过程中</w:t>
            </w:r>
            <w:r>
              <w:rPr>
                <w:rFonts w:hint="eastAsia" w:cs="Times New Roman"/>
                <w:color w:val="auto"/>
                <w:sz w:val="24"/>
                <w:highlight w:val="none"/>
                <w:lang w:eastAsia="zh-CN"/>
              </w:rPr>
              <w:t>应</w:t>
            </w:r>
            <w:r>
              <w:rPr>
                <w:rFonts w:hint="default" w:ascii="Times New Roman" w:hAnsi="Times New Roman" w:cs="Times New Roman"/>
                <w:color w:val="auto"/>
                <w:sz w:val="24"/>
                <w:highlight w:val="none"/>
              </w:rPr>
              <w:t>严格管理，不在厂区内大量堆放</w:t>
            </w:r>
            <w:r>
              <w:rPr>
                <w:rFonts w:hint="eastAsia" w:cs="Times New Roman"/>
                <w:color w:val="auto"/>
                <w:sz w:val="24"/>
                <w:highlight w:val="none"/>
                <w:lang w:eastAsia="zh-CN"/>
              </w:rPr>
              <w:t>；</w:t>
            </w:r>
            <w:r>
              <w:rPr>
                <w:rFonts w:hint="eastAsia" w:cs="Times New Roman"/>
                <w:color w:val="auto"/>
                <w:sz w:val="24"/>
                <w:highlight w:val="none"/>
                <w:lang w:eastAsia="zh-CN"/>
              </w:rPr>
              <w:t>废润滑油采用专用容器保存后定期交由有资质单位处置</w:t>
            </w:r>
            <w:r>
              <w:rPr>
                <w:rFonts w:hint="default" w:ascii="Times New Roman" w:hAnsi="Times New Roman" w:cs="Times New Roman"/>
                <w:color w:val="auto"/>
                <w:sz w:val="24"/>
                <w:highlight w:val="none"/>
              </w:rPr>
              <w:t>。在采取以上措施后，项目运营期不会对周围环境产生明显环境风险影响。</w:t>
            </w:r>
          </w:p>
          <w:p w14:paraId="14725FD3">
            <w:pPr>
              <w:snapToGrid w:val="0"/>
              <w:spacing w:line="372"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环境风险</w:t>
            </w:r>
            <w:r>
              <w:rPr>
                <w:rFonts w:hint="eastAsia" w:cs="Times New Roman"/>
                <w:color w:val="auto"/>
                <w:sz w:val="24"/>
                <w:highlight w:val="none"/>
                <w:lang w:eastAsia="zh-CN"/>
              </w:rPr>
              <w:t>事故</w:t>
            </w:r>
            <w:r>
              <w:rPr>
                <w:rFonts w:hint="default" w:ascii="Times New Roman" w:hAnsi="Times New Roman" w:cs="Times New Roman"/>
                <w:color w:val="auto"/>
                <w:sz w:val="24"/>
                <w:highlight w:val="none"/>
              </w:rPr>
              <w:t>分析</w:t>
            </w:r>
          </w:p>
          <w:p w14:paraId="4AA91DA2">
            <w:pPr>
              <w:snapToGrid w:val="0"/>
              <w:spacing w:line="372"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项目在</w:t>
            </w:r>
            <w:r>
              <w:rPr>
                <w:rFonts w:hint="eastAsia" w:cs="Times New Roman"/>
                <w:color w:val="auto"/>
                <w:sz w:val="24"/>
                <w:highlight w:val="none"/>
                <w:lang w:eastAsia="zh-CN"/>
              </w:rPr>
              <w:t>运营</w:t>
            </w:r>
            <w:r>
              <w:rPr>
                <w:rFonts w:hint="default" w:ascii="Times New Roman" w:hAnsi="Times New Roman" w:cs="Times New Roman"/>
                <w:color w:val="auto"/>
                <w:sz w:val="24"/>
                <w:highlight w:val="none"/>
              </w:rPr>
              <w:t>过程中的主要环境风险为管道破裂、事故状态产生的污水直排对区域地表水体的污染以及污水下渗污染地下水。出现事故的原因主要有两个方面，一是自然因素，即地震等地质灾害；二是人为因素，即选材、施工、防腐、检修、操作没有按规范要求进行。</w:t>
            </w:r>
          </w:p>
          <w:p w14:paraId="3AB0C7AB">
            <w:pPr>
              <w:keepNext w:val="0"/>
              <w:keepLines w:val="0"/>
              <w:suppressLineNumbers w:val="0"/>
              <w:snapToGrid w:val="0"/>
              <w:spacing w:before="0" w:beforeAutospacing="0" w:after="0" w:afterAutospacing="0" w:line="372"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w:t>
            </w:r>
            <w:r>
              <w:rPr>
                <w:rFonts w:hint="eastAsia" w:cs="Times New Roman"/>
                <w:color w:val="auto"/>
                <w:sz w:val="24"/>
                <w:highlight w:val="none"/>
                <w:lang w:val="en-US" w:eastAsia="zh-CN"/>
              </w:rPr>
              <w:t>降低</w:t>
            </w:r>
            <w:r>
              <w:rPr>
                <w:rFonts w:hint="default" w:ascii="Times New Roman" w:hAnsi="Times New Roman" w:cs="Times New Roman"/>
                <w:color w:val="auto"/>
                <w:sz w:val="24"/>
                <w:highlight w:val="none"/>
              </w:rPr>
              <w:t>风险事故</w:t>
            </w:r>
            <w:r>
              <w:rPr>
                <w:rFonts w:hint="default" w:ascii="Times New Roman" w:hAnsi="Times New Roman" w:cs="Times New Roman"/>
                <w:color w:val="auto"/>
                <w:sz w:val="24"/>
                <w:highlight w:val="none"/>
                <w:lang w:eastAsia="zh-CN"/>
              </w:rPr>
              <w:t>发生概率</w:t>
            </w:r>
            <w:r>
              <w:rPr>
                <w:rFonts w:hint="default" w:ascii="Times New Roman" w:hAnsi="Times New Roman" w:cs="Times New Roman"/>
                <w:color w:val="auto"/>
                <w:sz w:val="24"/>
                <w:highlight w:val="none"/>
              </w:rPr>
              <w:t>，本次环评要求</w:t>
            </w:r>
            <w:r>
              <w:rPr>
                <w:rFonts w:hint="default" w:ascii="Times New Roman" w:hAnsi="Times New Roman" w:cs="Times New Roman"/>
                <w:color w:val="auto"/>
                <w:sz w:val="24"/>
                <w:highlight w:val="none"/>
                <w:lang w:eastAsia="zh-CN"/>
              </w:rPr>
              <w:t>如下</w:t>
            </w:r>
            <w:r>
              <w:rPr>
                <w:rFonts w:hint="default" w:ascii="Times New Roman" w:hAnsi="Times New Roman" w:cs="Times New Roman"/>
                <w:color w:val="auto"/>
                <w:sz w:val="24"/>
                <w:highlight w:val="none"/>
              </w:rPr>
              <w:t>：</w:t>
            </w:r>
          </w:p>
          <w:p w14:paraId="17FCB77F">
            <w:pPr>
              <w:pStyle w:val="1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①参照《城镇排水管渠与泵站维护技术规程》</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CJJ68-2007</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制定详细的污水管道维护方案和安全操作规程。污水、污泥管道断裂、堵塞，需要进行维护、疏通时必须事前进行截流，同时悬挂</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禁止启动阀门</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的标志，并打开相邻的井盖。在污水、污泥管道维护作业区现场，严禁烟火，如需焊、割作业时，需事前申报厂领导批准，履行批准手续，并采取严密的消防措施。</w:t>
            </w:r>
          </w:p>
          <w:p w14:paraId="260BF9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②</w:t>
            </w:r>
            <w:r>
              <w:rPr>
                <w:rFonts w:hint="default" w:ascii="Times New Roman" w:hAnsi="Times New Roman" w:cs="Times New Roman"/>
                <w:color w:val="auto"/>
                <w:sz w:val="24"/>
                <w:highlight w:val="none"/>
              </w:rPr>
              <w:t>日常通过加强对外宣传的形式对项目沿线的居民、村民进行宣传保护，防止其他施工行为造成管线损坏。</w:t>
            </w:r>
          </w:p>
          <w:p w14:paraId="7BF6D6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eastAsia="zh-CN"/>
              </w:rPr>
              <w:t>③污水处理站</w:t>
            </w:r>
            <w:r>
              <w:rPr>
                <w:rFonts w:hint="default" w:ascii="Times New Roman" w:hAnsi="Times New Roman" w:cs="Times New Roman"/>
                <w:color w:val="auto"/>
                <w:sz w:val="24"/>
                <w:highlight w:val="none"/>
              </w:rPr>
              <w:t>指定负责人，定期实施检查、维护，确保正常运作</w:t>
            </w:r>
            <w:r>
              <w:rPr>
                <w:rFonts w:hint="default" w:ascii="Times New Roman" w:hAnsi="Times New Roman" w:cs="Times New Roman"/>
                <w:color w:val="auto"/>
                <w:sz w:val="24"/>
                <w:highlight w:val="none"/>
                <w:lang w:eastAsia="zh-CN"/>
              </w:rPr>
              <w:t>。</w:t>
            </w:r>
          </w:p>
          <w:p w14:paraId="00163279">
            <w:pPr>
              <w:pStyle w:val="26"/>
              <w:keepNext w:val="0"/>
              <w:keepLines w:val="0"/>
              <w:suppressLineNumbers w:val="0"/>
              <w:adjustRightInd w:val="0"/>
              <w:snapToGrid w:val="0"/>
              <w:spacing w:before="0" w:beforeAutospacing="0" w:after="0" w:afterAutospacing="0" w:line="360" w:lineRule="auto"/>
              <w:ind w:left="0" w:leftChars="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lang w:eastAsia="zh-CN"/>
              </w:rPr>
              <w:t>④</w:t>
            </w:r>
            <w:r>
              <w:rPr>
                <w:rFonts w:hint="default" w:ascii="Times New Roman" w:hAnsi="Times New Roman" w:cs="Times New Roman"/>
                <w:color w:val="auto"/>
                <w:sz w:val="24"/>
                <w:szCs w:val="24"/>
                <w:highlight w:val="none"/>
                <w:lang w:val="en-US" w:eastAsia="zh-CN"/>
              </w:rPr>
              <w:t>加强事故苗头控制，做到定期巡检，调节、保养、维修，及时发现可能引起事故的异常运行苗头，消除事故隐患。</w:t>
            </w:r>
          </w:p>
          <w:p w14:paraId="51F07C0E">
            <w:pPr>
              <w:pStyle w:val="26"/>
              <w:keepNext w:val="0"/>
              <w:keepLines w:val="0"/>
              <w:suppressLineNumbers w:val="0"/>
              <w:adjustRightInd w:val="0"/>
              <w:snapToGrid w:val="0"/>
              <w:spacing w:before="0" w:beforeAutospacing="0" w:after="0" w:afterAutospacing="0" w:line="360" w:lineRule="auto"/>
              <w:ind w:left="0" w:leftChars="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lang w:val="en-US" w:eastAsia="zh-CN"/>
              </w:rPr>
              <w:t>⑤</w:t>
            </w:r>
            <w:r>
              <w:rPr>
                <w:rFonts w:hint="default" w:ascii="Times New Roman" w:hAnsi="Times New Roman" w:cs="Times New Roman"/>
                <w:color w:val="auto"/>
                <w:sz w:val="24"/>
                <w:szCs w:val="24"/>
                <w:highlight w:val="none"/>
                <w:lang w:val="en-US" w:eastAsia="zh-CN"/>
              </w:rPr>
              <w:t>加强运行管理和出水的监测工作，未经处理达标的污水严禁外排。</w:t>
            </w:r>
          </w:p>
          <w:p w14:paraId="7C8089D7">
            <w:pPr>
              <w:pStyle w:val="26"/>
              <w:keepNext w:val="0"/>
              <w:keepLines w:val="0"/>
              <w:suppressLineNumbers w:val="0"/>
              <w:adjustRightInd w:val="0"/>
              <w:snapToGrid w:val="0"/>
              <w:spacing w:before="0" w:beforeAutospacing="0" w:after="0" w:afterAutospacing="0" w:line="360" w:lineRule="auto"/>
              <w:ind w:left="0" w:leftChars="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⑥</w:t>
            </w:r>
            <w:r>
              <w:rPr>
                <w:rFonts w:hint="eastAsia" w:ascii="宋体" w:hAnsi="宋体" w:cs="宋体"/>
                <w:color w:val="auto"/>
                <w:sz w:val="24"/>
                <w:highlight w:val="none"/>
                <w:lang w:eastAsia="zh-CN"/>
              </w:rPr>
              <w:t>编制</w:t>
            </w:r>
            <w:r>
              <w:rPr>
                <w:rFonts w:hint="eastAsia"/>
                <w:color w:val="auto"/>
                <w:sz w:val="24"/>
                <w:highlight w:val="none"/>
              </w:rPr>
              <w:t>突发环境事件应急预案，并按照预案要求进行应急演练。若因操作不当或意外泄漏等突发状况，建设单位应按照应急预案中针对措施立即开展防控工作</w:t>
            </w:r>
            <w:r>
              <w:rPr>
                <w:rFonts w:hint="eastAsia"/>
                <w:color w:val="auto"/>
                <w:sz w:val="24"/>
                <w:highlight w:val="none"/>
                <w:lang w:eastAsia="zh-CN"/>
              </w:rPr>
              <w:t>。</w:t>
            </w:r>
          </w:p>
          <w:p w14:paraId="3BC57FB9">
            <w:pPr>
              <w:pStyle w:val="45"/>
              <w:ind w:left="0" w:leftChars="0" w:firstLine="0" w:firstLineChars="0"/>
              <w:rPr>
                <w:rFonts w:hint="default" w:ascii="Times New Roman" w:hAnsi="Times New Roman" w:cs="Times New Roman"/>
                <w:color w:val="auto"/>
                <w:highlight w:val="none"/>
                <w:lang w:val="en-US" w:eastAsia="zh-CN"/>
              </w:rPr>
            </w:pPr>
          </w:p>
          <w:p w14:paraId="4BD3540E">
            <w:pPr>
              <w:pStyle w:val="45"/>
              <w:ind w:left="0" w:leftChars="0" w:firstLine="0" w:firstLineChars="0"/>
              <w:rPr>
                <w:rFonts w:hint="default" w:ascii="Times New Roman" w:hAnsi="Times New Roman" w:cs="Times New Roman"/>
                <w:color w:val="auto"/>
                <w:highlight w:val="none"/>
                <w:lang w:val="en-US" w:eastAsia="zh-CN"/>
              </w:rPr>
            </w:pPr>
          </w:p>
        </w:tc>
      </w:tr>
    </w:tbl>
    <w:p w14:paraId="6C933341">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08AE4ED4">
      <w:pPr>
        <w:pStyle w:val="28"/>
        <w:jc w:val="center"/>
        <w:outlineLvl w:val="0"/>
        <w:rPr>
          <w:rFonts w:hint="default" w:ascii="Times New Roman" w:hAnsi="Times New Roman" w:eastAsia="黑体" w:cs="Times New Roman"/>
          <w:snapToGrid w:val="0"/>
          <w:color w:val="auto"/>
          <w:sz w:val="30"/>
          <w:szCs w:val="30"/>
          <w:highlight w:val="none"/>
        </w:rPr>
      </w:pPr>
      <w:bookmarkStart w:id="57" w:name="_Toc3848"/>
      <w:bookmarkStart w:id="58" w:name="_Toc14348"/>
      <w:bookmarkStart w:id="59" w:name="_Toc4791"/>
      <w:bookmarkStart w:id="60" w:name="_Toc5120"/>
      <w:bookmarkStart w:id="61" w:name="_Toc14084"/>
      <w:bookmarkStart w:id="62" w:name="_Toc18812"/>
      <w:bookmarkStart w:id="63" w:name="_Toc20250"/>
      <w:bookmarkStart w:id="64" w:name="_Toc27960"/>
      <w:bookmarkStart w:id="65" w:name="_Toc27289"/>
      <w:r>
        <w:rPr>
          <w:rFonts w:hint="default" w:ascii="Times New Roman" w:hAnsi="Times New Roman" w:eastAsia="黑体" w:cs="Times New Roman"/>
          <w:snapToGrid w:val="0"/>
          <w:color w:val="auto"/>
          <w:sz w:val="30"/>
          <w:szCs w:val="30"/>
          <w:highlight w:val="none"/>
        </w:rPr>
        <w:t>五、</w:t>
      </w:r>
      <w:bookmarkStart w:id="66" w:name="_Hlk54167917"/>
      <w:r>
        <w:rPr>
          <w:rFonts w:hint="default" w:ascii="Times New Roman" w:hAnsi="Times New Roman" w:eastAsia="黑体" w:cs="Times New Roman"/>
          <w:snapToGrid w:val="0"/>
          <w:color w:val="auto"/>
          <w:sz w:val="30"/>
          <w:szCs w:val="30"/>
          <w:highlight w:val="none"/>
        </w:rPr>
        <w:t>环境保护措施监督检查清单</w:t>
      </w:r>
      <w:bookmarkEnd w:id="57"/>
      <w:bookmarkEnd w:id="58"/>
      <w:bookmarkEnd w:id="59"/>
      <w:bookmarkEnd w:id="60"/>
      <w:bookmarkEnd w:id="61"/>
      <w:bookmarkEnd w:id="62"/>
      <w:bookmarkEnd w:id="63"/>
      <w:bookmarkEnd w:id="64"/>
      <w:bookmarkEnd w:id="65"/>
      <w:bookmarkEnd w:id="66"/>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1806"/>
        <w:gridCol w:w="1400"/>
        <w:gridCol w:w="2069"/>
        <w:gridCol w:w="2114"/>
      </w:tblGrid>
      <w:tr w14:paraId="18966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498" w:type="dxa"/>
            <w:tcBorders>
              <w:tl2br w:val="single" w:color="auto" w:sz="4" w:space="0"/>
            </w:tcBorders>
            <w:noWrap w:val="0"/>
            <w:vAlign w:val="top"/>
          </w:tcPr>
          <w:p w14:paraId="47F66DA7">
            <w:pPr>
              <w:adjustRightInd w:val="0"/>
              <w:snapToGrid w:val="0"/>
              <w:spacing w:line="360" w:lineRule="auto"/>
              <w:ind w:firstLine="84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内容</w:t>
            </w:r>
          </w:p>
          <w:p w14:paraId="4774BA25">
            <w:pPr>
              <w:adjustRightInd w:val="0"/>
              <w:snapToGrid w:val="0"/>
              <w:spacing w:line="36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要素</w:t>
            </w:r>
          </w:p>
        </w:tc>
        <w:tc>
          <w:tcPr>
            <w:tcW w:w="1806" w:type="dxa"/>
            <w:noWrap w:val="0"/>
            <w:vAlign w:val="center"/>
          </w:tcPr>
          <w:p w14:paraId="5694697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排放口(编号、</w:t>
            </w:r>
          </w:p>
          <w:p w14:paraId="500CE667">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名称)/污染源</w:t>
            </w:r>
          </w:p>
        </w:tc>
        <w:tc>
          <w:tcPr>
            <w:tcW w:w="1400" w:type="dxa"/>
            <w:noWrap w:val="0"/>
            <w:vAlign w:val="center"/>
          </w:tcPr>
          <w:p w14:paraId="37CBBE4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污染物项目</w:t>
            </w:r>
          </w:p>
        </w:tc>
        <w:tc>
          <w:tcPr>
            <w:tcW w:w="2069" w:type="dxa"/>
            <w:noWrap w:val="0"/>
            <w:vAlign w:val="center"/>
          </w:tcPr>
          <w:p w14:paraId="4EC9929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环境保护措施</w:t>
            </w:r>
          </w:p>
        </w:tc>
        <w:tc>
          <w:tcPr>
            <w:tcW w:w="2114" w:type="dxa"/>
            <w:noWrap w:val="0"/>
            <w:vAlign w:val="center"/>
          </w:tcPr>
          <w:p w14:paraId="3E13706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执行标准</w:t>
            </w:r>
          </w:p>
        </w:tc>
      </w:tr>
      <w:tr w14:paraId="592005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8" w:type="dxa"/>
            <w:vMerge w:val="restart"/>
            <w:noWrap w:val="0"/>
            <w:vAlign w:val="center"/>
          </w:tcPr>
          <w:p w14:paraId="4442D9DE">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大气环境</w:t>
            </w:r>
          </w:p>
        </w:tc>
        <w:tc>
          <w:tcPr>
            <w:tcW w:w="1806" w:type="dxa"/>
            <w:noWrap w:val="0"/>
            <w:vAlign w:val="center"/>
          </w:tcPr>
          <w:p w14:paraId="396FEEB8">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格栅、调节池、污泥池等</w:t>
            </w:r>
          </w:p>
        </w:tc>
        <w:tc>
          <w:tcPr>
            <w:tcW w:w="1400" w:type="dxa"/>
            <w:noWrap w:val="0"/>
            <w:vAlign w:val="center"/>
          </w:tcPr>
          <w:p w14:paraId="615C6E8D">
            <w:pPr>
              <w:adjustRightInd w:val="0"/>
              <w:snapToGrid w:val="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w:t>
            </w:r>
            <w:r>
              <w:rPr>
                <w:rFonts w:hint="default" w:ascii="Times New Roman" w:hAnsi="Times New Roman" w:cs="Times New Roman"/>
                <w:color w:val="auto"/>
                <w:sz w:val="21"/>
                <w:szCs w:val="21"/>
                <w:highlight w:val="none"/>
                <w:lang w:eastAsia="zh-CN"/>
              </w:rPr>
              <w:t>、</w:t>
            </w:r>
          </w:p>
          <w:p w14:paraId="77D8D887">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臭气浓度</w:t>
            </w:r>
          </w:p>
        </w:tc>
        <w:tc>
          <w:tcPr>
            <w:tcW w:w="2069" w:type="dxa"/>
            <w:noWrap w:val="0"/>
            <w:vAlign w:val="center"/>
          </w:tcPr>
          <w:p w14:paraId="63216B1E">
            <w:pPr>
              <w:keepNext w:val="0"/>
              <w:keepLines w:val="0"/>
              <w:widowControl/>
              <w:suppressLineNumbers w:val="0"/>
              <w:jc w:val="both"/>
              <w:rPr>
                <w:rFonts w:hint="default" w:ascii="Times New Roman" w:hAnsi="Times New Roman" w:cs="Times New Roman"/>
                <w:color w:val="auto"/>
                <w:szCs w:val="21"/>
                <w:highlight w:val="none"/>
                <w:lang w:eastAsia="zh-CN"/>
              </w:rPr>
            </w:pPr>
            <w:r>
              <w:rPr>
                <w:rFonts w:hint="eastAsia" w:cs="Times New Roman"/>
                <w:color w:val="auto"/>
                <w:highlight w:val="none"/>
                <w:lang w:eastAsia="zh-CN"/>
              </w:rPr>
              <w:t>恶臭采取</w:t>
            </w:r>
            <w:r>
              <w:rPr>
                <w:rFonts w:hint="eastAsia" w:cs="Times New Roman"/>
                <w:color w:val="auto"/>
                <w:highlight w:val="none"/>
                <w:lang w:val="en-US" w:eastAsia="zh-CN"/>
              </w:rPr>
              <w:t>管道负压收集+活性氧离子法处理达标后，通过15m高排气筒排放；此外，</w:t>
            </w:r>
            <w:r>
              <w:rPr>
                <w:rFonts w:hint="default" w:ascii="Times New Roman" w:hAnsi="Times New Roman" w:eastAsia="宋体" w:cs="Times New Roman"/>
                <w:color w:val="auto"/>
                <w:highlight w:val="none"/>
                <w:lang w:eastAsia="zh-CN"/>
              </w:rPr>
              <w:t>污水处理</w:t>
            </w:r>
            <w:r>
              <w:rPr>
                <w:rFonts w:hint="eastAsia" w:cs="Times New Roman"/>
                <w:color w:val="auto"/>
                <w:highlight w:val="none"/>
                <w:lang w:val="en-US" w:eastAsia="zh-CN"/>
              </w:rPr>
              <w:t>厂</w:t>
            </w:r>
            <w:r>
              <w:rPr>
                <w:rFonts w:hint="default" w:ascii="Times New Roman" w:hAnsi="Times New Roman" w:eastAsia="宋体" w:cs="Times New Roman"/>
                <w:color w:val="auto"/>
                <w:highlight w:val="none"/>
              </w:rPr>
              <w:t>四周建设围墙，</w:t>
            </w:r>
            <w:r>
              <w:rPr>
                <w:rFonts w:hint="default" w:ascii="Times New Roman" w:hAnsi="Times New Roman" w:eastAsia="宋体" w:cs="Times New Roman"/>
                <w:color w:val="auto"/>
                <w:highlight w:val="none"/>
                <w:lang w:val="en-US" w:eastAsia="zh-CN"/>
              </w:rPr>
              <w:t>格栅</w:t>
            </w:r>
            <w:r>
              <w:rPr>
                <w:rFonts w:hint="eastAsia" w:cs="Times New Roman"/>
                <w:color w:val="auto"/>
                <w:highlight w:val="none"/>
                <w:lang w:val="en-US" w:eastAsia="zh-CN"/>
              </w:rPr>
              <w:t>渠</w:t>
            </w:r>
            <w:r>
              <w:rPr>
                <w:rFonts w:hint="default" w:ascii="Times New Roman" w:hAnsi="Times New Roman" w:eastAsia="宋体" w:cs="Times New Roman"/>
                <w:color w:val="auto"/>
                <w:highlight w:val="none"/>
                <w:lang w:val="en-US" w:eastAsia="zh-CN"/>
              </w:rPr>
              <w:t>、调节池、污泥</w:t>
            </w:r>
            <w:r>
              <w:rPr>
                <w:rFonts w:hint="eastAsia" w:cs="Times New Roman"/>
                <w:color w:val="auto"/>
                <w:highlight w:val="none"/>
                <w:lang w:val="en-US" w:eastAsia="zh-CN"/>
              </w:rPr>
              <w:t>浓缩</w:t>
            </w:r>
            <w:r>
              <w:rPr>
                <w:rFonts w:hint="default" w:ascii="Times New Roman" w:hAnsi="Times New Roman" w:eastAsia="宋体" w:cs="Times New Roman"/>
                <w:color w:val="auto"/>
                <w:highlight w:val="none"/>
                <w:lang w:val="en-US" w:eastAsia="zh-CN"/>
              </w:rPr>
              <w:t>池等均为地下</w:t>
            </w:r>
            <w:r>
              <w:rPr>
                <w:rFonts w:hint="eastAsia" w:cs="Times New Roman"/>
                <w:b w:val="0"/>
                <w:bCs w:val="0"/>
                <w:color w:val="auto"/>
                <w:highlight w:val="none"/>
                <w:lang w:val="en-US" w:eastAsia="zh-CN"/>
              </w:rPr>
              <w:t>钢砼</w:t>
            </w:r>
            <w:r>
              <w:rPr>
                <w:rFonts w:hint="default" w:ascii="Times New Roman" w:hAnsi="Times New Roman" w:eastAsia="宋体" w:cs="Times New Roman"/>
                <w:color w:val="auto"/>
                <w:highlight w:val="none"/>
                <w:lang w:val="en-US" w:eastAsia="zh-CN"/>
              </w:rPr>
              <w:t>结构，且加盖</w:t>
            </w:r>
            <w:r>
              <w:rPr>
                <w:rFonts w:hint="eastAsia" w:cs="Times New Roman"/>
                <w:color w:val="auto"/>
                <w:highlight w:val="none"/>
                <w:lang w:val="en-US" w:eastAsia="zh-CN"/>
              </w:rPr>
              <w:t>处理</w:t>
            </w:r>
            <w:r>
              <w:rPr>
                <w:rFonts w:hint="default" w:ascii="Times New Roman" w:hAnsi="Times New Roman" w:eastAsia="宋体" w:cs="Times New Roman"/>
                <w:color w:val="auto"/>
                <w:highlight w:val="none"/>
                <w:lang w:eastAsia="zh-CN"/>
              </w:rPr>
              <w:t>；</w:t>
            </w:r>
            <w:r>
              <w:rPr>
                <w:rFonts w:hint="default" w:ascii="Times New Roman" w:hAnsi="Times New Roman" w:cs="Times New Roman"/>
                <w:color w:val="auto"/>
                <w:highlight w:val="none"/>
              </w:rPr>
              <w:t>同时加强厂区绿化可减小臭气影响</w:t>
            </w:r>
            <w:r>
              <w:rPr>
                <w:rFonts w:hint="eastAsia" w:cs="Times New Roman"/>
                <w:color w:val="auto"/>
                <w:highlight w:val="none"/>
                <w:lang w:eastAsia="zh-CN"/>
              </w:rPr>
              <w:t>。</w:t>
            </w:r>
          </w:p>
        </w:tc>
        <w:tc>
          <w:tcPr>
            <w:tcW w:w="2114" w:type="dxa"/>
            <w:noWrap w:val="0"/>
            <w:vAlign w:val="center"/>
          </w:tcPr>
          <w:p w14:paraId="447783EF">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有组织恶臭执行</w:t>
            </w:r>
            <w:r>
              <w:rPr>
                <w:rFonts w:hint="default" w:ascii="Times New Roman" w:hAnsi="Times New Roman" w:eastAsia="宋体" w:cs="Times New Roman"/>
                <w:color w:val="auto"/>
                <w:sz w:val="21"/>
                <w:szCs w:val="21"/>
                <w:highlight w:val="none"/>
                <w:lang w:val="en-US" w:eastAsia="zh-CN"/>
              </w:rPr>
              <w:t>《恶臭污染物排放标准》（GB14554-93）表2中排放标准</w:t>
            </w:r>
            <w:r>
              <w:rPr>
                <w:rFonts w:hint="eastAsia" w:cs="Times New Roman"/>
                <w:color w:val="auto"/>
                <w:sz w:val="21"/>
                <w:szCs w:val="21"/>
                <w:highlight w:val="none"/>
                <w:lang w:val="en-US" w:eastAsia="zh-CN"/>
              </w:rPr>
              <w:t>；无组织恶臭执行《城镇污水处理厂污染物排放标准》（GB18918-2002）表4中的限值要求</w:t>
            </w:r>
          </w:p>
        </w:tc>
      </w:tr>
      <w:tr w14:paraId="0E435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8" w:type="dxa"/>
            <w:vMerge w:val="continue"/>
            <w:noWrap w:val="0"/>
            <w:vAlign w:val="center"/>
          </w:tcPr>
          <w:p w14:paraId="27281C48">
            <w:pPr>
              <w:adjustRightInd w:val="0"/>
              <w:snapToGrid w:val="0"/>
              <w:jc w:val="center"/>
              <w:rPr>
                <w:rFonts w:hint="default" w:ascii="Times New Roman" w:hAnsi="Times New Roman" w:cs="Times New Roman"/>
                <w:color w:val="auto"/>
                <w:sz w:val="21"/>
                <w:szCs w:val="21"/>
                <w:highlight w:val="none"/>
                <w:lang w:val="en-US" w:eastAsia="zh-CN"/>
              </w:rPr>
            </w:pPr>
          </w:p>
        </w:tc>
        <w:tc>
          <w:tcPr>
            <w:tcW w:w="1806" w:type="dxa"/>
            <w:noWrap w:val="0"/>
            <w:vAlign w:val="center"/>
          </w:tcPr>
          <w:p w14:paraId="5951E1D0">
            <w:pPr>
              <w:adjustRightInd w:val="0"/>
              <w:snapToGrid w:val="0"/>
              <w:jc w:val="center"/>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食堂</w:t>
            </w:r>
          </w:p>
        </w:tc>
        <w:tc>
          <w:tcPr>
            <w:tcW w:w="1400" w:type="dxa"/>
            <w:noWrap w:val="0"/>
            <w:vAlign w:val="center"/>
          </w:tcPr>
          <w:p w14:paraId="34834899">
            <w:pPr>
              <w:adjustRightInd w:val="0"/>
              <w:snapToGrid w:val="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eastAsia="zh-CN"/>
              </w:rPr>
              <w:t>油烟</w:t>
            </w:r>
          </w:p>
        </w:tc>
        <w:tc>
          <w:tcPr>
            <w:tcW w:w="2069" w:type="dxa"/>
            <w:noWrap w:val="0"/>
            <w:vAlign w:val="center"/>
          </w:tcPr>
          <w:p w14:paraId="0438DBB7">
            <w:pPr>
              <w:adjustRightInd w:val="0"/>
              <w:snapToGrid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食堂油烟经抽油烟机收集后通过管道引至厂房顶部排放。</w:t>
            </w:r>
          </w:p>
        </w:tc>
        <w:tc>
          <w:tcPr>
            <w:tcW w:w="2114" w:type="dxa"/>
            <w:noWrap w:val="0"/>
            <w:vAlign w:val="center"/>
          </w:tcPr>
          <w:p w14:paraId="5FE4B920">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《饮食业油烟排放标准（试行）》（GB18483-2001）</w:t>
            </w:r>
          </w:p>
        </w:tc>
      </w:tr>
      <w:tr w14:paraId="10AB14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498" w:type="dxa"/>
            <w:noWrap w:val="0"/>
            <w:vAlign w:val="center"/>
          </w:tcPr>
          <w:p w14:paraId="6DE35A7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地表水环境</w:t>
            </w:r>
          </w:p>
        </w:tc>
        <w:tc>
          <w:tcPr>
            <w:tcW w:w="1806" w:type="dxa"/>
            <w:noWrap w:val="0"/>
            <w:vAlign w:val="center"/>
          </w:tcPr>
          <w:p w14:paraId="480E7D30">
            <w:pPr>
              <w:snapToGrid w:val="0"/>
              <w:spacing w:before="31" w:beforeLines="10" w:after="31" w:afterLines="1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污水总排口</w:t>
            </w:r>
          </w:p>
        </w:tc>
        <w:tc>
          <w:tcPr>
            <w:tcW w:w="1400" w:type="dxa"/>
            <w:noWrap w:val="0"/>
            <w:vAlign w:val="center"/>
          </w:tcPr>
          <w:p w14:paraId="35909DFA">
            <w:pPr>
              <w:snapToGrid w:val="0"/>
              <w:spacing w:before="31" w:beforeLines="10" w:after="31" w:afterLines="1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pH、</w:t>
            </w:r>
            <w:r>
              <w:rPr>
                <w:rFonts w:hint="default" w:ascii="Times New Roman" w:hAnsi="Times New Roman" w:cs="Times New Roman"/>
                <w:color w:val="auto"/>
                <w:szCs w:val="21"/>
                <w:highlight w:val="none"/>
              </w:rPr>
              <w:t>SS、COD、BOD</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、氨氮</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TN、TP</w:t>
            </w:r>
          </w:p>
        </w:tc>
        <w:tc>
          <w:tcPr>
            <w:tcW w:w="2069" w:type="dxa"/>
            <w:noWrap w:val="0"/>
            <w:vAlign w:val="center"/>
          </w:tcPr>
          <w:p w14:paraId="6CC4241F">
            <w:pPr>
              <w:keepNext/>
              <w:keepLines/>
              <w:topLinePunct/>
              <w:snapToGrid w:val="0"/>
              <w:spacing w:before="31" w:beforeLines="10" w:after="31" w:afterLines="1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污水处理系统，采用“格栅渠+集水池+旋流沉砂池+调节池+AAO+二沉池+高密度沉淀池+滤布滤池+接触消毒池”的组合工艺</w:t>
            </w:r>
          </w:p>
        </w:tc>
        <w:tc>
          <w:tcPr>
            <w:tcW w:w="2114" w:type="dxa"/>
            <w:noWrap w:val="0"/>
            <w:vAlign w:val="center"/>
          </w:tcPr>
          <w:p w14:paraId="4BCDF8ED">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城镇污水处理厂</w:t>
            </w:r>
            <w:r>
              <w:rPr>
                <w:rFonts w:hint="default" w:ascii="Times New Roman" w:hAnsi="Times New Roman" w:cs="Times New Roman"/>
                <w:color w:val="auto"/>
                <w:szCs w:val="21"/>
                <w:highlight w:val="none"/>
              </w:rPr>
              <w:t>污染物排放标准》</w:t>
            </w:r>
            <w:r>
              <w:rPr>
                <w:rFonts w:hint="eastAsia" w:cs="Times New Roman"/>
                <w:color w:val="auto"/>
                <w:kern w:val="2"/>
                <w:sz w:val="21"/>
                <w:szCs w:val="21"/>
                <w:highlight w:val="none"/>
                <w:lang w:val="en-US" w:eastAsia="zh-CN" w:bidi="ar-SA"/>
              </w:rPr>
              <w:t>表1中一级A标准和2025年修改单表4中瞬时值标准</w:t>
            </w:r>
          </w:p>
        </w:tc>
      </w:tr>
      <w:tr w14:paraId="7606DE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1" w:hRule="atLeast"/>
          <w:jc w:val="center"/>
        </w:trPr>
        <w:tc>
          <w:tcPr>
            <w:tcW w:w="1498" w:type="dxa"/>
            <w:noWrap w:val="0"/>
            <w:vAlign w:val="center"/>
          </w:tcPr>
          <w:p w14:paraId="3F613FA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806" w:type="dxa"/>
            <w:noWrap w:val="0"/>
            <w:vAlign w:val="center"/>
          </w:tcPr>
          <w:p w14:paraId="3217C913">
            <w:pPr>
              <w:snapToGrid w:val="0"/>
              <w:spacing w:before="31" w:beforeLines="10" w:after="31" w:afterLines="1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泵</w:t>
            </w:r>
            <w:r>
              <w:rPr>
                <w:rFonts w:hint="eastAsia" w:cs="Times New Roman"/>
                <w:color w:val="auto"/>
                <w:szCs w:val="21"/>
                <w:highlight w:val="none"/>
                <w:lang w:val="en-US" w:eastAsia="zh-CN"/>
              </w:rPr>
              <w:t>体</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风机等</w:t>
            </w:r>
          </w:p>
        </w:tc>
        <w:tc>
          <w:tcPr>
            <w:tcW w:w="1400" w:type="dxa"/>
            <w:noWrap w:val="0"/>
            <w:vAlign w:val="center"/>
          </w:tcPr>
          <w:p w14:paraId="18A7C0A6">
            <w:pPr>
              <w:snapToGrid w:val="0"/>
              <w:spacing w:before="31" w:beforeLines="10" w:after="31" w:afterLines="1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噪声</w:t>
            </w:r>
          </w:p>
        </w:tc>
        <w:tc>
          <w:tcPr>
            <w:tcW w:w="2069" w:type="dxa"/>
            <w:noWrap w:val="0"/>
            <w:vAlign w:val="center"/>
          </w:tcPr>
          <w:p w14:paraId="487CE510">
            <w:pPr>
              <w:snapToGrid w:val="0"/>
              <w:spacing w:before="31" w:beforeLines="10" w:after="31" w:afterLines="1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采用</w:t>
            </w:r>
            <w:r>
              <w:rPr>
                <w:rFonts w:hint="default" w:ascii="Times New Roman" w:hAnsi="Times New Roman" w:cs="Times New Roman"/>
                <w:color w:val="auto"/>
                <w:szCs w:val="21"/>
                <w:highlight w:val="none"/>
                <w:lang w:eastAsia="zh-CN"/>
              </w:rPr>
              <w:t>厂房封闭、低噪声设备、合理布局、设置绿化带等</w:t>
            </w:r>
            <w:r>
              <w:rPr>
                <w:rFonts w:hint="default" w:ascii="Times New Roman" w:hAnsi="Times New Roman" w:cs="Times New Roman"/>
                <w:color w:val="auto"/>
                <w:szCs w:val="21"/>
                <w:highlight w:val="none"/>
              </w:rPr>
              <w:t>措施</w:t>
            </w:r>
            <w:r>
              <w:rPr>
                <w:rFonts w:hint="default" w:ascii="Times New Roman" w:hAnsi="Times New Roman" w:cs="Times New Roman"/>
                <w:color w:val="auto"/>
                <w:szCs w:val="21"/>
                <w:highlight w:val="none"/>
                <w:lang w:eastAsia="zh-CN"/>
              </w:rPr>
              <w:t>。</w:t>
            </w:r>
          </w:p>
        </w:tc>
        <w:tc>
          <w:tcPr>
            <w:tcW w:w="2114" w:type="dxa"/>
            <w:noWrap w:val="0"/>
            <w:vAlign w:val="center"/>
          </w:tcPr>
          <w:p w14:paraId="69462166">
            <w:pPr>
              <w:snapToGrid w:val="0"/>
              <w:spacing w:before="31" w:beforeLines="10" w:after="31" w:afterLines="1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《工业企业厂界环境噪声排放标准》（GB</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12348-2008）中2类区</w:t>
            </w:r>
            <w:r>
              <w:rPr>
                <w:rFonts w:hint="eastAsia" w:cs="Times New Roman"/>
                <w:color w:val="auto"/>
                <w:szCs w:val="21"/>
                <w:highlight w:val="none"/>
                <w:lang w:eastAsia="zh-CN"/>
              </w:rPr>
              <w:t>标准</w:t>
            </w:r>
          </w:p>
        </w:tc>
      </w:tr>
      <w:tr w14:paraId="5B19BB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8" w:type="dxa"/>
            <w:noWrap w:val="0"/>
            <w:vAlign w:val="center"/>
          </w:tcPr>
          <w:p w14:paraId="68536BF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电磁辐射</w:t>
            </w:r>
          </w:p>
        </w:tc>
        <w:tc>
          <w:tcPr>
            <w:tcW w:w="7389" w:type="dxa"/>
            <w:gridSpan w:val="4"/>
            <w:noWrap w:val="0"/>
            <w:vAlign w:val="center"/>
          </w:tcPr>
          <w:p w14:paraId="025AFED2">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19DCAD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498" w:type="dxa"/>
            <w:noWrap w:val="0"/>
            <w:vAlign w:val="center"/>
          </w:tcPr>
          <w:p w14:paraId="2C17FFE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7389" w:type="dxa"/>
            <w:gridSpan w:val="4"/>
            <w:noWrap w:val="0"/>
            <w:vAlign w:val="center"/>
          </w:tcPr>
          <w:p w14:paraId="17E3FCF8">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①生活垃圾经垃圾桶集中收集后送至就近垃圾收集点，交由环卫部门处理</w:t>
            </w:r>
            <w:r>
              <w:rPr>
                <w:rFonts w:hint="eastAsia" w:ascii="宋体" w:hAnsi="宋体" w:cs="宋体"/>
                <w:color w:val="auto"/>
                <w:highlight w:val="none"/>
                <w:lang w:eastAsia="zh-CN"/>
              </w:rPr>
              <w:t>；</w:t>
            </w:r>
          </w:p>
          <w:p w14:paraId="1BB5DA39">
            <w:pPr>
              <w:kinsoku w:val="0"/>
              <w:overflowPunct w:val="0"/>
              <w:autoSpaceDE w:val="0"/>
              <w:autoSpaceDN w:val="0"/>
              <w:snapToGrid w:val="0"/>
              <w:jc w:val="both"/>
              <w:rPr>
                <w:rFonts w:hint="default" w:ascii="Times New Roman" w:hAnsi="Times New Roman" w:cs="Times New Roman"/>
                <w:color w:val="auto"/>
                <w:highlight w:val="none"/>
              </w:rPr>
            </w:pPr>
            <w:r>
              <w:rPr>
                <w:rFonts w:hint="eastAsia" w:ascii="宋体" w:hAnsi="宋体" w:eastAsia="宋体" w:cs="宋体"/>
                <w:color w:val="auto"/>
                <w:highlight w:val="none"/>
              </w:rPr>
              <w:t>②</w:t>
            </w:r>
            <w:r>
              <w:rPr>
                <w:rFonts w:hint="default" w:ascii="Times New Roman" w:hAnsi="Times New Roman" w:cs="Times New Roman"/>
                <w:color w:val="auto"/>
                <w:highlight w:val="none"/>
              </w:rPr>
              <w:t>格栅渣日产日清</w:t>
            </w:r>
            <w:r>
              <w:rPr>
                <w:rFonts w:hint="eastAsia" w:ascii="Times New Roman" w:hAnsi="Times New Roman" w:cs="Times New Roman"/>
                <w:color w:val="auto"/>
                <w:highlight w:val="none"/>
                <w:lang w:eastAsia="zh-CN"/>
              </w:rPr>
              <w:t>，与生活垃圾一同</w:t>
            </w:r>
            <w:r>
              <w:rPr>
                <w:rFonts w:hint="eastAsia" w:ascii="宋体" w:hAnsi="宋体" w:eastAsia="宋体" w:cs="宋体"/>
                <w:color w:val="auto"/>
                <w:highlight w:val="none"/>
              </w:rPr>
              <w:t>交由环卫部门</w:t>
            </w:r>
            <w:r>
              <w:rPr>
                <w:rFonts w:hint="eastAsia" w:ascii="Times New Roman" w:hAnsi="Times New Roman" w:cs="Times New Roman"/>
                <w:color w:val="auto"/>
                <w:highlight w:val="none"/>
                <w:lang w:eastAsia="zh-CN"/>
              </w:rPr>
              <w:t>处置</w:t>
            </w:r>
            <w:r>
              <w:rPr>
                <w:rFonts w:hint="default" w:ascii="Times New Roman" w:hAnsi="Times New Roman" w:cs="Times New Roman"/>
                <w:color w:val="auto"/>
                <w:highlight w:val="none"/>
              </w:rPr>
              <w:t>；</w:t>
            </w:r>
          </w:p>
          <w:p w14:paraId="2E2AAF41">
            <w:pPr>
              <w:kinsoku w:val="0"/>
              <w:overflowPunct w:val="0"/>
              <w:autoSpaceDE w:val="0"/>
              <w:autoSpaceDN w:val="0"/>
              <w:snapToGrid w:val="0"/>
              <w:jc w:val="both"/>
              <w:rPr>
                <w:rFonts w:hint="default" w:ascii="Times New Roman" w:hAnsi="Times New Roman" w:cs="Times New Roman"/>
                <w:color w:val="auto"/>
                <w:highlight w:val="none"/>
              </w:rPr>
            </w:pPr>
            <w:r>
              <w:rPr>
                <w:rFonts w:hint="eastAsia" w:ascii="宋体" w:hAnsi="宋体" w:eastAsia="宋体" w:cs="宋体"/>
                <w:color w:val="auto"/>
                <w:highlight w:val="none"/>
              </w:rPr>
              <w:t>③</w:t>
            </w:r>
            <w:r>
              <w:rPr>
                <w:rFonts w:hint="eastAsia" w:ascii="宋体" w:hAnsi="宋体" w:eastAsia="宋体" w:cs="宋体"/>
                <w:color w:val="auto"/>
                <w:highlight w:val="none"/>
                <w:lang w:val="en-US" w:eastAsia="zh-CN"/>
              </w:rPr>
              <w:t>污泥经浓缩+脱水后暂存于污泥斗内，定期外运至</w:t>
            </w:r>
            <w:r>
              <w:rPr>
                <w:rFonts w:hint="eastAsia" w:ascii="宋体" w:hAnsi="宋体" w:cs="宋体"/>
                <w:color w:val="auto"/>
                <w:highlight w:val="none"/>
                <w:lang w:val="en-US" w:eastAsia="zh-CN"/>
              </w:rPr>
              <w:t>附近砖厂制砖</w:t>
            </w:r>
            <w:r>
              <w:rPr>
                <w:rFonts w:hint="default" w:ascii="Times New Roman" w:hAnsi="Times New Roman" w:cs="Times New Roman"/>
                <w:color w:val="auto"/>
                <w:highlight w:val="none"/>
              </w:rPr>
              <w:t>；</w:t>
            </w:r>
          </w:p>
          <w:p w14:paraId="5B7EE298">
            <w:pPr>
              <w:adjustRightInd w:val="0"/>
              <w:snapToGrid w:val="0"/>
              <w:jc w:val="both"/>
              <w:rPr>
                <w:rFonts w:hint="default" w:ascii="Times New Roman" w:hAnsi="Times New Roman" w:cs="Times New Roman"/>
                <w:color w:val="auto"/>
                <w:highlight w:val="none"/>
                <w:lang w:val="en-US" w:eastAsia="zh-CN"/>
              </w:rPr>
            </w:pPr>
            <w:r>
              <w:rPr>
                <w:rFonts w:hint="eastAsia" w:ascii="宋体" w:hAnsi="宋体" w:eastAsia="宋体" w:cs="宋体"/>
                <w:color w:val="auto"/>
                <w:highlight w:val="none"/>
              </w:rPr>
              <w:t>④</w:t>
            </w:r>
            <w:r>
              <w:rPr>
                <w:rFonts w:hint="default" w:ascii="Times New Roman" w:hAnsi="Times New Roman" w:cs="Times New Roman"/>
                <w:color w:val="auto"/>
                <w:highlight w:val="none"/>
              </w:rPr>
              <w:t>危险废物</w:t>
            </w:r>
            <w:r>
              <w:rPr>
                <w:rFonts w:hint="eastAsia" w:cs="Times New Roman"/>
                <w:color w:val="auto"/>
                <w:highlight w:val="none"/>
                <w:lang w:eastAsia="zh-CN"/>
              </w:rPr>
              <w:t>在</w:t>
            </w:r>
            <w:r>
              <w:rPr>
                <w:rFonts w:hint="default" w:ascii="Times New Roman" w:hAnsi="Times New Roman" w:cs="Times New Roman"/>
                <w:color w:val="auto"/>
                <w:highlight w:val="none"/>
              </w:rPr>
              <w:t>危废</w:t>
            </w:r>
            <w:r>
              <w:rPr>
                <w:rFonts w:hint="default" w:ascii="Times New Roman" w:hAnsi="Times New Roman" w:cs="Times New Roman"/>
                <w:color w:val="auto"/>
                <w:highlight w:val="none"/>
                <w:lang w:val="en-US" w:eastAsia="zh-CN"/>
              </w:rPr>
              <w:t>间暂存后定期</w:t>
            </w:r>
            <w:r>
              <w:rPr>
                <w:rFonts w:hint="default" w:ascii="Times New Roman" w:hAnsi="Times New Roman" w:cs="Times New Roman"/>
                <w:color w:val="auto"/>
                <w:highlight w:val="none"/>
              </w:rPr>
              <w:t>交</w:t>
            </w:r>
            <w:r>
              <w:rPr>
                <w:rFonts w:hint="eastAsia" w:cs="Times New Roman"/>
                <w:color w:val="auto"/>
                <w:highlight w:val="none"/>
                <w:lang w:eastAsia="zh-CN"/>
              </w:rPr>
              <w:t>由</w:t>
            </w:r>
            <w:r>
              <w:rPr>
                <w:rFonts w:hint="default" w:ascii="Times New Roman" w:hAnsi="Times New Roman" w:cs="Times New Roman"/>
                <w:color w:val="auto"/>
                <w:highlight w:val="none"/>
              </w:rPr>
              <w:t>有资质单位处置</w:t>
            </w:r>
            <w:r>
              <w:rPr>
                <w:rFonts w:hint="eastAsia" w:cs="Times New Roman"/>
                <w:color w:val="auto"/>
                <w:highlight w:val="none"/>
                <w:lang w:eastAsia="zh-CN"/>
              </w:rPr>
              <w:t>。</w:t>
            </w:r>
          </w:p>
        </w:tc>
      </w:tr>
      <w:tr w14:paraId="778F77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498" w:type="dxa"/>
            <w:noWrap w:val="0"/>
            <w:vAlign w:val="center"/>
          </w:tcPr>
          <w:p w14:paraId="7DD5D14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土壤及地下水</w:t>
            </w:r>
          </w:p>
          <w:p w14:paraId="0817D76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污染防治措施</w:t>
            </w:r>
          </w:p>
        </w:tc>
        <w:tc>
          <w:tcPr>
            <w:tcW w:w="7389" w:type="dxa"/>
            <w:gridSpan w:val="4"/>
            <w:noWrap w:val="0"/>
            <w:vAlign w:val="center"/>
          </w:tcPr>
          <w:p w14:paraId="0B84A2B6">
            <w:pPr>
              <w:keepNext w:val="0"/>
              <w:keepLines w:val="0"/>
              <w:suppressLineNumbers w:val="0"/>
              <w:adjustRightInd w:val="0"/>
              <w:snapToGrid w:val="0"/>
              <w:spacing w:before="0" w:beforeAutospacing="0" w:after="0" w:afterAutospacing="0"/>
              <w:ind w:left="0" w:leftChars="0" w:right="0" w:rightChars="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 w:val="21"/>
                <w:szCs w:val="21"/>
                <w:highlight w:val="none"/>
                <w:lang w:eastAsia="zh-CN"/>
              </w:rPr>
              <w:t>加强</w:t>
            </w:r>
            <w:r>
              <w:rPr>
                <w:rFonts w:hint="default" w:ascii="Times New Roman" w:hAnsi="Times New Roman" w:cs="Times New Roman"/>
                <w:color w:val="auto"/>
                <w:sz w:val="21"/>
                <w:szCs w:val="21"/>
                <w:highlight w:val="none"/>
              </w:rPr>
              <w:t>对污水输送管道、</w:t>
            </w:r>
            <w:r>
              <w:rPr>
                <w:rFonts w:hint="default" w:ascii="Times New Roman" w:hAnsi="Times New Roman" w:cs="Times New Roman"/>
                <w:color w:val="auto"/>
                <w:sz w:val="21"/>
                <w:szCs w:val="21"/>
                <w:highlight w:val="none"/>
                <w:lang w:eastAsia="zh-CN"/>
              </w:rPr>
              <w:t>各污水处理池</w:t>
            </w:r>
            <w:r>
              <w:rPr>
                <w:rFonts w:hint="eastAsia" w:cs="Times New Roman"/>
                <w:color w:val="auto"/>
                <w:sz w:val="21"/>
                <w:szCs w:val="21"/>
                <w:highlight w:val="none"/>
                <w:lang w:eastAsia="zh-CN"/>
              </w:rPr>
              <w:t>体</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危废暂存</w:t>
            </w:r>
            <w:r>
              <w:rPr>
                <w:rFonts w:hint="default" w:ascii="Times New Roman" w:hAnsi="Times New Roman" w:cs="Times New Roman"/>
                <w:color w:val="auto"/>
                <w:sz w:val="21"/>
                <w:szCs w:val="21"/>
                <w:highlight w:val="none"/>
                <w:lang w:eastAsia="zh-CN"/>
              </w:rPr>
              <w:t>间</w:t>
            </w:r>
            <w:r>
              <w:rPr>
                <w:rFonts w:hint="eastAsia" w:cs="Times New Roman"/>
                <w:color w:val="auto"/>
                <w:sz w:val="21"/>
                <w:szCs w:val="21"/>
                <w:highlight w:val="none"/>
                <w:lang w:eastAsia="zh-CN"/>
              </w:rPr>
              <w:t>等定期</w:t>
            </w:r>
            <w:r>
              <w:rPr>
                <w:rFonts w:hint="default" w:ascii="Times New Roman" w:hAnsi="Times New Roman" w:cs="Times New Roman"/>
                <w:color w:val="auto"/>
                <w:sz w:val="21"/>
                <w:szCs w:val="21"/>
                <w:highlight w:val="none"/>
              </w:rPr>
              <w:t>检查和维护，尽量防止泄漏事件发生</w:t>
            </w:r>
            <w:r>
              <w:rPr>
                <w:rFonts w:hint="eastAsia" w:cs="Times New Roman"/>
                <w:color w:val="auto"/>
                <w:sz w:val="21"/>
                <w:szCs w:val="21"/>
                <w:highlight w:val="none"/>
                <w:lang w:eastAsia="zh-CN"/>
              </w:rPr>
              <w:t>；此外，根据各设施功能做好分区防渗：</w:t>
            </w:r>
            <w:r>
              <w:rPr>
                <w:rFonts w:hint="eastAsia" w:cs="Times New Roman"/>
                <w:color w:val="auto"/>
                <w:sz w:val="21"/>
                <w:szCs w:val="21"/>
                <w:highlight w:val="none"/>
                <w:lang w:val="en-US" w:eastAsia="zh-CN"/>
              </w:rPr>
              <w:t>综合管理用房进行简单防渗，综合设备用房中鼓风机房、配电室及加药间采取一般防渗处理，污水处理区、污泥处理区、危废暂存间、废水处理药剂存放区、柴油发电机房和除臭区全部进行重点防渗处理</w:t>
            </w:r>
            <w:r>
              <w:rPr>
                <w:rFonts w:hint="default" w:ascii="Times New Roman" w:hAnsi="Times New Roman" w:eastAsia="宋体" w:cs="Times New Roman"/>
                <w:color w:val="auto"/>
                <w:szCs w:val="21"/>
                <w:highlight w:val="none"/>
                <w:lang w:val="en-US" w:eastAsia="zh-CN"/>
              </w:rPr>
              <w:t>。</w:t>
            </w:r>
          </w:p>
        </w:tc>
      </w:tr>
      <w:tr w14:paraId="1772F4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498" w:type="dxa"/>
            <w:noWrap w:val="0"/>
            <w:vAlign w:val="center"/>
          </w:tcPr>
          <w:p w14:paraId="71AF59CD">
            <w:pPr>
              <w:keepNext w:val="0"/>
              <w:keepLines w:val="0"/>
              <w:suppressLineNumbers w:val="0"/>
              <w:adjustRightInd w:val="0"/>
              <w:snapToGrid w:val="0"/>
              <w:spacing w:before="0" w:beforeAutospacing="0" w:after="0" w:afterAutospacing="0"/>
              <w:ind w:left="0" w:leftChars="0" w:right="0" w:right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生态保护措施</w:t>
            </w:r>
          </w:p>
        </w:tc>
        <w:tc>
          <w:tcPr>
            <w:tcW w:w="7389" w:type="dxa"/>
            <w:gridSpan w:val="4"/>
            <w:noWrap w:val="0"/>
            <w:vAlign w:val="center"/>
          </w:tcPr>
          <w:p w14:paraId="66F48F1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E358E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498" w:type="dxa"/>
            <w:noWrap w:val="0"/>
            <w:vAlign w:val="center"/>
          </w:tcPr>
          <w:p w14:paraId="50D43EF5">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环境风险</w:t>
            </w:r>
          </w:p>
          <w:p w14:paraId="6957CA49">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防范措施</w:t>
            </w:r>
          </w:p>
        </w:tc>
        <w:tc>
          <w:tcPr>
            <w:tcW w:w="7389" w:type="dxa"/>
            <w:gridSpan w:val="4"/>
            <w:noWrap w:val="0"/>
            <w:vAlign w:val="center"/>
          </w:tcPr>
          <w:p w14:paraId="4C4FC23D">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①</w:t>
            </w:r>
            <w:r>
              <w:rPr>
                <w:rFonts w:hint="eastAsia" w:cs="Times New Roman"/>
                <w:color w:val="auto"/>
                <w:sz w:val="21"/>
                <w:szCs w:val="21"/>
                <w:highlight w:val="none"/>
                <w:lang w:val="en-US" w:eastAsia="zh-CN"/>
              </w:rPr>
              <w:t>次氯酸钠消毒剂</w:t>
            </w:r>
            <w:r>
              <w:rPr>
                <w:rFonts w:hint="default" w:ascii="Times New Roman" w:hAnsi="Times New Roman" w:eastAsia="宋体" w:cs="Times New Roman"/>
                <w:color w:val="auto"/>
                <w:sz w:val="21"/>
                <w:szCs w:val="21"/>
                <w:highlight w:val="none"/>
              </w:rPr>
              <w:t>严格管理，随取随用，将其储存于阴凉、干燥、通风处，不在厂区内大量堆放。</w:t>
            </w:r>
          </w:p>
          <w:p w14:paraId="468F9865">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②</w:t>
            </w:r>
            <w:r>
              <w:rPr>
                <w:rFonts w:hint="default" w:ascii="Times New Roman" w:hAnsi="Times New Roman" w:cs="Times New Roman"/>
                <w:color w:val="auto"/>
                <w:sz w:val="21"/>
                <w:szCs w:val="21"/>
                <w:highlight w:val="none"/>
              </w:rPr>
              <w:t>制定污水管道维护方案和安全操作规程。</w:t>
            </w:r>
          </w:p>
          <w:p w14:paraId="6883152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③</w:t>
            </w:r>
            <w:r>
              <w:rPr>
                <w:rFonts w:hint="default" w:ascii="Times New Roman" w:hAnsi="Times New Roman" w:cs="Times New Roman"/>
                <w:color w:val="auto"/>
                <w:sz w:val="21"/>
                <w:szCs w:val="21"/>
                <w:highlight w:val="none"/>
              </w:rPr>
              <w:t>日常通过加强对外宣传的形式对项目沿线的居民、村民进行保护宣传，防止其他施工行为造成管线损坏。</w:t>
            </w:r>
          </w:p>
          <w:p w14:paraId="37CF3E0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④</w:t>
            </w:r>
            <w:r>
              <w:rPr>
                <w:rFonts w:hint="default" w:ascii="Times New Roman" w:hAnsi="Times New Roman" w:cs="Times New Roman"/>
                <w:color w:val="auto"/>
                <w:sz w:val="21"/>
                <w:szCs w:val="21"/>
                <w:highlight w:val="none"/>
              </w:rPr>
              <w:t>定期实施检查、维护，确保正常运作</w:t>
            </w:r>
            <w:r>
              <w:rPr>
                <w:rFonts w:hint="default" w:ascii="Times New Roman" w:hAnsi="Times New Roman" w:cs="Times New Roman"/>
                <w:color w:val="auto"/>
                <w:sz w:val="21"/>
                <w:szCs w:val="21"/>
                <w:highlight w:val="none"/>
                <w:lang w:eastAsia="zh-CN"/>
              </w:rPr>
              <w:t>。</w:t>
            </w:r>
          </w:p>
          <w:p w14:paraId="61901473">
            <w:pPr>
              <w:pStyle w:val="2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⑤加强事故苗头控制，做到定期巡检，调节、保养、维修，及时发现可能引起事故的异常运行苗头，消除事故隐患。</w:t>
            </w:r>
          </w:p>
          <w:p w14:paraId="3060531E">
            <w:pPr>
              <w:snapToGrid w:val="0"/>
              <w:spacing w:line="240" w:lineRule="auto"/>
              <w:jc w:val="both"/>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⑥</w:t>
            </w:r>
            <w:r>
              <w:rPr>
                <w:rFonts w:hint="default" w:ascii="Times New Roman" w:hAnsi="Times New Roman" w:cs="Times New Roman"/>
                <w:color w:val="auto"/>
                <w:sz w:val="21"/>
                <w:szCs w:val="21"/>
                <w:highlight w:val="none"/>
                <w:lang w:val="en-US" w:eastAsia="zh-CN"/>
              </w:rPr>
              <w:t>加强运行管理和出水的监测工作，未经处理达标的污水严禁外排。</w:t>
            </w:r>
          </w:p>
          <w:p w14:paraId="3344C810">
            <w:pPr>
              <w:pStyle w:val="40"/>
              <w:rPr>
                <w:rFonts w:hint="default"/>
                <w:color w:val="auto"/>
                <w:highlight w:val="none"/>
                <w:lang w:val="en-US" w:eastAsia="zh-CN"/>
              </w:rPr>
            </w:pPr>
            <w:r>
              <w:rPr>
                <w:rFonts w:hint="eastAsia" w:ascii="宋体" w:hAnsi="宋体" w:eastAsia="宋体" w:cs="宋体"/>
                <w:color w:val="auto"/>
                <w:sz w:val="21"/>
                <w:szCs w:val="21"/>
                <w:highlight w:val="none"/>
                <w:lang w:val="en-US" w:eastAsia="zh-CN"/>
              </w:rPr>
              <w:t>⑦编制突发环境事件应急预案，并按照预案要求进行应急演练。</w:t>
            </w:r>
          </w:p>
        </w:tc>
      </w:tr>
      <w:tr w14:paraId="495067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98" w:type="dxa"/>
            <w:noWrap w:val="0"/>
            <w:vAlign w:val="center"/>
          </w:tcPr>
          <w:p w14:paraId="788B267F">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其他环境</w:t>
            </w:r>
          </w:p>
          <w:p w14:paraId="33A09378">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管理要求</w:t>
            </w:r>
          </w:p>
        </w:tc>
        <w:tc>
          <w:tcPr>
            <w:tcW w:w="7389" w:type="dxa"/>
            <w:gridSpan w:val="4"/>
            <w:noWrap w:val="0"/>
            <w:vAlign w:val="center"/>
          </w:tcPr>
          <w:p w14:paraId="4D4388E1">
            <w:pPr>
              <w:adjustRightInd w:val="0"/>
              <w:snapToGrid w:val="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 w:val="21"/>
                <w:szCs w:val="21"/>
                <w:highlight w:val="none"/>
                <w:lang w:eastAsia="zh-CN"/>
              </w:rPr>
              <w:t>项目</w:t>
            </w:r>
            <w:r>
              <w:rPr>
                <w:rFonts w:hint="default" w:ascii="Times New Roman" w:hAnsi="Times New Roman" w:cs="Times New Roman"/>
                <w:color w:val="auto"/>
                <w:sz w:val="21"/>
                <w:szCs w:val="21"/>
                <w:highlight w:val="none"/>
                <w:lang w:val="en-US" w:eastAsia="zh-CN"/>
              </w:rPr>
              <w:t>取得环评批复</w:t>
            </w:r>
            <w:r>
              <w:rPr>
                <w:rFonts w:hint="default" w:ascii="Times New Roman" w:hAnsi="Times New Roman" w:cs="Times New Roman"/>
                <w:color w:val="auto"/>
                <w:sz w:val="21"/>
                <w:szCs w:val="21"/>
                <w:highlight w:val="none"/>
                <w:lang w:eastAsia="zh-CN"/>
              </w:rPr>
              <w:t>后，建设单位应办理排污许可手续，并</w:t>
            </w:r>
            <w:r>
              <w:rPr>
                <w:rFonts w:hint="default" w:ascii="Times New Roman" w:hAnsi="Times New Roman" w:cs="Times New Roman"/>
                <w:color w:val="auto"/>
                <w:sz w:val="21"/>
                <w:szCs w:val="21"/>
                <w:highlight w:val="none"/>
              </w:rPr>
              <w:t>按照《建设项目竣工环境保护验收管理办法》中的相关规定，及时进行自主验收，并报当地生态环境主管部门备案</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bidi="ar"/>
              </w:rPr>
              <w:t>按照废气、废水污染源监测要求和噪声排放监测要求，组织开展自行监测工作，监测工作可委托第三方具有检测认证资质的专业机构。</w:t>
            </w:r>
          </w:p>
        </w:tc>
      </w:tr>
    </w:tbl>
    <w:p w14:paraId="0846704C">
      <w:pPr>
        <w:pStyle w:val="28"/>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bookmarkStart w:id="67" w:name="_Toc21986"/>
      <w:bookmarkStart w:id="68" w:name="_Toc22792"/>
      <w:bookmarkStart w:id="69" w:name="_Toc9604"/>
      <w:bookmarkStart w:id="70" w:name="_Toc6625"/>
      <w:bookmarkStart w:id="71" w:name="_Toc7374"/>
      <w:bookmarkStart w:id="72" w:name="_Toc19804"/>
      <w:bookmarkStart w:id="73" w:name="_Toc1938"/>
      <w:bookmarkStart w:id="74" w:name="_Toc13068"/>
      <w:bookmarkStart w:id="75" w:name="_Toc3062"/>
      <w:r>
        <w:rPr>
          <w:rFonts w:hint="default" w:ascii="Times New Roman" w:hAnsi="Times New Roman" w:eastAsia="黑体" w:cs="Times New Roman"/>
          <w:snapToGrid w:val="0"/>
          <w:color w:val="auto"/>
          <w:sz w:val="30"/>
          <w:szCs w:val="30"/>
          <w:highlight w:val="none"/>
        </w:rPr>
        <w:t>六、结论</w:t>
      </w:r>
      <w:bookmarkEnd w:id="67"/>
      <w:bookmarkEnd w:id="68"/>
      <w:bookmarkEnd w:id="69"/>
      <w:bookmarkEnd w:id="70"/>
      <w:bookmarkEnd w:id="71"/>
      <w:bookmarkEnd w:id="72"/>
      <w:bookmarkEnd w:id="73"/>
      <w:bookmarkEnd w:id="74"/>
      <w:bookmarkEnd w:id="75"/>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52A0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65" w:type="dxa"/>
            <w:noWrap w:val="0"/>
            <w:vAlign w:val="top"/>
          </w:tcPr>
          <w:p w14:paraId="1F127096">
            <w:pPr>
              <w:snapToGrid w:val="0"/>
              <w:spacing w:line="372"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本项目建设无重大制约因素，通过采取设计及环评提出的各项措施，确保环保资金及时到位、环保设施正常运行，废气、噪声可做到达标排放</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员工生活污水经化粪池处理后接入厂区污水处理系统中预处理段，处理达标后排入溢水河</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固废可做到无害化或资源化处置。</w:t>
            </w:r>
          </w:p>
          <w:p w14:paraId="77B4B98E">
            <w:pPr>
              <w:snapToGrid w:val="0"/>
              <w:spacing w:line="372"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综上，从环保角度看，该建设项目可行。</w:t>
            </w:r>
          </w:p>
          <w:p w14:paraId="77103005">
            <w:pPr>
              <w:pStyle w:val="14"/>
              <w:spacing w:line="360" w:lineRule="auto"/>
              <w:ind w:firstLine="480" w:firstLineChars="200"/>
              <w:jc w:val="both"/>
              <w:rPr>
                <w:rFonts w:hint="default" w:ascii="Times New Roman" w:hAnsi="Times New Roman" w:eastAsia="宋体" w:cs="Times New Roman"/>
                <w:color w:val="auto"/>
                <w:sz w:val="24"/>
                <w:szCs w:val="24"/>
                <w:highlight w:val="none"/>
                <w:lang w:val="en-US" w:eastAsia="zh-CN"/>
              </w:rPr>
            </w:pPr>
          </w:p>
          <w:p w14:paraId="556E30D3">
            <w:pPr>
              <w:rPr>
                <w:rFonts w:hint="default" w:ascii="Times New Roman" w:hAnsi="Times New Roman" w:cs="Times New Roman"/>
                <w:color w:val="auto"/>
                <w:sz w:val="24"/>
                <w:highlight w:val="none"/>
              </w:rPr>
            </w:pPr>
          </w:p>
          <w:p w14:paraId="10A2C32F">
            <w:pPr>
              <w:pStyle w:val="30"/>
              <w:rPr>
                <w:rFonts w:hint="default" w:ascii="Times New Roman" w:hAnsi="Times New Roman" w:cs="Times New Roman"/>
                <w:color w:val="auto"/>
                <w:highlight w:val="none"/>
              </w:rPr>
            </w:pPr>
          </w:p>
          <w:p w14:paraId="1474925A">
            <w:pPr>
              <w:rPr>
                <w:rFonts w:hint="default" w:ascii="Times New Roman" w:hAnsi="Times New Roman" w:cs="Times New Roman"/>
                <w:color w:val="auto"/>
                <w:highlight w:val="none"/>
              </w:rPr>
            </w:pPr>
          </w:p>
          <w:p w14:paraId="314600AC">
            <w:pPr>
              <w:pStyle w:val="5"/>
              <w:rPr>
                <w:rFonts w:hint="default" w:ascii="Times New Roman" w:hAnsi="Times New Roman" w:cs="Times New Roman"/>
                <w:color w:val="auto"/>
                <w:highlight w:val="none"/>
              </w:rPr>
            </w:pPr>
          </w:p>
          <w:p w14:paraId="0F7FF663">
            <w:pPr>
              <w:pStyle w:val="5"/>
              <w:rPr>
                <w:rFonts w:hint="default" w:ascii="Times New Roman" w:hAnsi="Times New Roman" w:cs="Times New Roman"/>
                <w:color w:val="auto"/>
                <w:highlight w:val="none"/>
              </w:rPr>
            </w:pPr>
          </w:p>
          <w:p w14:paraId="0C823125">
            <w:pPr>
              <w:pStyle w:val="5"/>
              <w:rPr>
                <w:rFonts w:hint="default" w:ascii="Times New Roman" w:hAnsi="Times New Roman" w:cs="Times New Roman"/>
                <w:color w:val="auto"/>
                <w:highlight w:val="none"/>
              </w:rPr>
            </w:pPr>
          </w:p>
          <w:p w14:paraId="6F60B04E">
            <w:pPr>
              <w:pStyle w:val="5"/>
              <w:rPr>
                <w:rFonts w:hint="default" w:ascii="Times New Roman" w:hAnsi="Times New Roman" w:cs="Times New Roman"/>
                <w:color w:val="auto"/>
                <w:highlight w:val="none"/>
              </w:rPr>
            </w:pPr>
          </w:p>
          <w:p w14:paraId="2375B06B">
            <w:pPr>
              <w:pStyle w:val="5"/>
              <w:rPr>
                <w:rFonts w:hint="default" w:ascii="Times New Roman" w:hAnsi="Times New Roman" w:cs="Times New Roman"/>
                <w:color w:val="auto"/>
                <w:highlight w:val="none"/>
              </w:rPr>
            </w:pPr>
          </w:p>
          <w:p w14:paraId="612FE384">
            <w:pPr>
              <w:pStyle w:val="5"/>
              <w:rPr>
                <w:rFonts w:hint="default" w:ascii="Times New Roman" w:hAnsi="Times New Roman" w:cs="Times New Roman"/>
                <w:color w:val="auto"/>
                <w:highlight w:val="none"/>
              </w:rPr>
            </w:pPr>
          </w:p>
          <w:p w14:paraId="33B0B41E">
            <w:pPr>
              <w:pStyle w:val="5"/>
              <w:rPr>
                <w:rFonts w:hint="default" w:ascii="Times New Roman" w:hAnsi="Times New Roman" w:cs="Times New Roman"/>
                <w:color w:val="auto"/>
                <w:highlight w:val="none"/>
              </w:rPr>
            </w:pPr>
          </w:p>
          <w:p w14:paraId="00544E7F">
            <w:pPr>
              <w:numPr>
                <w:ilvl w:val="0"/>
                <w:numId w:val="0"/>
              </w:numPr>
              <w:rPr>
                <w:rFonts w:hint="default" w:ascii="Times New Roman" w:hAnsi="Times New Roman" w:cs="Times New Roman"/>
                <w:color w:val="auto"/>
                <w:highlight w:val="none"/>
                <w:lang w:val="en-US" w:eastAsia="zh-CN"/>
              </w:rPr>
            </w:pPr>
          </w:p>
          <w:p w14:paraId="7C6F8F84">
            <w:pPr>
              <w:pStyle w:val="40"/>
              <w:rPr>
                <w:rFonts w:hint="default" w:ascii="Times New Roman" w:hAnsi="Times New Roman" w:cs="Times New Roman"/>
                <w:color w:val="auto"/>
                <w:highlight w:val="none"/>
                <w:lang w:val="en-US" w:eastAsia="zh-CN"/>
              </w:rPr>
            </w:pPr>
          </w:p>
          <w:p w14:paraId="03BBCB5C">
            <w:pPr>
              <w:pStyle w:val="42"/>
              <w:rPr>
                <w:rFonts w:hint="default" w:ascii="Times New Roman" w:hAnsi="Times New Roman" w:cs="Times New Roman"/>
                <w:color w:val="auto"/>
                <w:highlight w:val="none"/>
                <w:lang w:val="en-US" w:eastAsia="zh-CN"/>
              </w:rPr>
            </w:pPr>
          </w:p>
          <w:p w14:paraId="1E367783">
            <w:pPr>
              <w:rPr>
                <w:rFonts w:hint="default" w:ascii="Times New Roman" w:hAnsi="Times New Roman" w:cs="Times New Roman"/>
                <w:color w:val="auto"/>
                <w:highlight w:val="none"/>
                <w:lang w:val="en-US" w:eastAsia="zh-CN"/>
              </w:rPr>
            </w:pPr>
          </w:p>
          <w:p w14:paraId="28084869">
            <w:pPr>
              <w:pStyle w:val="40"/>
              <w:rPr>
                <w:rFonts w:hint="default" w:ascii="Times New Roman" w:hAnsi="Times New Roman" w:cs="Times New Roman"/>
                <w:color w:val="auto"/>
                <w:highlight w:val="none"/>
                <w:lang w:val="en-US" w:eastAsia="zh-CN"/>
              </w:rPr>
            </w:pPr>
          </w:p>
          <w:p w14:paraId="159EC51B">
            <w:pPr>
              <w:pStyle w:val="42"/>
              <w:rPr>
                <w:rFonts w:hint="default" w:ascii="Times New Roman" w:hAnsi="Times New Roman" w:cs="Times New Roman"/>
                <w:color w:val="auto"/>
                <w:highlight w:val="none"/>
                <w:lang w:val="en-US" w:eastAsia="zh-CN"/>
              </w:rPr>
            </w:pPr>
          </w:p>
          <w:p w14:paraId="487E1FED">
            <w:pPr>
              <w:rPr>
                <w:rFonts w:hint="default" w:ascii="Times New Roman" w:hAnsi="Times New Roman" w:cs="Times New Roman"/>
                <w:color w:val="auto"/>
                <w:highlight w:val="none"/>
                <w:lang w:val="en-US" w:eastAsia="zh-CN"/>
              </w:rPr>
            </w:pPr>
          </w:p>
          <w:p w14:paraId="7B5FB206">
            <w:pPr>
              <w:pStyle w:val="40"/>
              <w:rPr>
                <w:rFonts w:hint="default" w:ascii="Times New Roman" w:hAnsi="Times New Roman" w:cs="Times New Roman"/>
                <w:color w:val="auto"/>
                <w:highlight w:val="none"/>
                <w:lang w:val="en-US" w:eastAsia="zh-CN"/>
              </w:rPr>
            </w:pPr>
          </w:p>
          <w:p w14:paraId="78BA228A">
            <w:pPr>
              <w:pStyle w:val="42"/>
              <w:rPr>
                <w:rFonts w:hint="default" w:ascii="Times New Roman" w:hAnsi="Times New Roman" w:cs="Times New Roman"/>
                <w:color w:val="auto"/>
                <w:highlight w:val="none"/>
                <w:lang w:val="en-US" w:eastAsia="zh-CN"/>
              </w:rPr>
            </w:pPr>
          </w:p>
          <w:p w14:paraId="230AFC71">
            <w:pPr>
              <w:rPr>
                <w:rFonts w:hint="default" w:ascii="Times New Roman" w:hAnsi="Times New Roman" w:cs="Times New Roman"/>
                <w:color w:val="auto"/>
                <w:highlight w:val="none"/>
                <w:lang w:val="en-US" w:eastAsia="zh-CN"/>
              </w:rPr>
            </w:pPr>
          </w:p>
          <w:p w14:paraId="0EDD4A08">
            <w:pPr>
              <w:pStyle w:val="40"/>
              <w:rPr>
                <w:rFonts w:hint="default" w:ascii="Times New Roman" w:hAnsi="Times New Roman" w:cs="Times New Roman"/>
                <w:color w:val="auto"/>
                <w:highlight w:val="none"/>
                <w:lang w:val="en-US" w:eastAsia="zh-CN"/>
              </w:rPr>
            </w:pPr>
          </w:p>
          <w:p w14:paraId="508A486A">
            <w:pPr>
              <w:pStyle w:val="42"/>
              <w:rPr>
                <w:rFonts w:hint="default" w:ascii="Times New Roman" w:hAnsi="Times New Roman" w:cs="Times New Roman"/>
                <w:color w:val="auto"/>
                <w:highlight w:val="none"/>
                <w:lang w:val="en-US" w:eastAsia="zh-CN"/>
              </w:rPr>
            </w:pPr>
          </w:p>
          <w:p w14:paraId="4C0903BB">
            <w:pPr>
              <w:rPr>
                <w:rFonts w:hint="default" w:ascii="Times New Roman" w:hAnsi="Times New Roman" w:cs="Times New Roman"/>
                <w:color w:val="auto"/>
                <w:highlight w:val="none"/>
                <w:lang w:val="en-US" w:eastAsia="zh-CN"/>
              </w:rPr>
            </w:pPr>
          </w:p>
          <w:p w14:paraId="3076E10A">
            <w:pPr>
              <w:pStyle w:val="40"/>
              <w:rPr>
                <w:rFonts w:hint="default" w:ascii="Times New Roman" w:hAnsi="Times New Roman" w:cs="Times New Roman"/>
                <w:color w:val="auto"/>
                <w:highlight w:val="none"/>
                <w:lang w:val="en-US" w:eastAsia="zh-CN"/>
              </w:rPr>
            </w:pPr>
          </w:p>
          <w:p w14:paraId="62E0C3A1">
            <w:pPr>
              <w:pStyle w:val="42"/>
              <w:rPr>
                <w:rFonts w:hint="default" w:ascii="Times New Roman" w:hAnsi="Times New Roman" w:cs="Times New Roman"/>
                <w:color w:val="auto"/>
                <w:highlight w:val="none"/>
                <w:lang w:val="en-US" w:eastAsia="zh-CN"/>
              </w:rPr>
            </w:pPr>
          </w:p>
          <w:p w14:paraId="187BD1FE">
            <w:pPr>
              <w:rPr>
                <w:rFonts w:hint="default" w:ascii="Times New Roman" w:hAnsi="Times New Roman" w:cs="Times New Roman"/>
                <w:color w:val="auto"/>
                <w:highlight w:val="none"/>
                <w:lang w:val="en-US" w:eastAsia="zh-CN"/>
              </w:rPr>
            </w:pPr>
          </w:p>
          <w:p w14:paraId="3287C401">
            <w:pPr>
              <w:pStyle w:val="40"/>
              <w:rPr>
                <w:rFonts w:hint="default" w:ascii="Times New Roman" w:hAnsi="Times New Roman" w:cs="Times New Roman"/>
                <w:color w:val="auto"/>
                <w:highlight w:val="none"/>
                <w:lang w:val="en-US" w:eastAsia="zh-CN"/>
              </w:rPr>
            </w:pPr>
          </w:p>
          <w:p w14:paraId="2C53307D">
            <w:pPr>
              <w:pStyle w:val="42"/>
              <w:rPr>
                <w:rFonts w:hint="default" w:ascii="Times New Roman" w:hAnsi="Times New Roman" w:cs="Times New Roman"/>
                <w:color w:val="auto"/>
                <w:highlight w:val="none"/>
                <w:lang w:val="en-US" w:eastAsia="zh-CN"/>
              </w:rPr>
            </w:pPr>
          </w:p>
          <w:p w14:paraId="47B25242">
            <w:pPr>
              <w:rPr>
                <w:rFonts w:hint="default"/>
                <w:color w:val="auto"/>
                <w:highlight w:val="none"/>
                <w:lang w:val="en-US" w:eastAsia="zh-CN"/>
              </w:rPr>
            </w:pPr>
          </w:p>
        </w:tc>
      </w:tr>
    </w:tbl>
    <w:p w14:paraId="557623F4">
      <w:pPr>
        <w:rPr>
          <w:rFonts w:hint="default" w:ascii="Times New Roman" w:hAnsi="Times New Roman" w:cs="Times New Roman"/>
          <w:color w:val="auto"/>
          <w:highlight w:val="none"/>
        </w:rPr>
        <w:sectPr>
          <w:footerReference r:id="rId6"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C1BC073">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textAlignment w:val="auto"/>
        <w:outlineLvl w:val="0"/>
        <w:rPr>
          <w:rFonts w:hint="default" w:ascii="Times New Roman" w:hAnsi="Times New Roman" w:eastAsia="黑体" w:cs="Times New Roman"/>
          <w:snapToGrid w:val="0"/>
          <w:color w:val="auto"/>
          <w:sz w:val="32"/>
          <w:szCs w:val="32"/>
          <w:highlight w:val="none"/>
        </w:rPr>
      </w:pPr>
      <w:bookmarkStart w:id="76" w:name="_Toc26717"/>
      <w:bookmarkStart w:id="77" w:name="_Toc2924"/>
      <w:bookmarkStart w:id="78" w:name="_Toc26431"/>
      <w:bookmarkStart w:id="79" w:name="_Toc19756"/>
      <w:bookmarkStart w:id="80" w:name="_Toc23595"/>
      <w:bookmarkStart w:id="81" w:name="_Toc5224"/>
      <w:bookmarkStart w:id="82" w:name="_Toc25447"/>
      <w:bookmarkStart w:id="83" w:name="_Toc18575"/>
      <w:bookmarkStart w:id="84" w:name="_Toc15632"/>
      <w:r>
        <w:rPr>
          <w:rFonts w:hint="default" w:ascii="Times New Roman" w:hAnsi="Times New Roman" w:eastAsia="黑体" w:cs="Times New Roman"/>
          <w:snapToGrid w:val="0"/>
          <w:color w:val="auto"/>
          <w:sz w:val="32"/>
          <w:szCs w:val="32"/>
          <w:highlight w:val="none"/>
        </w:rPr>
        <w:t>附表</w:t>
      </w:r>
      <w:bookmarkEnd w:id="76"/>
      <w:bookmarkEnd w:id="77"/>
      <w:bookmarkEnd w:id="78"/>
      <w:bookmarkEnd w:id="79"/>
      <w:bookmarkEnd w:id="80"/>
      <w:bookmarkEnd w:id="81"/>
      <w:bookmarkEnd w:id="82"/>
      <w:bookmarkEnd w:id="83"/>
      <w:bookmarkEnd w:id="84"/>
    </w:p>
    <w:p w14:paraId="0DE2EE3B">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outlineLvl w:val="0"/>
        <w:rPr>
          <w:rFonts w:hint="default" w:ascii="Times New Roman" w:hAnsi="Times New Roman" w:eastAsia="方正小标宋_GBK" w:cs="Times New Roman"/>
          <w:snapToGrid w:val="0"/>
          <w:color w:val="auto"/>
          <w:sz w:val="38"/>
          <w:szCs w:val="38"/>
          <w:highlight w:val="none"/>
        </w:rPr>
      </w:pPr>
      <w:bookmarkStart w:id="85" w:name="_Toc29876"/>
      <w:bookmarkStart w:id="86" w:name="_Toc26931"/>
      <w:bookmarkStart w:id="87" w:name="_Toc24664"/>
      <w:bookmarkStart w:id="88" w:name="_Toc28222"/>
      <w:bookmarkStart w:id="89" w:name="_Toc6814"/>
      <w:bookmarkStart w:id="90" w:name="_Toc13049"/>
      <w:bookmarkStart w:id="91" w:name="_Toc4740"/>
      <w:bookmarkStart w:id="92" w:name="_Toc28663"/>
      <w:bookmarkStart w:id="93" w:name="_Toc2277"/>
      <w:r>
        <w:rPr>
          <w:rFonts w:hint="default" w:ascii="Times New Roman" w:hAnsi="Times New Roman" w:eastAsia="方正小标宋_GBK" w:cs="Times New Roman"/>
          <w:snapToGrid w:val="0"/>
          <w:color w:val="auto"/>
          <w:sz w:val="38"/>
          <w:szCs w:val="38"/>
          <w:highlight w:val="none"/>
        </w:rPr>
        <w:t>建设项目污染物排放量汇总表</w:t>
      </w:r>
      <w:bookmarkEnd w:id="85"/>
      <w:bookmarkEnd w:id="86"/>
      <w:bookmarkEnd w:id="87"/>
      <w:bookmarkEnd w:id="88"/>
      <w:bookmarkEnd w:id="89"/>
      <w:bookmarkEnd w:id="90"/>
      <w:bookmarkEnd w:id="91"/>
      <w:bookmarkEnd w:id="92"/>
      <w:bookmarkEnd w:id="93"/>
    </w:p>
    <w:tbl>
      <w:tblPr>
        <w:tblStyle w:val="31"/>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540"/>
        <w:gridCol w:w="1540"/>
        <w:gridCol w:w="1540"/>
        <w:gridCol w:w="1540"/>
        <w:gridCol w:w="1612"/>
        <w:gridCol w:w="1468"/>
        <w:gridCol w:w="1543"/>
      </w:tblGrid>
      <w:tr w14:paraId="493ABE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noWrap w:val="0"/>
            <w:tcMar>
              <w:left w:w="28" w:type="dxa"/>
              <w:right w:w="28" w:type="dxa"/>
            </w:tcMar>
            <w:vAlign w:val="center"/>
          </w:tcPr>
          <w:p w14:paraId="58A06290">
            <w:pPr>
              <w:pStyle w:val="64"/>
              <w:spacing w:beforeLines="0" w:afterLines="0" w:line="240" w:lineRule="auto"/>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46AA6AAA">
            <w:pPr>
              <w:pStyle w:val="64"/>
              <w:spacing w:beforeLines="0" w:afterLines="0" w:line="240" w:lineRule="auto"/>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417" w:type="dxa"/>
            <w:noWrap w:val="0"/>
            <w:tcMar>
              <w:left w:w="28" w:type="dxa"/>
              <w:right w:w="28" w:type="dxa"/>
            </w:tcMar>
            <w:vAlign w:val="center"/>
          </w:tcPr>
          <w:p w14:paraId="5A3E0733">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540" w:type="dxa"/>
            <w:noWrap w:val="0"/>
            <w:tcMar>
              <w:left w:w="28" w:type="dxa"/>
              <w:right w:w="28" w:type="dxa"/>
            </w:tcMar>
            <w:vAlign w:val="center"/>
          </w:tcPr>
          <w:p w14:paraId="2607C654">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6DF16E77">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540" w:type="dxa"/>
            <w:noWrap w:val="0"/>
            <w:tcMar>
              <w:left w:w="28" w:type="dxa"/>
              <w:right w:w="28" w:type="dxa"/>
            </w:tcMar>
            <w:vAlign w:val="center"/>
          </w:tcPr>
          <w:p w14:paraId="1ECF1D5C">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6B1EB938">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540" w:type="dxa"/>
            <w:noWrap w:val="0"/>
            <w:tcMar>
              <w:left w:w="28" w:type="dxa"/>
              <w:right w:w="28" w:type="dxa"/>
            </w:tcMar>
            <w:vAlign w:val="center"/>
          </w:tcPr>
          <w:p w14:paraId="5C2F9C89">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4DE7FBAA">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40" w:type="dxa"/>
            <w:noWrap w:val="0"/>
            <w:tcMar>
              <w:left w:w="28" w:type="dxa"/>
              <w:right w:w="28" w:type="dxa"/>
            </w:tcMar>
            <w:vAlign w:val="center"/>
          </w:tcPr>
          <w:p w14:paraId="0A3BDD18">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50B71B20">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612" w:type="dxa"/>
            <w:noWrap w:val="0"/>
            <w:tcMar>
              <w:left w:w="28" w:type="dxa"/>
              <w:right w:w="28" w:type="dxa"/>
            </w:tcMar>
            <w:vAlign w:val="center"/>
          </w:tcPr>
          <w:p w14:paraId="3E708494">
            <w:pPr>
              <w:pStyle w:val="6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39307D78">
            <w:pPr>
              <w:pStyle w:val="6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468" w:type="dxa"/>
            <w:noWrap w:val="0"/>
            <w:tcMar>
              <w:left w:w="28" w:type="dxa"/>
              <w:right w:w="28" w:type="dxa"/>
            </w:tcMar>
            <w:vAlign w:val="center"/>
          </w:tcPr>
          <w:p w14:paraId="10DD95B2">
            <w:pPr>
              <w:pStyle w:val="6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304D7538">
            <w:pPr>
              <w:pStyle w:val="6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543" w:type="dxa"/>
            <w:noWrap w:val="0"/>
            <w:tcMar>
              <w:left w:w="28" w:type="dxa"/>
              <w:right w:w="28" w:type="dxa"/>
            </w:tcMar>
            <w:vAlign w:val="center"/>
          </w:tcPr>
          <w:p w14:paraId="7FEB4C17">
            <w:pPr>
              <w:pStyle w:val="6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3E6A1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restart"/>
            <w:noWrap w:val="0"/>
            <w:vAlign w:val="center"/>
          </w:tcPr>
          <w:p w14:paraId="402ECB67">
            <w:pPr>
              <w:pStyle w:val="64"/>
              <w:spacing w:beforeLines="0" w:afterLines="0" w:line="240" w:lineRule="auto"/>
              <w:rPr>
                <w:rFonts w:hint="default" w:ascii="Times New Roman" w:hAnsi="Times New Roman" w:eastAsia="宋体" w:cs="Times New Roman"/>
                <w:snapToGrid w:val="0"/>
                <w:color w:val="auto"/>
                <w:kern w:val="21"/>
                <w:szCs w:val="21"/>
                <w:highlight w:val="none"/>
                <w:lang w:eastAsia="zh-CN"/>
              </w:rPr>
            </w:pPr>
            <w:r>
              <w:rPr>
                <w:rFonts w:hint="default" w:ascii="Times New Roman" w:hAnsi="Times New Roman" w:cs="Times New Roman"/>
                <w:snapToGrid w:val="0"/>
                <w:color w:val="auto"/>
                <w:kern w:val="21"/>
                <w:szCs w:val="21"/>
                <w:highlight w:val="none"/>
                <w:lang w:eastAsia="zh-CN"/>
              </w:rPr>
              <w:t>废气</w:t>
            </w:r>
          </w:p>
        </w:tc>
        <w:tc>
          <w:tcPr>
            <w:tcW w:w="1417" w:type="dxa"/>
            <w:noWrap w:val="0"/>
            <w:vAlign w:val="center"/>
          </w:tcPr>
          <w:p w14:paraId="3C9BADAD">
            <w:pPr>
              <w:pStyle w:val="64"/>
              <w:spacing w:beforeLines="0" w:afterLines="0" w:line="240" w:lineRule="auto"/>
              <w:rPr>
                <w:rFonts w:hint="default" w:ascii="Times New Roman" w:hAnsi="Times New Roman" w:eastAsia="宋体" w:cs="Times New Roman"/>
                <w:snapToGrid w:val="0"/>
                <w:color w:val="auto"/>
                <w:kern w:val="21"/>
                <w:sz w:val="21"/>
                <w:szCs w:val="21"/>
                <w:highlight w:val="none"/>
                <w:lang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p>
        </w:tc>
        <w:tc>
          <w:tcPr>
            <w:tcW w:w="1540" w:type="dxa"/>
            <w:noWrap w:val="0"/>
            <w:vAlign w:val="center"/>
          </w:tcPr>
          <w:p w14:paraId="73FBFF8F">
            <w:pPr>
              <w:pStyle w:val="6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p>
        </w:tc>
        <w:tc>
          <w:tcPr>
            <w:tcW w:w="1540" w:type="dxa"/>
            <w:noWrap w:val="0"/>
            <w:vAlign w:val="center"/>
          </w:tcPr>
          <w:p w14:paraId="1624B233">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0" w:type="dxa"/>
            <w:noWrap w:val="0"/>
            <w:vAlign w:val="center"/>
          </w:tcPr>
          <w:p w14:paraId="23AF61E2">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7C07685F">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0.0957</w:t>
            </w:r>
            <w:r>
              <w:rPr>
                <w:rFonts w:hint="default" w:ascii="Times New Roman" w:hAnsi="Times New Roman" w:eastAsia="宋体" w:cs="Times New Roman"/>
                <w:snapToGrid w:val="0"/>
                <w:color w:val="auto"/>
                <w:kern w:val="21"/>
                <w:szCs w:val="21"/>
                <w:highlight w:val="none"/>
                <w:lang w:val="en-US" w:eastAsia="zh-CN"/>
              </w:rPr>
              <w:t>t/a</w:t>
            </w:r>
          </w:p>
        </w:tc>
        <w:tc>
          <w:tcPr>
            <w:tcW w:w="1612" w:type="dxa"/>
            <w:noWrap w:val="0"/>
            <w:vAlign w:val="center"/>
          </w:tcPr>
          <w:p w14:paraId="44ECE3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468" w:type="dxa"/>
            <w:noWrap w:val="0"/>
            <w:vAlign w:val="center"/>
          </w:tcPr>
          <w:p w14:paraId="47CF93E5">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3" w:type="dxa"/>
            <w:noWrap w:val="0"/>
            <w:vAlign w:val="center"/>
          </w:tcPr>
          <w:p w14:paraId="6B7CE69B">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55F28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20E04425">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18389E28">
            <w:pPr>
              <w:pStyle w:val="64"/>
              <w:spacing w:beforeLines="0" w:afterLines="0" w:line="240" w:lineRule="auto"/>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w:t>
            </w:r>
          </w:p>
        </w:tc>
        <w:tc>
          <w:tcPr>
            <w:tcW w:w="1540" w:type="dxa"/>
            <w:noWrap w:val="0"/>
            <w:vAlign w:val="center"/>
          </w:tcPr>
          <w:p w14:paraId="1121D7E7">
            <w:pPr>
              <w:pStyle w:val="6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p>
        </w:tc>
        <w:tc>
          <w:tcPr>
            <w:tcW w:w="1540" w:type="dxa"/>
            <w:noWrap w:val="0"/>
            <w:vAlign w:val="center"/>
          </w:tcPr>
          <w:p w14:paraId="1D565CDB">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0" w:type="dxa"/>
            <w:noWrap w:val="0"/>
            <w:vAlign w:val="center"/>
          </w:tcPr>
          <w:p w14:paraId="354F1A38">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2AF891AB">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0.0037</w:t>
            </w:r>
            <w:r>
              <w:rPr>
                <w:rFonts w:hint="default" w:ascii="Times New Roman" w:hAnsi="Times New Roman" w:eastAsia="宋体" w:cs="Times New Roman"/>
                <w:snapToGrid w:val="0"/>
                <w:color w:val="auto"/>
                <w:kern w:val="21"/>
                <w:szCs w:val="21"/>
                <w:highlight w:val="none"/>
                <w:lang w:val="en-US" w:eastAsia="zh-CN"/>
              </w:rPr>
              <w:t>t/a</w:t>
            </w:r>
          </w:p>
        </w:tc>
        <w:tc>
          <w:tcPr>
            <w:tcW w:w="1612" w:type="dxa"/>
            <w:noWrap w:val="0"/>
            <w:vAlign w:val="center"/>
          </w:tcPr>
          <w:p w14:paraId="3C6187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468" w:type="dxa"/>
            <w:noWrap w:val="0"/>
            <w:vAlign w:val="center"/>
          </w:tcPr>
          <w:p w14:paraId="21B70DD0">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3" w:type="dxa"/>
            <w:noWrap w:val="0"/>
            <w:vAlign w:val="center"/>
          </w:tcPr>
          <w:p w14:paraId="608945FD">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7E685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restart"/>
            <w:noWrap w:val="0"/>
            <w:vAlign w:val="center"/>
          </w:tcPr>
          <w:p w14:paraId="18CD165C">
            <w:pPr>
              <w:pStyle w:val="64"/>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417" w:type="dxa"/>
            <w:noWrap w:val="0"/>
            <w:vAlign w:val="center"/>
          </w:tcPr>
          <w:p w14:paraId="70E4CFC4">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COD</w:t>
            </w:r>
          </w:p>
        </w:tc>
        <w:tc>
          <w:tcPr>
            <w:tcW w:w="1540" w:type="dxa"/>
            <w:noWrap w:val="0"/>
            <w:vAlign w:val="center"/>
          </w:tcPr>
          <w:p w14:paraId="6486A183">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0" w:type="dxa"/>
            <w:noWrap w:val="0"/>
            <w:vAlign w:val="center"/>
          </w:tcPr>
          <w:p w14:paraId="5B1597B5">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2E8869E3">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0A4C38BE">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27.37</w:t>
            </w:r>
            <w:r>
              <w:rPr>
                <w:rFonts w:hint="default" w:ascii="Times New Roman" w:hAnsi="Times New Roman" w:eastAsia="宋体" w:cs="Times New Roman"/>
                <w:snapToGrid w:val="0"/>
                <w:color w:val="auto"/>
                <w:kern w:val="21"/>
                <w:sz w:val="21"/>
                <w:szCs w:val="21"/>
                <w:highlight w:val="none"/>
                <w:lang w:val="en-US" w:eastAsia="zh-CN"/>
              </w:rPr>
              <w:t>t/a</w:t>
            </w:r>
          </w:p>
        </w:tc>
        <w:tc>
          <w:tcPr>
            <w:tcW w:w="1612" w:type="dxa"/>
            <w:noWrap w:val="0"/>
            <w:vAlign w:val="center"/>
          </w:tcPr>
          <w:p w14:paraId="55BD942B">
            <w:pPr>
              <w:widowControl/>
              <w:jc w:val="center"/>
              <w:rPr>
                <w:rFonts w:hint="default" w:ascii="Times New Roman" w:hAnsi="Times New Roman" w:eastAsia="宋体" w:cs="Times New Roman"/>
                <w:color w:val="auto"/>
                <w:kern w:val="0"/>
                <w:sz w:val="21"/>
                <w:szCs w:val="21"/>
                <w:highlight w:val="none"/>
                <w:lang w:val="en-US" w:eastAsia="zh-CN"/>
              </w:rPr>
            </w:pPr>
          </w:p>
        </w:tc>
        <w:tc>
          <w:tcPr>
            <w:tcW w:w="1468" w:type="dxa"/>
            <w:noWrap w:val="0"/>
            <w:vAlign w:val="center"/>
          </w:tcPr>
          <w:p w14:paraId="34F2F897">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3" w:type="dxa"/>
            <w:noWrap w:val="0"/>
            <w:vAlign w:val="center"/>
          </w:tcPr>
          <w:p w14:paraId="3B60EC96">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7BB6CA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3FF702B2">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3364498A">
            <w:pPr>
              <w:widowControl/>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BOD</w:t>
            </w:r>
            <w:r>
              <w:rPr>
                <w:rFonts w:hint="default" w:ascii="Times New Roman" w:hAnsi="Times New Roman" w:cs="Times New Roman"/>
                <w:color w:val="auto"/>
                <w:kern w:val="0"/>
                <w:sz w:val="21"/>
                <w:szCs w:val="21"/>
                <w:highlight w:val="none"/>
                <w:vertAlign w:val="subscript"/>
                <w:lang w:val="en-US" w:eastAsia="zh-CN"/>
              </w:rPr>
              <w:t>5</w:t>
            </w:r>
          </w:p>
        </w:tc>
        <w:tc>
          <w:tcPr>
            <w:tcW w:w="1540" w:type="dxa"/>
            <w:noWrap w:val="0"/>
            <w:vAlign w:val="center"/>
          </w:tcPr>
          <w:p w14:paraId="3AD9F9D5">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0" w:type="dxa"/>
            <w:noWrap w:val="0"/>
            <w:vAlign w:val="center"/>
          </w:tcPr>
          <w:p w14:paraId="72F0ED8E">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4A462D80">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001541EE">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5.47</w:t>
            </w:r>
            <w:r>
              <w:rPr>
                <w:rFonts w:hint="default" w:ascii="Times New Roman" w:hAnsi="Times New Roman" w:eastAsia="宋体" w:cs="Times New Roman"/>
                <w:snapToGrid w:val="0"/>
                <w:color w:val="auto"/>
                <w:kern w:val="21"/>
                <w:sz w:val="21"/>
                <w:szCs w:val="21"/>
                <w:highlight w:val="none"/>
                <w:lang w:val="en-US" w:eastAsia="zh-CN"/>
              </w:rPr>
              <w:t>t/a</w:t>
            </w:r>
          </w:p>
        </w:tc>
        <w:tc>
          <w:tcPr>
            <w:tcW w:w="1612" w:type="dxa"/>
            <w:noWrap w:val="0"/>
            <w:vAlign w:val="center"/>
          </w:tcPr>
          <w:p w14:paraId="424981AE">
            <w:pPr>
              <w:widowControl/>
              <w:jc w:val="center"/>
              <w:rPr>
                <w:rFonts w:hint="default" w:ascii="Times New Roman" w:hAnsi="Times New Roman" w:eastAsia="宋体" w:cs="Times New Roman"/>
                <w:color w:val="auto"/>
                <w:kern w:val="0"/>
                <w:sz w:val="21"/>
                <w:szCs w:val="21"/>
                <w:highlight w:val="none"/>
                <w:lang w:val="en-US" w:eastAsia="zh-CN"/>
              </w:rPr>
            </w:pPr>
          </w:p>
        </w:tc>
        <w:tc>
          <w:tcPr>
            <w:tcW w:w="1468" w:type="dxa"/>
            <w:noWrap w:val="0"/>
            <w:vAlign w:val="center"/>
          </w:tcPr>
          <w:p w14:paraId="57C93F4D">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3" w:type="dxa"/>
            <w:noWrap w:val="0"/>
            <w:vAlign w:val="center"/>
          </w:tcPr>
          <w:p w14:paraId="610031F0">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77C1AC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276D8BFB">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125B5AE3">
            <w:pPr>
              <w:widowControl/>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SS</w:t>
            </w:r>
          </w:p>
        </w:tc>
        <w:tc>
          <w:tcPr>
            <w:tcW w:w="1540" w:type="dxa"/>
            <w:noWrap w:val="0"/>
            <w:vAlign w:val="center"/>
          </w:tcPr>
          <w:p w14:paraId="1E8FB189">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0" w:type="dxa"/>
            <w:noWrap w:val="0"/>
            <w:vAlign w:val="center"/>
          </w:tcPr>
          <w:p w14:paraId="4500E0B4">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5577C5BC">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36A9429C">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5.47</w:t>
            </w:r>
            <w:r>
              <w:rPr>
                <w:rFonts w:hint="default" w:ascii="Times New Roman" w:hAnsi="Times New Roman" w:eastAsia="宋体" w:cs="Times New Roman"/>
                <w:snapToGrid w:val="0"/>
                <w:color w:val="auto"/>
                <w:kern w:val="21"/>
                <w:sz w:val="21"/>
                <w:szCs w:val="21"/>
                <w:highlight w:val="none"/>
                <w:lang w:val="en-US" w:eastAsia="zh-CN"/>
              </w:rPr>
              <w:t>t/a</w:t>
            </w:r>
          </w:p>
        </w:tc>
        <w:tc>
          <w:tcPr>
            <w:tcW w:w="1612" w:type="dxa"/>
            <w:noWrap w:val="0"/>
            <w:vAlign w:val="center"/>
          </w:tcPr>
          <w:p w14:paraId="1EC6E1DD">
            <w:pPr>
              <w:widowControl/>
              <w:jc w:val="center"/>
              <w:rPr>
                <w:rFonts w:hint="default" w:ascii="Times New Roman" w:hAnsi="Times New Roman" w:eastAsia="宋体" w:cs="Times New Roman"/>
                <w:color w:val="auto"/>
                <w:kern w:val="0"/>
                <w:sz w:val="21"/>
                <w:szCs w:val="21"/>
                <w:highlight w:val="none"/>
                <w:lang w:val="en-US" w:eastAsia="zh-CN"/>
              </w:rPr>
            </w:pPr>
          </w:p>
        </w:tc>
        <w:tc>
          <w:tcPr>
            <w:tcW w:w="1468" w:type="dxa"/>
            <w:noWrap w:val="0"/>
            <w:vAlign w:val="center"/>
          </w:tcPr>
          <w:p w14:paraId="06ECD2B4">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3" w:type="dxa"/>
            <w:noWrap w:val="0"/>
            <w:vAlign w:val="center"/>
          </w:tcPr>
          <w:p w14:paraId="5A3ACC64">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728FF3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4C52AE52">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54A37E52">
            <w:pPr>
              <w:widowControl/>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NH</w:t>
            </w:r>
            <w:r>
              <w:rPr>
                <w:rFonts w:hint="default" w:ascii="Times New Roman" w:hAnsi="Times New Roman" w:cs="Times New Roman"/>
                <w:color w:val="auto"/>
                <w:kern w:val="0"/>
                <w:sz w:val="21"/>
                <w:szCs w:val="21"/>
                <w:highlight w:val="none"/>
                <w:vertAlign w:val="subscript"/>
                <w:lang w:val="en-US" w:eastAsia="zh-CN"/>
              </w:rPr>
              <w:t>3</w:t>
            </w:r>
            <w:r>
              <w:rPr>
                <w:rFonts w:hint="default" w:ascii="Times New Roman" w:hAnsi="Times New Roman" w:cs="Times New Roman"/>
                <w:color w:val="auto"/>
                <w:kern w:val="0"/>
                <w:sz w:val="21"/>
                <w:szCs w:val="21"/>
                <w:highlight w:val="none"/>
                <w:lang w:val="en-US" w:eastAsia="zh-CN"/>
              </w:rPr>
              <w:t>-N</w:t>
            </w:r>
          </w:p>
        </w:tc>
        <w:tc>
          <w:tcPr>
            <w:tcW w:w="1540" w:type="dxa"/>
            <w:noWrap w:val="0"/>
            <w:vAlign w:val="center"/>
          </w:tcPr>
          <w:p w14:paraId="77BABA15">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0" w:type="dxa"/>
            <w:noWrap w:val="0"/>
            <w:vAlign w:val="center"/>
          </w:tcPr>
          <w:p w14:paraId="0336866D">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30354F1C">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3ED91F57">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2.73</w:t>
            </w:r>
            <w:r>
              <w:rPr>
                <w:rFonts w:hint="default" w:ascii="Times New Roman" w:hAnsi="Times New Roman" w:eastAsia="宋体" w:cs="Times New Roman"/>
                <w:snapToGrid w:val="0"/>
                <w:color w:val="auto"/>
                <w:kern w:val="21"/>
                <w:sz w:val="21"/>
                <w:szCs w:val="21"/>
                <w:highlight w:val="none"/>
                <w:lang w:val="en-US" w:eastAsia="zh-CN"/>
              </w:rPr>
              <w:t>t/a</w:t>
            </w:r>
          </w:p>
        </w:tc>
        <w:tc>
          <w:tcPr>
            <w:tcW w:w="1612" w:type="dxa"/>
            <w:noWrap w:val="0"/>
            <w:vAlign w:val="center"/>
          </w:tcPr>
          <w:p w14:paraId="005BA2DA">
            <w:pPr>
              <w:widowControl/>
              <w:jc w:val="center"/>
              <w:rPr>
                <w:rFonts w:hint="default" w:ascii="Times New Roman" w:hAnsi="Times New Roman" w:eastAsia="宋体" w:cs="Times New Roman"/>
                <w:color w:val="auto"/>
                <w:kern w:val="0"/>
                <w:sz w:val="21"/>
                <w:szCs w:val="21"/>
                <w:highlight w:val="none"/>
                <w:lang w:val="en-US" w:eastAsia="zh-CN"/>
              </w:rPr>
            </w:pPr>
          </w:p>
        </w:tc>
        <w:tc>
          <w:tcPr>
            <w:tcW w:w="1468" w:type="dxa"/>
            <w:noWrap w:val="0"/>
            <w:vAlign w:val="center"/>
          </w:tcPr>
          <w:p w14:paraId="3CD4FFB6">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3" w:type="dxa"/>
            <w:noWrap w:val="0"/>
            <w:vAlign w:val="center"/>
          </w:tcPr>
          <w:p w14:paraId="12570BA7">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1DDBF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35089208">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606F9F8E">
            <w:pPr>
              <w:widowControl/>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T-N</w:t>
            </w:r>
          </w:p>
        </w:tc>
        <w:tc>
          <w:tcPr>
            <w:tcW w:w="1540" w:type="dxa"/>
            <w:noWrap w:val="0"/>
            <w:vAlign w:val="center"/>
          </w:tcPr>
          <w:p w14:paraId="14CE3A0D">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0" w:type="dxa"/>
            <w:noWrap w:val="0"/>
            <w:vAlign w:val="center"/>
          </w:tcPr>
          <w:p w14:paraId="473D61DB">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3282CC6C">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19F2F22A">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8.21</w:t>
            </w:r>
            <w:r>
              <w:rPr>
                <w:rFonts w:hint="default" w:ascii="Times New Roman" w:hAnsi="Times New Roman" w:eastAsia="宋体" w:cs="Times New Roman"/>
                <w:snapToGrid w:val="0"/>
                <w:color w:val="auto"/>
                <w:kern w:val="21"/>
                <w:sz w:val="21"/>
                <w:szCs w:val="21"/>
                <w:highlight w:val="none"/>
                <w:lang w:val="en-US" w:eastAsia="zh-CN"/>
              </w:rPr>
              <w:t>t/a</w:t>
            </w:r>
          </w:p>
        </w:tc>
        <w:tc>
          <w:tcPr>
            <w:tcW w:w="1612" w:type="dxa"/>
            <w:noWrap w:val="0"/>
            <w:vAlign w:val="center"/>
          </w:tcPr>
          <w:p w14:paraId="005B8359">
            <w:pPr>
              <w:widowControl/>
              <w:jc w:val="center"/>
              <w:rPr>
                <w:rFonts w:hint="default" w:ascii="Times New Roman" w:hAnsi="Times New Roman" w:eastAsia="宋体" w:cs="Times New Roman"/>
                <w:color w:val="auto"/>
                <w:kern w:val="0"/>
                <w:sz w:val="21"/>
                <w:szCs w:val="21"/>
                <w:highlight w:val="none"/>
                <w:lang w:val="en-US" w:eastAsia="zh-CN"/>
              </w:rPr>
            </w:pPr>
          </w:p>
        </w:tc>
        <w:tc>
          <w:tcPr>
            <w:tcW w:w="1468" w:type="dxa"/>
            <w:noWrap w:val="0"/>
            <w:vAlign w:val="center"/>
          </w:tcPr>
          <w:p w14:paraId="01019F5C">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3" w:type="dxa"/>
            <w:noWrap w:val="0"/>
            <w:vAlign w:val="center"/>
          </w:tcPr>
          <w:p w14:paraId="14FDB24D">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77388C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369CD288">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761AC31E">
            <w:pPr>
              <w:widowControl/>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T-P</w:t>
            </w:r>
          </w:p>
        </w:tc>
        <w:tc>
          <w:tcPr>
            <w:tcW w:w="1540" w:type="dxa"/>
            <w:noWrap w:val="0"/>
            <w:vAlign w:val="center"/>
          </w:tcPr>
          <w:p w14:paraId="0700ADA1">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0" w:type="dxa"/>
            <w:noWrap w:val="0"/>
            <w:vAlign w:val="center"/>
          </w:tcPr>
          <w:p w14:paraId="6F7AADCA">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66A37540">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4537E68F">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0.27</w:t>
            </w:r>
            <w:r>
              <w:rPr>
                <w:rFonts w:hint="default" w:ascii="Times New Roman" w:hAnsi="Times New Roman" w:eastAsia="宋体" w:cs="Times New Roman"/>
                <w:snapToGrid w:val="0"/>
                <w:color w:val="auto"/>
                <w:kern w:val="21"/>
                <w:sz w:val="21"/>
                <w:szCs w:val="21"/>
                <w:highlight w:val="none"/>
                <w:lang w:val="en-US" w:eastAsia="zh-CN"/>
              </w:rPr>
              <w:t>t/a</w:t>
            </w:r>
          </w:p>
        </w:tc>
        <w:tc>
          <w:tcPr>
            <w:tcW w:w="1612" w:type="dxa"/>
            <w:noWrap w:val="0"/>
            <w:vAlign w:val="center"/>
          </w:tcPr>
          <w:p w14:paraId="3547EAD3">
            <w:pPr>
              <w:widowControl/>
              <w:jc w:val="center"/>
              <w:rPr>
                <w:rFonts w:hint="default" w:ascii="Times New Roman" w:hAnsi="Times New Roman" w:eastAsia="宋体" w:cs="Times New Roman"/>
                <w:color w:val="auto"/>
                <w:kern w:val="0"/>
                <w:sz w:val="21"/>
                <w:szCs w:val="21"/>
                <w:highlight w:val="none"/>
                <w:lang w:val="en-US" w:eastAsia="zh-CN"/>
              </w:rPr>
            </w:pPr>
          </w:p>
        </w:tc>
        <w:tc>
          <w:tcPr>
            <w:tcW w:w="1468" w:type="dxa"/>
            <w:noWrap w:val="0"/>
            <w:vAlign w:val="center"/>
          </w:tcPr>
          <w:p w14:paraId="3D7DFE70">
            <w:pPr>
              <w:widowControl/>
              <w:jc w:val="center"/>
              <w:rPr>
                <w:rFonts w:hint="default" w:ascii="Times New Roman" w:hAnsi="Times New Roman" w:eastAsia="宋体" w:cs="Times New Roman"/>
                <w:color w:val="auto"/>
                <w:kern w:val="0"/>
                <w:sz w:val="21"/>
                <w:szCs w:val="21"/>
                <w:highlight w:val="none"/>
                <w:lang w:val="en-US" w:eastAsia="zh-CN" w:bidi="ar-SA"/>
              </w:rPr>
            </w:pPr>
          </w:p>
        </w:tc>
        <w:tc>
          <w:tcPr>
            <w:tcW w:w="1543" w:type="dxa"/>
            <w:noWrap w:val="0"/>
            <w:vAlign w:val="center"/>
          </w:tcPr>
          <w:p w14:paraId="3A65EEC4">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66EF3C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noWrap w:val="0"/>
            <w:vAlign w:val="center"/>
          </w:tcPr>
          <w:p w14:paraId="5C9B0C9F">
            <w:pPr>
              <w:pStyle w:val="64"/>
              <w:spacing w:beforeLines="0" w:afterLines="0" w:line="240" w:lineRule="auto"/>
              <w:rPr>
                <w:rFonts w:hint="default" w:ascii="Times New Roman" w:hAnsi="Times New Roman" w:cs="Times New Roman"/>
                <w:snapToGrid w:val="0"/>
                <w:color w:val="auto"/>
                <w:kern w:val="21"/>
                <w:szCs w:val="21"/>
                <w:highlight w:val="none"/>
                <w:lang w:eastAsia="zh-CN"/>
              </w:rPr>
            </w:pPr>
            <w:r>
              <w:rPr>
                <w:rFonts w:hint="eastAsia" w:ascii="Times New Roman" w:cs="Times New Roman"/>
                <w:snapToGrid w:val="0"/>
                <w:color w:val="auto"/>
                <w:kern w:val="21"/>
                <w:szCs w:val="21"/>
                <w:highlight w:val="none"/>
                <w:lang w:eastAsia="zh-CN"/>
              </w:rPr>
              <w:t>生活垃圾</w:t>
            </w:r>
          </w:p>
        </w:tc>
        <w:tc>
          <w:tcPr>
            <w:tcW w:w="1417" w:type="dxa"/>
            <w:noWrap w:val="0"/>
            <w:vAlign w:val="center"/>
          </w:tcPr>
          <w:p w14:paraId="62F4F323">
            <w:pPr>
              <w:jc w:val="center"/>
              <w:rPr>
                <w:rFonts w:hint="default" w:ascii="Times New Roman" w:hAnsi="Times New Roman" w:eastAsia="宋体" w:cs="Times New Roman"/>
                <w:snapToGrid w:val="0"/>
                <w:color w:val="auto"/>
                <w:kern w:val="21"/>
                <w:szCs w:val="21"/>
                <w:highlight w:val="none"/>
                <w:lang w:eastAsia="zh-CN"/>
              </w:rPr>
            </w:pPr>
            <w:r>
              <w:rPr>
                <w:rFonts w:hint="eastAsia" w:ascii="Times New Roman" w:cs="Times New Roman"/>
                <w:snapToGrid w:val="0"/>
                <w:color w:val="auto"/>
                <w:kern w:val="21"/>
                <w:szCs w:val="21"/>
                <w:highlight w:val="none"/>
                <w:lang w:eastAsia="zh-CN"/>
              </w:rPr>
              <w:t>生活垃圾</w:t>
            </w:r>
          </w:p>
        </w:tc>
        <w:tc>
          <w:tcPr>
            <w:tcW w:w="1540" w:type="dxa"/>
            <w:noWrap w:val="0"/>
            <w:vAlign w:val="center"/>
          </w:tcPr>
          <w:p w14:paraId="79F375A3">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0" w:type="dxa"/>
            <w:noWrap w:val="0"/>
            <w:vAlign w:val="center"/>
          </w:tcPr>
          <w:p w14:paraId="57D965DB">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19C8C8AD">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4DC306CC">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5.686</w:t>
            </w:r>
            <w:r>
              <w:rPr>
                <w:rFonts w:hint="default" w:ascii="Times New Roman" w:hAnsi="Times New Roman" w:eastAsia="宋体" w:cs="Times New Roman"/>
                <w:snapToGrid w:val="0"/>
                <w:color w:val="auto"/>
                <w:kern w:val="21"/>
                <w:szCs w:val="21"/>
                <w:highlight w:val="none"/>
                <w:lang w:val="en-US" w:eastAsia="zh-CN"/>
              </w:rPr>
              <w:t>t/a</w:t>
            </w:r>
          </w:p>
        </w:tc>
        <w:tc>
          <w:tcPr>
            <w:tcW w:w="1612" w:type="dxa"/>
            <w:noWrap w:val="0"/>
            <w:vAlign w:val="center"/>
          </w:tcPr>
          <w:p w14:paraId="4D172F51">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68" w:type="dxa"/>
            <w:noWrap w:val="0"/>
            <w:vAlign w:val="center"/>
          </w:tcPr>
          <w:p w14:paraId="57E4D6B8">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3" w:type="dxa"/>
            <w:noWrap w:val="0"/>
            <w:vAlign w:val="center"/>
          </w:tcPr>
          <w:p w14:paraId="03729F45">
            <w:pPr>
              <w:pStyle w:val="64"/>
              <w:spacing w:beforeLines="0" w:afterLines="0" w:line="240" w:lineRule="auto"/>
              <w:rPr>
                <w:rFonts w:hint="default" w:ascii="Times New Roman" w:hAnsi="Times New Roman" w:cs="Times New Roman"/>
                <w:snapToGrid w:val="0"/>
                <w:color w:val="auto"/>
                <w:kern w:val="21"/>
                <w:szCs w:val="21"/>
                <w:highlight w:val="none"/>
              </w:rPr>
            </w:pPr>
          </w:p>
        </w:tc>
      </w:tr>
      <w:tr w14:paraId="0A87A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restart"/>
            <w:noWrap w:val="0"/>
            <w:vAlign w:val="center"/>
          </w:tcPr>
          <w:p w14:paraId="3E98F963">
            <w:pPr>
              <w:pStyle w:val="64"/>
              <w:spacing w:beforeLines="0" w:afterLines="0" w:line="240" w:lineRule="auto"/>
              <w:rPr>
                <w:rFonts w:hint="default" w:ascii="Times New Roman" w:hAnsi="Times New Roman" w:eastAsia="宋体" w:cs="Times New Roman"/>
                <w:snapToGrid w:val="0"/>
                <w:color w:val="auto"/>
                <w:kern w:val="21"/>
                <w:szCs w:val="21"/>
                <w:highlight w:val="none"/>
                <w:lang w:eastAsia="zh-CN"/>
              </w:rPr>
            </w:pPr>
            <w:r>
              <w:rPr>
                <w:rFonts w:hint="default" w:ascii="Times New Roman" w:hAnsi="Times New Roman" w:cs="Times New Roman"/>
                <w:snapToGrid w:val="0"/>
                <w:color w:val="auto"/>
                <w:kern w:val="21"/>
                <w:szCs w:val="21"/>
                <w:highlight w:val="none"/>
                <w:lang w:eastAsia="zh-CN"/>
              </w:rPr>
              <w:t>一般固废</w:t>
            </w:r>
          </w:p>
        </w:tc>
        <w:tc>
          <w:tcPr>
            <w:tcW w:w="1417" w:type="dxa"/>
            <w:noWrap w:val="0"/>
            <w:vAlign w:val="center"/>
          </w:tcPr>
          <w:p w14:paraId="34527AAD">
            <w:pPr>
              <w:jc w:val="center"/>
              <w:rPr>
                <w:rFonts w:hint="default" w:ascii="Times New Roman" w:hAnsi="Times New Roman" w:eastAsia="宋体" w:cs="Times New Roman"/>
                <w:snapToGrid w:val="0"/>
                <w:color w:val="auto"/>
                <w:kern w:val="21"/>
                <w:szCs w:val="21"/>
                <w:highlight w:val="none"/>
                <w:lang w:eastAsia="zh-CN"/>
              </w:rPr>
            </w:pPr>
            <w:r>
              <w:rPr>
                <w:rFonts w:hint="default" w:ascii="Times New Roman" w:hAnsi="Times New Roman" w:eastAsia="宋体" w:cs="Times New Roman"/>
                <w:snapToGrid w:val="0"/>
                <w:color w:val="auto"/>
                <w:kern w:val="21"/>
                <w:szCs w:val="21"/>
                <w:highlight w:val="none"/>
                <w:lang w:eastAsia="zh-CN"/>
              </w:rPr>
              <w:t>栅渣</w:t>
            </w:r>
          </w:p>
        </w:tc>
        <w:tc>
          <w:tcPr>
            <w:tcW w:w="1540" w:type="dxa"/>
            <w:noWrap w:val="0"/>
            <w:vAlign w:val="center"/>
          </w:tcPr>
          <w:p w14:paraId="1DAAFE5A">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0" w:type="dxa"/>
            <w:noWrap w:val="0"/>
            <w:vAlign w:val="center"/>
          </w:tcPr>
          <w:p w14:paraId="07731B6C">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1B05F5AD">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58030114">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52.56</w:t>
            </w:r>
            <w:r>
              <w:rPr>
                <w:rFonts w:hint="default" w:ascii="Times New Roman" w:hAnsi="Times New Roman" w:cs="Times New Roman"/>
                <w:color w:val="auto"/>
                <w:kern w:val="2"/>
                <w:sz w:val="21"/>
                <w:szCs w:val="21"/>
                <w:highlight w:val="none"/>
                <w:lang w:val="en-US" w:eastAsia="zh-CN" w:bidi="ar-SA"/>
              </w:rPr>
              <w:t>t/a</w:t>
            </w:r>
          </w:p>
        </w:tc>
        <w:tc>
          <w:tcPr>
            <w:tcW w:w="1612" w:type="dxa"/>
            <w:noWrap w:val="0"/>
            <w:vAlign w:val="center"/>
          </w:tcPr>
          <w:p w14:paraId="650B7EB2">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68" w:type="dxa"/>
            <w:noWrap w:val="0"/>
            <w:vAlign w:val="center"/>
          </w:tcPr>
          <w:p w14:paraId="557B705D">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3" w:type="dxa"/>
            <w:noWrap w:val="0"/>
            <w:vAlign w:val="center"/>
          </w:tcPr>
          <w:p w14:paraId="2B5B12F9">
            <w:pPr>
              <w:pStyle w:val="64"/>
              <w:spacing w:beforeLines="0" w:afterLines="0" w:line="240" w:lineRule="auto"/>
              <w:rPr>
                <w:rFonts w:hint="default" w:ascii="Times New Roman" w:hAnsi="Times New Roman" w:cs="Times New Roman"/>
                <w:snapToGrid w:val="0"/>
                <w:color w:val="auto"/>
                <w:kern w:val="21"/>
                <w:szCs w:val="21"/>
                <w:highlight w:val="none"/>
              </w:rPr>
            </w:pPr>
          </w:p>
        </w:tc>
      </w:tr>
      <w:tr w14:paraId="7F2637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40E66239">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3340574C">
            <w:pPr>
              <w:jc w:val="center"/>
              <w:rPr>
                <w:rFonts w:hint="default" w:ascii="Times New Roman" w:hAnsi="Times New Roman" w:eastAsia="宋体" w:cs="Times New Roman"/>
                <w:snapToGrid w:val="0"/>
                <w:color w:val="auto"/>
                <w:kern w:val="21"/>
                <w:szCs w:val="21"/>
                <w:highlight w:val="none"/>
                <w:lang w:eastAsia="zh-CN"/>
              </w:rPr>
            </w:pPr>
            <w:r>
              <w:rPr>
                <w:rFonts w:hint="default" w:ascii="Times New Roman" w:hAnsi="Times New Roman" w:cs="Times New Roman"/>
                <w:snapToGrid w:val="0"/>
                <w:color w:val="auto"/>
                <w:kern w:val="21"/>
                <w:szCs w:val="21"/>
                <w:highlight w:val="none"/>
                <w:lang w:eastAsia="zh-CN"/>
              </w:rPr>
              <w:t>污水处理站污泥</w:t>
            </w:r>
          </w:p>
        </w:tc>
        <w:tc>
          <w:tcPr>
            <w:tcW w:w="1540" w:type="dxa"/>
            <w:noWrap w:val="0"/>
            <w:vAlign w:val="center"/>
          </w:tcPr>
          <w:p w14:paraId="2C39E146">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c>
          <w:tcPr>
            <w:tcW w:w="1540" w:type="dxa"/>
            <w:noWrap w:val="0"/>
            <w:vAlign w:val="center"/>
          </w:tcPr>
          <w:p w14:paraId="7BB0690C">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6220FF22">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5C48EC4A">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186.15</w:t>
            </w:r>
            <w:r>
              <w:rPr>
                <w:rFonts w:hint="default" w:ascii="Times New Roman" w:hAnsi="Times New Roman" w:cs="Times New Roman"/>
                <w:color w:val="auto"/>
                <w:kern w:val="2"/>
                <w:sz w:val="21"/>
                <w:szCs w:val="21"/>
                <w:highlight w:val="none"/>
                <w:lang w:val="en-US" w:eastAsia="zh-CN" w:bidi="ar-SA"/>
              </w:rPr>
              <w:t>t/a</w:t>
            </w:r>
          </w:p>
        </w:tc>
        <w:tc>
          <w:tcPr>
            <w:tcW w:w="1612" w:type="dxa"/>
            <w:noWrap w:val="0"/>
            <w:vAlign w:val="center"/>
          </w:tcPr>
          <w:p w14:paraId="3DB7DE6A">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68" w:type="dxa"/>
            <w:noWrap w:val="0"/>
            <w:vAlign w:val="center"/>
          </w:tcPr>
          <w:p w14:paraId="73883624">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3" w:type="dxa"/>
            <w:noWrap w:val="0"/>
            <w:vAlign w:val="center"/>
          </w:tcPr>
          <w:p w14:paraId="05AE327B">
            <w:pPr>
              <w:pStyle w:val="64"/>
              <w:spacing w:beforeLines="0" w:afterLines="0" w:line="240" w:lineRule="auto"/>
              <w:rPr>
                <w:rFonts w:hint="default" w:ascii="Times New Roman" w:hAnsi="Times New Roman" w:cs="Times New Roman"/>
                <w:snapToGrid w:val="0"/>
                <w:color w:val="auto"/>
                <w:kern w:val="21"/>
                <w:szCs w:val="21"/>
                <w:highlight w:val="none"/>
              </w:rPr>
            </w:pPr>
          </w:p>
        </w:tc>
      </w:tr>
      <w:tr w14:paraId="1749EE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restart"/>
            <w:noWrap w:val="0"/>
            <w:vAlign w:val="center"/>
          </w:tcPr>
          <w:p w14:paraId="56232176">
            <w:pPr>
              <w:pStyle w:val="64"/>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危险废物</w:t>
            </w:r>
          </w:p>
        </w:tc>
        <w:tc>
          <w:tcPr>
            <w:tcW w:w="1417" w:type="dxa"/>
            <w:noWrap w:val="0"/>
            <w:vAlign w:val="center"/>
          </w:tcPr>
          <w:p w14:paraId="19925F34">
            <w:pPr>
              <w:jc w:val="center"/>
              <w:rPr>
                <w:rFonts w:hint="default" w:ascii="Times New Roman" w:hAnsi="Times New Roman" w:cs="Times New Roman"/>
                <w:snapToGrid w:val="0"/>
                <w:color w:val="auto"/>
                <w:kern w:val="21"/>
                <w:szCs w:val="21"/>
                <w:highlight w:val="none"/>
                <w:lang w:eastAsia="zh-CN"/>
              </w:rPr>
            </w:pPr>
            <w:r>
              <w:rPr>
                <w:rFonts w:hint="default" w:ascii="Times New Roman" w:hAnsi="Times New Roman" w:eastAsia="宋体" w:cs="Times New Roman"/>
                <w:snapToGrid w:val="0"/>
                <w:color w:val="auto"/>
                <w:kern w:val="21"/>
                <w:szCs w:val="21"/>
                <w:highlight w:val="none"/>
                <w:lang w:eastAsia="zh-CN"/>
              </w:rPr>
              <w:t>废机油、</w:t>
            </w:r>
            <w:r>
              <w:rPr>
                <w:rFonts w:hint="eastAsia" w:ascii="Times New Roman" w:hAnsi="Times New Roman" w:cs="宋体"/>
                <w:color w:val="auto"/>
                <w:kern w:val="2"/>
                <w:sz w:val="21"/>
                <w:szCs w:val="21"/>
                <w:highlight w:val="none"/>
              </w:rPr>
              <w:t>含油手套及棉纱</w:t>
            </w:r>
            <w:r>
              <w:rPr>
                <w:rFonts w:hint="default" w:ascii="Times New Roman" w:hAnsi="Times New Roman" w:eastAsia="宋体" w:cs="Times New Roman"/>
                <w:snapToGrid w:val="0"/>
                <w:color w:val="auto"/>
                <w:kern w:val="21"/>
                <w:szCs w:val="21"/>
                <w:highlight w:val="none"/>
                <w:lang w:eastAsia="zh-CN"/>
              </w:rPr>
              <w:t>、废油桶</w:t>
            </w:r>
          </w:p>
        </w:tc>
        <w:tc>
          <w:tcPr>
            <w:tcW w:w="1540" w:type="dxa"/>
            <w:noWrap w:val="0"/>
            <w:vAlign w:val="center"/>
          </w:tcPr>
          <w:p w14:paraId="3C536B86">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20115E51">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28BF70A4">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0B4EC737">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04</w:t>
            </w:r>
            <w:r>
              <w:rPr>
                <w:rFonts w:hint="default" w:ascii="Times New Roman" w:hAnsi="Times New Roman" w:cs="Times New Roman"/>
                <w:color w:val="auto"/>
                <w:kern w:val="2"/>
                <w:sz w:val="21"/>
                <w:szCs w:val="21"/>
                <w:highlight w:val="none"/>
                <w:lang w:val="en-US" w:eastAsia="zh-CN" w:bidi="ar-SA"/>
              </w:rPr>
              <w:t>t/a</w:t>
            </w:r>
          </w:p>
        </w:tc>
        <w:tc>
          <w:tcPr>
            <w:tcW w:w="1612" w:type="dxa"/>
            <w:noWrap w:val="0"/>
            <w:vAlign w:val="center"/>
          </w:tcPr>
          <w:p w14:paraId="2236E804">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68" w:type="dxa"/>
            <w:noWrap w:val="0"/>
            <w:vAlign w:val="center"/>
          </w:tcPr>
          <w:p w14:paraId="79BE74FF">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3" w:type="dxa"/>
            <w:noWrap w:val="0"/>
            <w:vAlign w:val="center"/>
          </w:tcPr>
          <w:p w14:paraId="7FFBB3A4">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r w14:paraId="63845C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88" w:type="dxa"/>
            <w:vMerge w:val="continue"/>
            <w:noWrap w:val="0"/>
            <w:vAlign w:val="center"/>
          </w:tcPr>
          <w:p w14:paraId="653433C8">
            <w:pPr>
              <w:pStyle w:val="64"/>
              <w:spacing w:beforeLines="0" w:afterLines="0" w:line="240" w:lineRule="auto"/>
              <w:rPr>
                <w:rFonts w:hint="eastAsia" w:ascii="Times New Roman" w:cs="Times New Roman"/>
                <w:snapToGrid w:val="0"/>
                <w:color w:val="auto"/>
                <w:kern w:val="21"/>
                <w:szCs w:val="21"/>
                <w:highlight w:val="none"/>
                <w:lang w:val="en-US" w:eastAsia="zh-CN"/>
              </w:rPr>
            </w:pPr>
          </w:p>
        </w:tc>
        <w:tc>
          <w:tcPr>
            <w:tcW w:w="1417" w:type="dxa"/>
            <w:noWrap w:val="0"/>
            <w:vAlign w:val="center"/>
          </w:tcPr>
          <w:p w14:paraId="5F688C52">
            <w:pPr>
              <w:jc w:val="center"/>
              <w:rPr>
                <w:rFonts w:hint="default" w:ascii="Times New Roman" w:hAnsi="Times New Roman" w:eastAsia="宋体"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检验废液及清洗废水</w:t>
            </w:r>
          </w:p>
        </w:tc>
        <w:tc>
          <w:tcPr>
            <w:tcW w:w="1540" w:type="dxa"/>
            <w:noWrap w:val="0"/>
            <w:vAlign w:val="center"/>
          </w:tcPr>
          <w:p w14:paraId="54B38125">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0B28AA0D">
            <w:pPr>
              <w:spacing w:beforeLines="0" w:afterLines="0" w:line="240" w:lineRule="auto"/>
              <w:jc w:val="center"/>
              <w:rPr>
                <w:rFonts w:hint="default" w:ascii="Times New Roman" w:hAnsi="Times New Roman" w:cs="Times New Roman"/>
                <w:snapToGrid w:val="0"/>
                <w:color w:val="auto"/>
                <w:kern w:val="21"/>
                <w:szCs w:val="21"/>
                <w:highlight w:val="none"/>
              </w:rPr>
            </w:pPr>
          </w:p>
        </w:tc>
        <w:tc>
          <w:tcPr>
            <w:tcW w:w="1540" w:type="dxa"/>
            <w:noWrap w:val="0"/>
            <w:vAlign w:val="center"/>
          </w:tcPr>
          <w:p w14:paraId="5421A2BC">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0" w:type="dxa"/>
            <w:noWrap w:val="0"/>
            <w:vAlign w:val="center"/>
          </w:tcPr>
          <w:p w14:paraId="683CAA77">
            <w:pPr>
              <w:pStyle w:val="64"/>
              <w:spacing w:beforeLines="0" w:afterLines="0" w:line="240" w:lineRule="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0.02t/a</w:t>
            </w:r>
          </w:p>
        </w:tc>
        <w:tc>
          <w:tcPr>
            <w:tcW w:w="1612" w:type="dxa"/>
            <w:noWrap w:val="0"/>
            <w:vAlign w:val="center"/>
          </w:tcPr>
          <w:p w14:paraId="132C5A9A">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468" w:type="dxa"/>
            <w:noWrap w:val="0"/>
            <w:vAlign w:val="center"/>
          </w:tcPr>
          <w:p w14:paraId="64F193BD">
            <w:pPr>
              <w:pStyle w:val="64"/>
              <w:spacing w:beforeLines="0" w:afterLines="0" w:line="240" w:lineRule="auto"/>
              <w:rPr>
                <w:rFonts w:hint="default" w:ascii="Times New Roman" w:hAnsi="Times New Roman" w:cs="Times New Roman"/>
                <w:snapToGrid w:val="0"/>
                <w:color w:val="auto"/>
                <w:kern w:val="21"/>
                <w:szCs w:val="21"/>
                <w:highlight w:val="none"/>
              </w:rPr>
            </w:pPr>
          </w:p>
        </w:tc>
        <w:tc>
          <w:tcPr>
            <w:tcW w:w="1543" w:type="dxa"/>
            <w:noWrap w:val="0"/>
            <w:vAlign w:val="center"/>
          </w:tcPr>
          <w:p w14:paraId="4EA4C2EB">
            <w:pPr>
              <w:pStyle w:val="6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p>
        </w:tc>
      </w:tr>
    </w:tbl>
    <w:p w14:paraId="73E60E5B">
      <w:pPr>
        <w:pStyle w:val="64"/>
        <w:spacing w:before="192" w:beforeLines="80" w:after="24"/>
        <w:jc w:val="left"/>
        <w:rPr>
          <w:rFonts w:hint="default" w:ascii="Times New Roman" w:hAnsi="Times New Roman" w:eastAsia="黑体" w:cs="Times New Roman"/>
          <w:color w:val="auto"/>
          <w:highlight w:val="none"/>
        </w:rPr>
        <w:sectPr>
          <w:footerReference r:id="rId7"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12BE358D">
      <w:pPr>
        <w:pStyle w:val="42"/>
        <w:rPr>
          <w:rFonts w:hint="default" w:ascii="Times New Roman" w:hAnsi="Times New Roman" w:cs="Times New Roman"/>
          <w:color w:val="auto"/>
          <w:highlight w:val="none"/>
        </w:rPr>
      </w:pPr>
    </w:p>
    <w:p w14:paraId="4C09CB1B">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48"/>
          <w:szCs w:val="48"/>
          <w:highlight w:val="none"/>
        </w:rPr>
      </w:pPr>
    </w:p>
    <w:p w14:paraId="5D769BEE">
      <w:pPr>
        <w:adjustRightInd w:val="0"/>
        <w:snapToGrid w:val="0"/>
        <w:jc w:val="center"/>
        <w:outlineLvl w:val="0"/>
        <w:rPr>
          <w:rFonts w:hint="default" w:ascii="Times New Roman" w:hAnsi="Times New Roman" w:eastAsia="方正小标宋_GBK" w:cs="Times New Roman"/>
          <w:b/>
          <w:bCs w:val="0"/>
          <w:color w:val="auto"/>
          <w:sz w:val="52"/>
          <w:szCs w:val="52"/>
          <w:highlight w:val="none"/>
          <w:lang w:val="en-US" w:eastAsia="zh-CN"/>
        </w:rPr>
      </w:pPr>
      <w:bookmarkStart w:id="94" w:name="_Toc4271"/>
      <w:bookmarkStart w:id="95" w:name="_Toc6836"/>
      <w:bookmarkStart w:id="96" w:name="_Toc20545"/>
      <w:bookmarkStart w:id="97" w:name="_Toc1651"/>
      <w:bookmarkStart w:id="98" w:name="_Toc13953"/>
      <w:bookmarkStart w:id="99" w:name="_Toc23054"/>
      <w:bookmarkStart w:id="100" w:name="_Toc21169"/>
      <w:bookmarkStart w:id="101" w:name="_Toc28449"/>
      <w:bookmarkStart w:id="102" w:name="_Toc11310"/>
      <w:bookmarkStart w:id="103" w:name="_Toc89"/>
      <w:r>
        <w:rPr>
          <w:rFonts w:hint="default" w:ascii="Times New Roman" w:hAnsi="Times New Roman" w:eastAsia="方正小标宋_GBK" w:cs="Times New Roman"/>
          <w:b/>
          <w:bCs w:val="0"/>
          <w:color w:val="auto"/>
          <w:sz w:val="52"/>
          <w:szCs w:val="52"/>
          <w:highlight w:val="none"/>
          <w:lang w:val="en-US" w:eastAsia="zh-CN"/>
        </w:rPr>
        <w:t>洋县城镇生活污水治理建设项目—谢村镇四〇五社区污水处理厂</w:t>
      </w:r>
      <w:bookmarkEnd w:id="94"/>
    </w:p>
    <w:p w14:paraId="5C32B018">
      <w:pPr>
        <w:adjustRightInd w:val="0"/>
        <w:snapToGrid w:val="0"/>
        <w:jc w:val="center"/>
        <w:outlineLvl w:val="0"/>
        <w:rPr>
          <w:rFonts w:hint="default" w:ascii="Times New Roman" w:hAnsi="Times New Roman" w:eastAsia="方正小标宋_GBK" w:cs="Times New Roman"/>
          <w:b/>
          <w:bCs w:val="0"/>
          <w:color w:val="auto"/>
          <w:sz w:val="52"/>
          <w:szCs w:val="52"/>
          <w:highlight w:val="none"/>
          <w:lang w:val="en-US" w:eastAsia="zh-CN"/>
        </w:rPr>
      </w:pPr>
      <w:bookmarkStart w:id="104" w:name="_Toc819"/>
      <w:r>
        <w:rPr>
          <w:rFonts w:hint="default" w:ascii="Times New Roman" w:hAnsi="Times New Roman" w:eastAsia="方正小标宋_GBK" w:cs="Times New Roman"/>
          <w:b/>
          <w:bCs w:val="0"/>
          <w:color w:val="auto"/>
          <w:sz w:val="52"/>
          <w:szCs w:val="52"/>
          <w:highlight w:val="none"/>
          <w:lang w:val="en-US" w:eastAsia="zh-CN"/>
        </w:rPr>
        <w:t>地表水环境影响专项评价报告</w:t>
      </w:r>
      <w:bookmarkEnd w:id="95"/>
      <w:bookmarkEnd w:id="96"/>
      <w:bookmarkEnd w:id="97"/>
      <w:bookmarkEnd w:id="98"/>
      <w:bookmarkEnd w:id="99"/>
      <w:bookmarkEnd w:id="100"/>
      <w:bookmarkEnd w:id="101"/>
      <w:bookmarkEnd w:id="102"/>
      <w:bookmarkEnd w:id="103"/>
      <w:bookmarkEnd w:id="104"/>
    </w:p>
    <w:p w14:paraId="1A85E069">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105C0E94">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1D3FA570">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5EC8FB38">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1B5C88D1">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11D04E9A">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760A7B11">
      <w:pPr>
        <w:pStyle w:val="40"/>
        <w:rPr>
          <w:rFonts w:hint="default" w:ascii="Times New Roman" w:hAnsi="Times New Roman" w:eastAsia="方正小标宋_GBK" w:cs="Times New Roman"/>
          <w:b/>
          <w:bCs w:val="0"/>
          <w:color w:val="auto"/>
          <w:sz w:val="52"/>
          <w:szCs w:val="52"/>
          <w:highlight w:val="none"/>
          <w:lang w:val="en-US" w:eastAsia="zh-CN"/>
        </w:rPr>
      </w:pPr>
    </w:p>
    <w:p w14:paraId="6C9605D8">
      <w:pPr>
        <w:pStyle w:val="42"/>
        <w:rPr>
          <w:rFonts w:hint="default" w:ascii="Times New Roman" w:hAnsi="Times New Roman" w:eastAsia="方正小标宋_GBK" w:cs="Times New Roman"/>
          <w:b/>
          <w:bCs w:val="0"/>
          <w:color w:val="auto"/>
          <w:sz w:val="52"/>
          <w:szCs w:val="52"/>
          <w:highlight w:val="none"/>
          <w:lang w:val="en-US" w:eastAsia="zh-CN"/>
        </w:rPr>
      </w:pPr>
    </w:p>
    <w:p w14:paraId="20320128">
      <w:pPr>
        <w:rPr>
          <w:rFonts w:hint="default" w:ascii="Times New Roman" w:hAnsi="Times New Roman" w:eastAsia="方正小标宋_GBK" w:cs="Times New Roman"/>
          <w:b/>
          <w:bCs w:val="0"/>
          <w:color w:val="auto"/>
          <w:sz w:val="52"/>
          <w:szCs w:val="52"/>
          <w:highlight w:val="none"/>
          <w:lang w:val="en-US" w:eastAsia="zh-CN"/>
        </w:rPr>
      </w:pPr>
    </w:p>
    <w:p w14:paraId="243DC2E6">
      <w:pPr>
        <w:pStyle w:val="40"/>
        <w:rPr>
          <w:rFonts w:hint="default" w:ascii="Times New Roman" w:hAnsi="Times New Roman" w:eastAsia="方正小标宋_GBK" w:cs="Times New Roman"/>
          <w:b/>
          <w:bCs w:val="0"/>
          <w:color w:val="auto"/>
          <w:sz w:val="52"/>
          <w:szCs w:val="52"/>
          <w:highlight w:val="none"/>
          <w:lang w:val="en-US" w:eastAsia="zh-CN"/>
        </w:rPr>
      </w:pPr>
    </w:p>
    <w:p w14:paraId="690AF0EE">
      <w:pPr>
        <w:pStyle w:val="42"/>
        <w:rPr>
          <w:rFonts w:hint="default" w:ascii="Times New Roman" w:hAnsi="Times New Roman" w:cs="Times New Roman"/>
          <w:color w:val="auto"/>
          <w:highlight w:val="none"/>
          <w:lang w:val="en-US" w:eastAsia="zh-CN"/>
        </w:rPr>
      </w:pPr>
    </w:p>
    <w:p w14:paraId="6C31F965">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52"/>
          <w:szCs w:val="52"/>
          <w:highlight w:val="none"/>
          <w:lang w:val="en-US" w:eastAsia="zh-CN"/>
        </w:rPr>
      </w:pPr>
    </w:p>
    <w:p w14:paraId="5DE19FC4">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32"/>
          <w:szCs w:val="32"/>
          <w:highlight w:val="none"/>
          <w:lang w:val="en-US" w:eastAsia="zh-CN"/>
        </w:rPr>
      </w:pPr>
      <w:r>
        <w:rPr>
          <w:rFonts w:hint="default" w:ascii="Times New Roman" w:hAnsi="Times New Roman" w:eastAsia="方正小标宋_GBK" w:cs="Times New Roman"/>
          <w:b/>
          <w:bCs w:val="0"/>
          <w:color w:val="auto"/>
          <w:sz w:val="32"/>
          <w:szCs w:val="32"/>
          <w:highlight w:val="none"/>
          <w:lang w:val="en-US" w:eastAsia="zh-CN"/>
        </w:rPr>
        <w:t>建设单位：洋县住房和城乡建设管理局</w:t>
      </w:r>
    </w:p>
    <w:p w14:paraId="11955213">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32"/>
          <w:szCs w:val="32"/>
          <w:highlight w:val="none"/>
          <w:lang w:val="en-US" w:eastAsia="zh-CN"/>
        </w:rPr>
      </w:pPr>
      <w:r>
        <w:rPr>
          <w:rFonts w:hint="default" w:ascii="Times New Roman" w:hAnsi="Times New Roman" w:eastAsia="方正小标宋_GBK" w:cs="Times New Roman"/>
          <w:b/>
          <w:bCs w:val="0"/>
          <w:color w:val="auto"/>
          <w:sz w:val="32"/>
          <w:szCs w:val="32"/>
          <w:highlight w:val="none"/>
          <w:lang w:val="en-US" w:eastAsia="zh-CN"/>
        </w:rPr>
        <w:t>编制单位：汉中市建设项目环保工程有限公司</w:t>
      </w:r>
    </w:p>
    <w:p w14:paraId="6939157C">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32"/>
          <w:szCs w:val="32"/>
          <w:highlight w:val="none"/>
          <w:lang w:val="en-US" w:eastAsia="zh-CN"/>
        </w:rPr>
        <w:sectPr>
          <w:footerReference r:id="rId8" w:type="default"/>
          <w:pgSz w:w="11906" w:h="16838"/>
          <w:pgMar w:top="1304" w:right="1701" w:bottom="1304" w:left="1701" w:header="1304" w:footer="1304" w:gutter="0"/>
          <w:pgBorders>
            <w:top w:val="none" w:sz="0" w:space="0"/>
            <w:left w:val="none" w:sz="0" w:space="0"/>
            <w:bottom w:val="none" w:sz="0" w:space="0"/>
            <w:right w:val="none" w:sz="0" w:space="0"/>
          </w:pgBorders>
          <w:pgNumType w:fmt="decimal" w:start="1"/>
          <w:cols w:space="720" w:num="1"/>
          <w:docGrid w:linePitch="312" w:charSpace="0"/>
        </w:sectPr>
      </w:pPr>
      <w:r>
        <w:rPr>
          <w:rFonts w:hint="default" w:ascii="Times New Roman" w:hAnsi="Times New Roman" w:eastAsia="方正小标宋_GBK" w:cs="Times New Roman"/>
          <w:b/>
          <w:bCs w:val="0"/>
          <w:color w:val="auto"/>
          <w:sz w:val="32"/>
          <w:szCs w:val="32"/>
          <w:highlight w:val="none"/>
          <w:lang w:val="en-US" w:eastAsia="zh-CN"/>
        </w:rPr>
        <w:t>编制日期：202</w:t>
      </w:r>
      <w:r>
        <w:rPr>
          <w:rFonts w:hint="eastAsia" w:eastAsia="方正小标宋_GBK" w:cs="Times New Roman"/>
          <w:b/>
          <w:bCs w:val="0"/>
          <w:color w:val="auto"/>
          <w:sz w:val="32"/>
          <w:szCs w:val="32"/>
          <w:highlight w:val="none"/>
          <w:lang w:val="en-US" w:eastAsia="zh-CN"/>
        </w:rPr>
        <w:t>6</w:t>
      </w:r>
      <w:r>
        <w:rPr>
          <w:rFonts w:hint="default" w:ascii="Times New Roman" w:hAnsi="Times New Roman" w:eastAsia="方正小标宋_GBK" w:cs="Times New Roman"/>
          <w:b/>
          <w:bCs w:val="0"/>
          <w:color w:val="auto"/>
          <w:sz w:val="32"/>
          <w:szCs w:val="32"/>
          <w:highlight w:val="none"/>
          <w:lang w:val="en-US" w:eastAsia="zh-CN"/>
        </w:rPr>
        <w:t>年</w:t>
      </w:r>
      <w:r>
        <w:rPr>
          <w:rFonts w:hint="eastAsia" w:eastAsia="方正小标宋_GBK" w:cs="Times New Roman"/>
          <w:b/>
          <w:bCs w:val="0"/>
          <w:color w:val="auto"/>
          <w:sz w:val="32"/>
          <w:szCs w:val="32"/>
          <w:highlight w:val="none"/>
          <w:lang w:val="en-US" w:eastAsia="zh-CN"/>
        </w:rPr>
        <w:t>10</w:t>
      </w:r>
      <w:r>
        <w:rPr>
          <w:rFonts w:hint="default" w:ascii="Times New Roman" w:hAnsi="Times New Roman" w:eastAsia="方正小标宋_GBK" w:cs="Times New Roman"/>
          <w:b/>
          <w:bCs w:val="0"/>
          <w:color w:val="auto"/>
          <w:sz w:val="32"/>
          <w:szCs w:val="32"/>
          <w:highlight w:val="none"/>
          <w:lang w:val="en-US" w:eastAsia="zh-CN"/>
        </w:rPr>
        <w:t>月</w:t>
      </w:r>
    </w:p>
    <w:p w14:paraId="01A6F021">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
          <w:bCs w:val="0"/>
          <w:color w:val="auto"/>
          <w:sz w:val="36"/>
          <w:szCs w:val="36"/>
          <w:highlight w:val="none"/>
          <w:lang w:val="en-US" w:eastAsia="zh-CN"/>
        </w:rPr>
        <w:sectPr>
          <w:footerReference r:id="rId9" w:type="default"/>
          <w:pgSz w:w="11906" w:h="16838"/>
          <w:pgMar w:top="1304" w:right="1701" w:bottom="1304" w:left="1701" w:header="1304" w:footer="1304" w:gutter="0"/>
          <w:pgBorders>
            <w:top w:val="none" w:sz="0" w:space="0"/>
            <w:left w:val="none" w:sz="0" w:space="0"/>
            <w:bottom w:val="none" w:sz="0" w:space="0"/>
            <w:right w:val="none" w:sz="0" w:space="0"/>
          </w:pgBorders>
          <w:pgNumType w:fmt="decimal"/>
          <w:cols w:space="720" w:num="1"/>
          <w:docGrid w:linePitch="312" w:charSpace="0"/>
        </w:sectPr>
      </w:pPr>
    </w:p>
    <w:p w14:paraId="40ACB2A8">
      <w:pPr>
        <w:keepNext w:val="0"/>
        <w:keepLines w:val="0"/>
        <w:pageBreakBefore w:val="0"/>
        <w:widowControl w:val="0"/>
        <w:kinsoku/>
        <w:wordWrap/>
        <w:overflowPunct/>
        <w:topLinePunct w:val="0"/>
        <w:autoSpaceDE/>
        <w:autoSpaceDN/>
        <w:bidi w:val="0"/>
        <w:spacing w:before="0" w:beforeLines="0" w:after="0" w:afterLines="0" w:line="480" w:lineRule="exact"/>
        <w:ind w:left="0" w:leftChars="0" w:right="0" w:rightChars="0" w:firstLine="0" w:firstLineChars="0"/>
        <w:jc w:val="center"/>
        <w:textAlignment w:val="auto"/>
        <w:rPr>
          <w:color w:val="auto"/>
          <w:highlight w:val="none"/>
        </w:rPr>
      </w:pPr>
      <w:r>
        <w:rPr>
          <w:rFonts w:hint="default" w:ascii="Times New Roman" w:hAnsi="Times New Roman" w:eastAsia="宋体" w:cs="Times New Roman"/>
          <w:b/>
          <w:bCs/>
          <w:color w:val="auto"/>
          <w:sz w:val="32"/>
          <w:szCs w:val="40"/>
          <w:highlight w:val="none"/>
        </w:rPr>
        <w:t>目</w:t>
      </w:r>
      <w:r>
        <w:rPr>
          <w:rFonts w:hint="default" w:ascii="Times New Roman" w:hAnsi="Times New Roman" w:eastAsia="宋体" w:cs="Times New Roman"/>
          <w:b/>
          <w:bCs/>
          <w:color w:val="auto"/>
          <w:sz w:val="32"/>
          <w:szCs w:val="40"/>
          <w:highlight w:val="none"/>
          <w:lang w:val="en-US" w:eastAsia="zh-CN"/>
        </w:rPr>
        <w:t xml:space="preserve"> </w:t>
      </w:r>
      <w:r>
        <w:rPr>
          <w:rFonts w:hint="default" w:ascii="Times New Roman" w:hAnsi="Times New Roman" w:eastAsia="宋体" w:cs="Times New Roman"/>
          <w:b/>
          <w:bCs/>
          <w:color w:val="auto"/>
          <w:sz w:val="32"/>
          <w:szCs w:val="40"/>
          <w:highlight w:val="none"/>
        </w:rPr>
        <w:t>录</w:t>
      </w:r>
      <w:r>
        <w:rPr>
          <w:rFonts w:hint="default" w:ascii="Times New Roman" w:hAnsi="Times New Roman" w:eastAsia="宋体" w:cs="Times New Roman"/>
          <w:b w:val="0"/>
          <w:bCs/>
          <w:color w:val="auto"/>
          <w:szCs w:val="24"/>
          <w:highlight w:val="none"/>
          <w:lang w:val="en-US" w:eastAsia="zh-CN"/>
        </w:rPr>
        <w:fldChar w:fldCharType="begin"/>
      </w:r>
      <w:r>
        <w:rPr>
          <w:rFonts w:hint="default" w:ascii="Times New Roman" w:hAnsi="Times New Roman" w:eastAsia="宋体" w:cs="Times New Roman"/>
          <w:b w:val="0"/>
          <w:bCs/>
          <w:color w:val="auto"/>
          <w:szCs w:val="24"/>
          <w:highlight w:val="none"/>
          <w:lang w:val="en-US" w:eastAsia="zh-CN"/>
        </w:rPr>
        <w:instrText xml:space="preserve">TOC \o "1-3" \h \u </w:instrText>
      </w:r>
      <w:r>
        <w:rPr>
          <w:rFonts w:hint="default" w:ascii="Times New Roman" w:hAnsi="Times New Roman" w:eastAsia="宋体" w:cs="Times New Roman"/>
          <w:b w:val="0"/>
          <w:bCs/>
          <w:color w:val="auto"/>
          <w:szCs w:val="24"/>
          <w:highlight w:val="none"/>
          <w:lang w:val="en-US" w:eastAsia="zh-CN"/>
        </w:rPr>
        <w:fldChar w:fldCharType="separate"/>
      </w:r>
    </w:p>
    <w:p w14:paraId="06A927C6">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_Toc24001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eastAsia="zh-CN"/>
        </w:rPr>
        <w:t xml:space="preserve">1 </w:t>
      </w:r>
      <w:r>
        <w:rPr>
          <w:rFonts w:hint="default" w:ascii="Times New Roman" w:hAnsi="Times New Roman" w:cs="Times New Roman"/>
          <w:b w:val="0"/>
          <w:bCs w:val="0"/>
          <w:color w:val="auto"/>
          <w:sz w:val="24"/>
          <w:szCs w:val="24"/>
          <w:highlight w:val="none"/>
          <w:lang w:val="en-US" w:eastAsia="zh-CN"/>
        </w:rPr>
        <w:t>总则</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_Toc24001 \h </w:instrText>
      </w:r>
      <w:r>
        <w:rPr>
          <w:b w:val="0"/>
          <w:bCs w:val="0"/>
          <w:color w:val="auto"/>
          <w:sz w:val="24"/>
          <w:szCs w:val="24"/>
          <w:highlight w:val="none"/>
        </w:rPr>
        <w:fldChar w:fldCharType="separate"/>
      </w:r>
      <w:r>
        <w:rPr>
          <w:b w:val="0"/>
          <w:bCs w:val="0"/>
          <w:color w:val="auto"/>
          <w:sz w:val="24"/>
          <w:szCs w:val="24"/>
          <w:highlight w:val="none"/>
        </w:rPr>
        <w:t>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F621ECC">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_Toc16825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rPr>
        <w:t xml:space="preserve">1.1 </w:t>
      </w:r>
      <w:r>
        <w:rPr>
          <w:rFonts w:hint="default" w:ascii="Times New Roman" w:hAnsi="Times New Roman" w:eastAsia="宋体" w:cs="Times New Roman"/>
          <w:b w:val="0"/>
          <w:bCs w:val="0"/>
          <w:color w:val="auto"/>
          <w:kern w:val="2"/>
          <w:sz w:val="24"/>
          <w:szCs w:val="24"/>
          <w:highlight w:val="none"/>
          <w:lang w:val="en-US" w:eastAsia="zh-CN"/>
        </w:rPr>
        <w:t>编制依据</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_Toc16825 \h </w:instrText>
      </w:r>
      <w:r>
        <w:rPr>
          <w:b w:val="0"/>
          <w:bCs w:val="0"/>
          <w:color w:val="auto"/>
          <w:sz w:val="24"/>
          <w:szCs w:val="24"/>
          <w:highlight w:val="none"/>
        </w:rPr>
        <w:fldChar w:fldCharType="separate"/>
      </w:r>
      <w:r>
        <w:rPr>
          <w:b w:val="0"/>
          <w:bCs w:val="0"/>
          <w:color w:val="auto"/>
          <w:sz w:val="24"/>
          <w:szCs w:val="24"/>
          <w:highlight w:val="none"/>
        </w:rPr>
        <w:t>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67D624E">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_Toc23831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rPr>
        <w:t xml:space="preserve">1.1.1 </w:t>
      </w:r>
      <w:r>
        <w:rPr>
          <w:rFonts w:hint="default" w:ascii="Times New Roman" w:hAnsi="Times New Roman" w:cs="Times New Roman"/>
          <w:b w:val="0"/>
          <w:bCs w:val="0"/>
          <w:color w:val="auto"/>
          <w:sz w:val="24"/>
          <w:szCs w:val="24"/>
          <w:highlight w:val="none"/>
          <w:lang w:val="en-US" w:eastAsia="zh-CN"/>
        </w:rPr>
        <w:t>环境保护法律法规</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_Toc23831 \h </w:instrText>
      </w:r>
      <w:r>
        <w:rPr>
          <w:b w:val="0"/>
          <w:bCs w:val="0"/>
          <w:color w:val="auto"/>
          <w:sz w:val="24"/>
          <w:szCs w:val="24"/>
          <w:highlight w:val="none"/>
        </w:rPr>
        <w:fldChar w:fldCharType="separate"/>
      </w:r>
      <w:r>
        <w:rPr>
          <w:b w:val="0"/>
          <w:bCs w:val="0"/>
          <w:color w:val="auto"/>
          <w:sz w:val="24"/>
          <w:szCs w:val="24"/>
          <w:highlight w:val="none"/>
        </w:rPr>
        <w:t>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8948B1B">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_Toc3735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1.1.2 </w:t>
      </w:r>
      <w:r>
        <w:rPr>
          <w:rFonts w:hint="default" w:ascii="Times New Roman" w:hAnsi="Times New Roman" w:cs="Times New Roman"/>
          <w:b w:val="0"/>
          <w:bCs w:val="0"/>
          <w:color w:val="auto"/>
          <w:sz w:val="24"/>
          <w:szCs w:val="24"/>
          <w:highlight w:val="none"/>
          <w:lang w:val="en-US" w:eastAsia="zh-CN"/>
        </w:rPr>
        <w:t>环境保护规范性文件</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_Toc3735 \h </w:instrText>
      </w:r>
      <w:r>
        <w:rPr>
          <w:b w:val="0"/>
          <w:bCs w:val="0"/>
          <w:color w:val="auto"/>
          <w:sz w:val="24"/>
          <w:szCs w:val="24"/>
          <w:highlight w:val="none"/>
        </w:rPr>
        <w:fldChar w:fldCharType="separate"/>
      </w:r>
      <w:r>
        <w:rPr>
          <w:b w:val="0"/>
          <w:bCs w:val="0"/>
          <w:color w:val="auto"/>
          <w:sz w:val="24"/>
          <w:szCs w:val="24"/>
          <w:highlight w:val="none"/>
        </w:rPr>
        <w:t>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2275C95">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_Toc8957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1.1.3 </w:t>
      </w:r>
      <w:r>
        <w:rPr>
          <w:rFonts w:hint="default" w:ascii="Times New Roman" w:hAnsi="Times New Roman" w:cs="Times New Roman"/>
          <w:b w:val="0"/>
          <w:bCs w:val="0"/>
          <w:color w:val="auto"/>
          <w:sz w:val="24"/>
          <w:szCs w:val="24"/>
          <w:highlight w:val="none"/>
          <w:lang w:val="en-US" w:eastAsia="zh-CN"/>
        </w:rPr>
        <w:t>环境保护技术规范</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_Toc8957 \h </w:instrText>
      </w:r>
      <w:r>
        <w:rPr>
          <w:b w:val="0"/>
          <w:bCs w:val="0"/>
          <w:color w:val="auto"/>
          <w:sz w:val="24"/>
          <w:szCs w:val="24"/>
          <w:highlight w:val="none"/>
        </w:rPr>
        <w:fldChar w:fldCharType="separate"/>
      </w:r>
      <w:r>
        <w:rPr>
          <w:b w:val="0"/>
          <w:bCs w:val="0"/>
          <w:color w:val="auto"/>
          <w:sz w:val="24"/>
          <w:szCs w:val="24"/>
          <w:highlight w:val="none"/>
        </w:rPr>
        <w:t>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55163843">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_Toc4110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 xml:space="preserve">1.2 </w:t>
      </w:r>
      <w:r>
        <w:rPr>
          <w:rFonts w:hint="default" w:ascii="Times New Roman" w:hAnsi="Times New Roman" w:eastAsia="宋体" w:cs="Times New Roman"/>
          <w:b w:val="0"/>
          <w:bCs w:val="0"/>
          <w:color w:val="auto"/>
          <w:kern w:val="2"/>
          <w:sz w:val="24"/>
          <w:szCs w:val="24"/>
          <w:highlight w:val="none"/>
          <w:lang w:val="en-US" w:eastAsia="zh-CN"/>
        </w:rPr>
        <w:t>评价因子与评价标准</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_Toc4110 \h </w:instrText>
      </w:r>
      <w:r>
        <w:rPr>
          <w:b w:val="0"/>
          <w:bCs w:val="0"/>
          <w:color w:val="auto"/>
          <w:sz w:val="24"/>
          <w:szCs w:val="24"/>
          <w:highlight w:val="none"/>
        </w:rPr>
        <w:fldChar w:fldCharType="separate"/>
      </w:r>
      <w:r>
        <w:rPr>
          <w:b w:val="0"/>
          <w:bCs w:val="0"/>
          <w:color w:val="auto"/>
          <w:sz w:val="24"/>
          <w:szCs w:val="24"/>
          <w:highlight w:val="none"/>
        </w:rPr>
        <w:t>2</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EBCBB1A">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_Toc6978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1.2.1 </w:t>
      </w:r>
      <w:r>
        <w:rPr>
          <w:rFonts w:hint="default" w:ascii="Times New Roman" w:hAnsi="Times New Roman" w:cs="Times New Roman"/>
          <w:b w:val="0"/>
          <w:bCs w:val="0"/>
          <w:color w:val="auto"/>
          <w:sz w:val="24"/>
          <w:szCs w:val="24"/>
          <w:highlight w:val="none"/>
          <w:lang w:val="en-US" w:eastAsia="zh-CN"/>
        </w:rPr>
        <w:t>评价因子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_Toc6978 \h </w:instrText>
      </w:r>
      <w:r>
        <w:rPr>
          <w:b w:val="0"/>
          <w:bCs w:val="0"/>
          <w:color w:val="auto"/>
          <w:sz w:val="24"/>
          <w:szCs w:val="24"/>
          <w:highlight w:val="none"/>
        </w:rPr>
        <w:fldChar w:fldCharType="separate"/>
      </w:r>
      <w:r>
        <w:rPr>
          <w:b w:val="0"/>
          <w:bCs w:val="0"/>
          <w:color w:val="auto"/>
          <w:sz w:val="24"/>
          <w:szCs w:val="24"/>
          <w:highlight w:val="none"/>
        </w:rPr>
        <w:t>2</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EEFE8B3">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_Toc20189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1.2.2 </w:t>
      </w:r>
      <w:r>
        <w:rPr>
          <w:rFonts w:hint="default" w:ascii="Times New Roman" w:hAnsi="Times New Roman" w:cs="Times New Roman"/>
          <w:b w:val="0"/>
          <w:bCs w:val="0"/>
          <w:color w:val="auto"/>
          <w:sz w:val="24"/>
          <w:szCs w:val="24"/>
          <w:highlight w:val="none"/>
          <w:lang w:val="en-US" w:eastAsia="zh-CN"/>
        </w:rPr>
        <w:t>评价标准</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_Toc20189 \h </w:instrText>
      </w:r>
      <w:r>
        <w:rPr>
          <w:b w:val="0"/>
          <w:bCs w:val="0"/>
          <w:color w:val="auto"/>
          <w:sz w:val="24"/>
          <w:szCs w:val="24"/>
          <w:highlight w:val="none"/>
        </w:rPr>
        <w:fldChar w:fldCharType="separate"/>
      </w:r>
      <w:r>
        <w:rPr>
          <w:b w:val="0"/>
          <w:bCs w:val="0"/>
          <w:color w:val="auto"/>
          <w:sz w:val="24"/>
          <w:szCs w:val="24"/>
          <w:highlight w:val="none"/>
        </w:rPr>
        <w:t>2</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842D1B2">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_Toc3864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 xml:space="preserve">1.3 </w:t>
      </w:r>
      <w:r>
        <w:rPr>
          <w:rFonts w:hint="default" w:ascii="Times New Roman" w:hAnsi="Times New Roman" w:eastAsia="宋体" w:cs="Times New Roman"/>
          <w:b w:val="0"/>
          <w:bCs w:val="0"/>
          <w:color w:val="auto"/>
          <w:kern w:val="2"/>
          <w:sz w:val="24"/>
          <w:szCs w:val="24"/>
          <w:highlight w:val="none"/>
          <w:lang w:val="en-US" w:eastAsia="zh-CN"/>
        </w:rPr>
        <w:t>评价等级与评价范围</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_Toc3864 \h </w:instrText>
      </w:r>
      <w:r>
        <w:rPr>
          <w:b w:val="0"/>
          <w:bCs w:val="0"/>
          <w:color w:val="auto"/>
          <w:sz w:val="24"/>
          <w:szCs w:val="24"/>
          <w:highlight w:val="none"/>
        </w:rPr>
        <w:fldChar w:fldCharType="separate"/>
      </w:r>
      <w:r>
        <w:rPr>
          <w:b w:val="0"/>
          <w:bCs w:val="0"/>
          <w:color w:val="auto"/>
          <w:sz w:val="24"/>
          <w:szCs w:val="24"/>
          <w:highlight w:val="none"/>
        </w:rPr>
        <w:t>3</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001ED00">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_Toc27955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1.3.1 </w:t>
      </w:r>
      <w:r>
        <w:rPr>
          <w:rFonts w:hint="default" w:ascii="Times New Roman" w:hAnsi="Times New Roman" w:cs="Times New Roman"/>
          <w:b w:val="0"/>
          <w:bCs w:val="0"/>
          <w:color w:val="auto"/>
          <w:sz w:val="24"/>
          <w:szCs w:val="24"/>
          <w:highlight w:val="none"/>
          <w:lang w:val="en-US" w:eastAsia="zh-CN"/>
        </w:rPr>
        <w:t>评价等级</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_Toc27955 \h </w:instrText>
      </w:r>
      <w:r>
        <w:rPr>
          <w:b w:val="0"/>
          <w:bCs w:val="0"/>
          <w:color w:val="auto"/>
          <w:sz w:val="24"/>
          <w:szCs w:val="24"/>
          <w:highlight w:val="none"/>
        </w:rPr>
        <w:fldChar w:fldCharType="separate"/>
      </w:r>
      <w:r>
        <w:rPr>
          <w:b w:val="0"/>
          <w:bCs w:val="0"/>
          <w:color w:val="auto"/>
          <w:sz w:val="24"/>
          <w:szCs w:val="24"/>
          <w:highlight w:val="none"/>
        </w:rPr>
        <w:t>3</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6EF0C485">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_Toc9896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1.3.2 </w:t>
      </w:r>
      <w:r>
        <w:rPr>
          <w:rFonts w:hint="default" w:ascii="Times New Roman" w:hAnsi="Times New Roman" w:cs="Times New Roman"/>
          <w:b w:val="0"/>
          <w:bCs w:val="0"/>
          <w:color w:val="auto"/>
          <w:sz w:val="24"/>
          <w:szCs w:val="24"/>
          <w:highlight w:val="none"/>
          <w:lang w:val="en-US" w:eastAsia="zh-CN"/>
        </w:rPr>
        <w:t>评价范围</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_Toc9896 \h </w:instrText>
      </w:r>
      <w:r>
        <w:rPr>
          <w:b w:val="0"/>
          <w:bCs w:val="0"/>
          <w:color w:val="auto"/>
          <w:sz w:val="24"/>
          <w:szCs w:val="24"/>
          <w:highlight w:val="none"/>
        </w:rPr>
        <w:fldChar w:fldCharType="separate"/>
      </w:r>
      <w:r>
        <w:rPr>
          <w:b w:val="0"/>
          <w:bCs w:val="0"/>
          <w:color w:val="auto"/>
          <w:sz w:val="24"/>
          <w:szCs w:val="24"/>
          <w:highlight w:val="none"/>
        </w:rPr>
        <w:t>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5C18018D">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_Toc11881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1.3.3 </w:t>
      </w:r>
      <w:r>
        <w:rPr>
          <w:rFonts w:hint="default" w:ascii="Times New Roman" w:hAnsi="Times New Roman" w:cs="Times New Roman"/>
          <w:b w:val="0"/>
          <w:bCs w:val="0"/>
          <w:color w:val="auto"/>
          <w:sz w:val="24"/>
          <w:szCs w:val="24"/>
          <w:highlight w:val="none"/>
          <w:lang w:val="en-US" w:eastAsia="zh-CN"/>
        </w:rPr>
        <w:t>评价</w:t>
      </w:r>
      <w:r>
        <w:rPr>
          <w:rFonts w:hint="eastAsia" w:ascii="Times New Roman" w:hAnsi="Times New Roman" w:cs="Times New Roman"/>
          <w:b w:val="0"/>
          <w:bCs w:val="0"/>
          <w:color w:val="auto"/>
          <w:sz w:val="24"/>
          <w:szCs w:val="24"/>
          <w:highlight w:val="none"/>
          <w:lang w:val="en-US" w:eastAsia="zh-CN"/>
        </w:rPr>
        <w:t>时期</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_Toc11881 \h </w:instrText>
      </w:r>
      <w:r>
        <w:rPr>
          <w:b w:val="0"/>
          <w:bCs w:val="0"/>
          <w:color w:val="auto"/>
          <w:sz w:val="24"/>
          <w:szCs w:val="24"/>
          <w:highlight w:val="none"/>
        </w:rPr>
        <w:fldChar w:fldCharType="separate"/>
      </w:r>
      <w:r>
        <w:rPr>
          <w:b w:val="0"/>
          <w:bCs w:val="0"/>
          <w:color w:val="auto"/>
          <w:sz w:val="24"/>
          <w:szCs w:val="24"/>
          <w:highlight w:val="none"/>
        </w:rPr>
        <w:t>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5BE2C346">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_Toc11381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 xml:space="preserve">1.4 </w:t>
      </w:r>
      <w:r>
        <w:rPr>
          <w:rFonts w:hint="default" w:ascii="Times New Roman" w:hAnsi="Times New Roman" w:eastAsia="宋体" w:cs="Times New Roman"/>
          <w:b w:val="0"/>
          <w:bCs w:val="0"/>
          <w:color w:val="auto"/>
          <w:kern w:val="2"/>
          <w:sz w:val="24"/>
          <w:szCs w:val="24"/>
          <w:highlight w:val="none"/>
          <w:lang w:val="en-US" w:eastAsia="zh-CN"/>
        </w:rPr>
        <w:t>环境功能区划及环境敏感目标</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_Toc11381 \h </w:instrText>
      </w:r>
      <w:r>
        <w:rPr>
          <w:b w:val="0"/>
          <w:bCs w:val="0"/>
          <w:color w:val="auto"/>
          <w:sz w:val="24"/>
          <w:szCs w:val="24"/>
          <w:highlight w:val="none"/>
        </w:rPr>
        <w:fldChar w:fldCharType="separate"/>
      </w:r>
      <w:r>
        <w:rPr>
          <w:b w:val="0"/>
          <w:bCs w:val="0"/>
          <w:color w:val="auto"/>
          <w:sz w:val="24"/>
          <w:szCs w:val="24"/>
          <w:highlight w:val="none"/>
        </w:rPr>
        <w:t>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B1F7F8A">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_Toc7511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1.4.1 </w:t>
      </w:r>
      <w:r>
        <w:rPr>
          <w:rFonts w:hint="default" w:ascii="Times New Roman" w:hAnsi="Times New Roman" w:cs="Times New Roman"/>
          <w:b w:val="0"/>
          <w:bCs w:val="0"/>
          <w:color w:val="auto"/>
          <w:sz w:val="24"/>
          <w:szCs w:val="24"/>
          <w:highlight w:val="none"/>
          <w:lang w:val="en-US" w:eastAsia="zh-CN"/>
        </w:rPr>
        <w:t>环境功能区划</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_Toc7511 \h </w:instrText>
      </w:r>
      <w:r>
        <w:rPr>
          <w:b w:val="0"/>
          <w:bCs w:val="0"/>
          <w:color w:val="auto"/>
          <w:sz w:val="24"/>
          <w:szCs w:val="24"/>
          <w:highlight w:val="none"/>
        </w:rPr>
        <w:fldChar w:fldCharType="separate"/>
      </w:r>
      <w:r>
        <w:rPr>
          <w:b w:val="0"/>
          <w:bCs w:val="0"/>
          <w:color w:val="auto"/>
          <w:sz w:val="24"/>
          <w:szCs w:val="24"/>
          <w:highlight w:val="none"/>
        </w:rPr>
        <w:t>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5D79E0A">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_Toc18639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1.4.2 </w:t>
      </w:r>
      <w:r>
        <w:rPr>
          <w:rFonts w:hint="default" w:ascii="Times New Roman" w:hAnsi="Times New Roman" w:cs="Times New Roman"/>
          <w:b w:val="0"/>
          <w:bCs w:val="0"/>
          <w:color w:val="auto"/>
          <w:sz w:val="24"/>
          <w:szCs w:val="24"/>
          <w:highlight w:val="none"/>
          <w:lang w:val="en-US" w:eastAsia="zh-CN"/>
        </w:rPr>
        <w:t>环境敏感目标</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_Toc18639 \h </w:instrText>
      </w:r>
      <w:r>
        <w:rPr>
          <w:b w:val="0"/>
          <w:bCs w:val="0"/>
          <w:color w:val="auto"/>
          <w:sz w:val="24"/>
          <w:szCs w:val="24"/>
          <w:highlight w:val="none"/>
        </w:rPr>
        <w:fldChar w:fldCharType="separate"/>
      </w:r>
      <w:r>
        <w:rPr>
          <w:b w:val="0"/>
          <w:bCs w:val="0"/>
          <w:color w:val="auto"/>
          <w:sz w:val="24"/>
          <w:szCs w:val="24"/>
          <w:highlight w:val="none"/>
        </w:rPr>
        <w:t>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4FBD614">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_Toc20093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sz w:val="24"/>
          <w:szCs w:val="24"/>
          <w:highlight w:val="none"/>
          <w:lang w:val="en-US" w:eastAsia="zh-CN"/>
        </w:rPr>
        <w:t xml:space="preserve">2 </w:t>
      </w:r>
      <w:r>
        <w:rPr>
          <w:rFonts w:hint="default" w:ascii="Times New Roman" w:hAnsi="Times New Roman" w:cs="Times New Roman"/>
          <w:b w:val="0"/>
          <w:bCs w:val="0"/>
          <w:color w:val="auto"/>
          <w:sz w:val="24"/>
          <w:szCs w:val="24"/>
          <w:highlight w:val="none"/>
          <w:lang w:val="en-US" w:eastAsia="zh-CN"/>
        </w:rPr>
        <w:t>工程分析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_Toc20093 \h </w:instrText>
      </w:r>
      <w:r>
        <w:rPr>
          <w:b w:val="0"/>
          <w:bCs w:val="0"/>
          <w:color w:val="auto"/>
          <w:sz w:val="24"/>
          <w:szCs w:val="24"/>
          <w:highlight w:val="none"/>
        </w:rPr>
        <w:fldChar w:fldCharType="separate"/>
      </w:r>
      <w:r>
        <w:rPr>
          <w:b w:val="0"/>
          <w:bCs w:val="0"/>
          <w:color w:val="auto"/>
          <w:sz w:val="24"/>
          <w:szCs w:val="24"/>
          <w:highlight w:val="none"/>
        </w:rPr>
        <w:t>6</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745EE92">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_Toc24033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eastAsia="宋体" w:cs="Times New Roman"/>
          <w:b w:val="0"/>
          <w:bCs w:val="0"/>
          <w:color w:val="auto"/>
          <w:kern w:val="2"/>
          <w:sz w:val="24"/>
          <w:szCs w:val="24"/>
          <w:highlight w:val="none"/>
          <w:lang w:val="en-US" w:eastAsia="zh-CN"/>
        </w:rPr>
        <w:t xml:space="preserve">2.1 </w:t>
      </w:r>
      <w:r>
        <w:rPr>
          <w:rFonts w:hint="eastAsia" w:ascii="Times New Roman" w:hAnsi="Times New Roman" w:cs="Times New Roman"/>
          <w:b w:val="0"/>
          <w:bCs w:val="0"/>
          <w:color w:val="auto"/>
          <w:kern w:val="2"/>
          <w:sz w:val="24"/>
          <w:szCs w:val="24"/>
          <w:highlight w:val="none"/>
          <w:lang w:val="en-US" w:eastAsia="zh-CN"/>
        </w:rPr>
        <w:t>工程概况</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_Toc24033 \h </w:instrText>
      </w:r>
      <w:r>
        <w:rPr>
          <w:b w:val="0"/>
          <w:bCs w:val="0"/>
          <w:color w:val="auto"/>
          <w:sz w:val="24"/>
          <w:szCs w:val="24"/>
          <w:highlight w:val="none"/>
        </w:rPr>
        <w:fldChar w:fldCharType="separate"/>
      </w:r>
      <w:r>
        <w:rPr>
          <w:b w:val="0"/>
          <w:bCs w:val="0"/>
          <w:color w:val="auto"/>
          <w:sz w:val="24"/>
          <w:szCs w:val="24"/>
          <w:highlight w:val="none"/>
        </w:rPr>
        <w:t>6</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33099AF3">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_Toc25693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eastAsia="宋体" w:cs="Times New Roman"/>
          <w:b w:val="0"/>
          <w:bCs w:val="0"/>
          <w:color w:val="auto"/>
          <w:kern w:val="2"/>
          <w:sz w:val="24"/>
          <w:szCs w:val="24"/>
          <w:highlight w:val="none"/>
          <w:lang w:val="en-US" w:eastAsia="zh-CN"/>
        </w:rPr>
        <w:t xml:space="preserve">2.2 </w:t>
      </w:r>
      <w:r>
        <w:rPr>
          <w:rFonts w:hint="eastAsia" w:ascii="Times New Roman" w:hAnsi="Times New Roman" w:cs="Times New Roman"/>
          <w:b w:val="0"/>
          <w:bCs w:val="0"/>
          <w:color w:val="auto"/>
          <w:kern w:val="2"/>
          <w:sz w:val="24"/>
          <w:szCs w:val="24"/>
          <w:highlight w:val="none"/>
          <w:lang w:val="en-US" w:eastAsia="zh-CN"/>
        </w:rPr>
        <w:t>工程组成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_Toc25693 \h </w:instrText>
      </w:r>
      <w:r>
        <w:rPr>
          <w:b w:val="0"/>
          <w:bCs w:val="0"/>
          <w:color w:val="auto"/>
          <w:sz w:val="24"/>
          <w:szCs w:val="24"/>
          <w:highlight w:val="none"/>
        </w:rPr>
        <w:fldChar w:fldCharType="separate"/>
      </w:r>
      <w:r>
        <w:rPr>
          <w:b w:val="0"/>
          <w:bCs w:val="0"/>
          <w:color w:val="auto"/>
          <w:sz w:val="24"/>
          <w:szCs w:val="24"/>
          <w:highlight w:val="none"/>
        </w:rPr>
        <w:t>6</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41E07BF">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_Toc12572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eastAsia="宋体" w:cs="Times New Roman"/>
          <w:b w:val="0"/>
          <w:bCs w:val="0"/>
          <w:color w:val="auto"/>
          <w:kern w:val="2"/>
          <w:sz w:val="24"/>
          <w:szCs w:val="24"/>
          <w:highlight w:val="none"/>
          <w:lang w:val="en-US" w:eastAsia="zh-CN"/>
        </w:rPr>
        <w:t xml:space="preserve">2.3 </w:t>
      </w:r>
      <w:r>
        <w:rPr>
          <w:rFonts w:hint="eastAsia" w:ascii="Times New Roman" w:hAnsi="Times New Roman" w:cs="Times New Roman"/>
          <w:b w:val="0"/>
          <w:bCs w:val="0"/>
          <w:color w:val="auto"/>
          <w:kern w:val="2"/>
          <w:sz w:val="24"/>
          <w:szCs w:val="24"/>
          <w:highlight w:val="none"/>
          <w:lang w:val="en-US" w:eastAsia="zh-CN"/>
        </w:rPr>
        <w:t>工程运行方式</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_Toc12572 \h </w:instrText>
      </w:r>
      <w:r>
        <w:rPr>
          <w:b w:val="0"/>
          <w:bCs w:val="0"/>
          <w:color w:val="auto"/>
          <w:sz w:val="24"/>
          <w:szCs w:val="24"/>
          <w:highlight w:val="none"/>
        </w:rPr>
        <w:fldChar w:fldCharType="separate"/>
      </w:r>
      <w:r>
        <w:rPr>
          <w:b w:val="0"/>
          <w:bCs w:val="0"/>
          <w:color w:val="auto"/>
          <w:sz w:val="24"/>
          <w:szCs w:val="24"/>
          <w:highlight w:val="none"/>
        </w:rPr>
        <w:t>7</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7250A55">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_Toc28599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eastAsia="宋体" w:cs="Times New Roman"/>
          <w:b w:val="0"/>
          <w:bCs w:val="0"/>
          <w:color w:val="auto"/>
          <w:kern w:val="2"/>
          <w:sz w:val="24"/>
          <w:szCs w:val="24"/>
          <w:highlight w:val="none"/>
          <w:lang w:val="en-US" w:eastAsia="zh-CN"/>
        </w:rPr>
        <w:t xml:space="preserve">2.4 </w:t>
      </w:r>
      <w:r>
        <w:rPr>
          <w:rFonts w:hint="eastAsia" w:ascii="Times New Roman" w:hAnsi="Times New Roman" w:cs="Times New Roman"/>
          <w:b w:val="0"/>
          <w:bCs w:val="0"/>
          <w:color w:val="auto"/>
          <w:kern w:val="2"/>
          <w:sz w:val="24"/>
          <w:szCs w:val="24"/>
          <w:highlight w:val="none"/>
          <w:lang w:val="en-US" w:eastAsia="zh-CN"/>
        </w:rPr>
        <w:t>废水产排情况</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_Toc28599 \h </w:instrText>
      </w:r>
      <w:r>
        <w:rPr>
          <w:b w:val="0"/>
          <w:bCs w:val="0"/>
          <w:color w:val="auto"/>
          <w:sz w:val="24"/>
          <w:szCs w:val="24"/>
          <w:highlight w:val="none"/>
        </w:rPr>
        <w:fldChar w:fldCharType="separate"/>
      </w:r>
      <w:r>
        <w:rPr>
          <w:b w:val="0"/>
          <w:bCs w:val="0"/>
          <w:color w:val="auto"/>
          <w:sz w:val="24"/>
          <w:szCs w:val="24"/>
          <w:highlight w:val="none"/>
        </w:rPr>
        <w:t>8</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EB1C73D">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_Toc13582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3 地表水环境现状调查与评价</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_Toc13582 \h </w:instrText>
      </w:r>
      <w:r>
        <w:rPr>
          <w:b w:val="0"/>
          <w:bCs w:val="0"/>
          <w:color w:val="auto"/>
          <w:sz w:val="24"/>
          <w:szCs w:val="24"/>
          <w:highlight w:val="none"/>
        </w:rPr>
        <w:fldChar w:fldCharType="separate"/>
      </w:r>
      <w:r>
        <w:rPr>
          <w:b w:val="0"/>
          <w:bCs w:val="0"/>
          <w:color w:val="auto"/>
          <w:sz w:val="24"/>
          <w:szCs w:val="24"/>
          <w:highlight w:val="none"/>
        </w:rPr>
        <w:t>10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B92A108">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_Toc21122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eastAsia="宋体" w:cs="Times New Roman"/>
          <w:b w:val="0"/>
          <w:bCs w:val="0"/>
          <w:color w:val="auto"/>
          <w:kern w:val="2"/>
          <w:sz w:val="24"/>
          <w:szCs w:val="24"/>
          <w:highlight w:val="none"/>
        </w:rPr>
        <w:t>3.1区域水污染调查</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_Toc21122 \h </w:instrText>
      </w:r>
      <w:r>
        <w:rPr>
          <w:b w:val="0"/>
          <w:bCs w:val="0"/>
          <w:color w:val="auto"/>
          <w:sz w:val="24"/>
          <w:szCs w:val="24"/>
          <w:highlight w:val="none"/>
        </w:rPr>
        <w:fldChar w:fldCharType="separate"/>
      </w:r>
      <w:r>
        <w:rPr>
          <w:b w:val="0"/>
          <w:bCs w:val="0"/>
          <w:color w:val="auto"/>
          <w:sz w:val="24"/>
          <w:szCs w:val="24"/>
          <w:highlight w:val="none"/>
        </w:rPr>
        <w:t>10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637CC7C">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_Toc7913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eastAsia="宋体" w:cs="Times New Roman"/>
          <w:b w:val="0"/>
          <w:bCs w:val="0"/>
          <w:color w:val="auto"/>
          <w:kern w:val="2"/>
          <w:sz w:val="24"/>
          <w:szCs w:val="24"/>
          <w:highlight w:val="none"/>
        </w:rPr>
        <w:t>3.2区域水环境质量调查</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_Toc7913 \h </w:instrText>
      </w:r>
      <w:r>
        <w:rPr>
          <w:b w:val="0"/>
          <w:bCs w:val="0"/>
          <w:color w:val="auto"/>
          <w:sz w:val="24"/>
          <w:szCs w:val="24"/>
          <w:highlight w:val="none"/>
        </w:rPr>
        <w:fldChar w:fldCharType="separate"/>
      </w:r>
      <w:r>
        <w:rPr>
          <w:b w:val="0"/>
          <w:bCs w:val="0"/>
          <w:color w:val="auto"/>
          <w:sz w:val="24"/>
          <w:szCs w:val="24"/>
          <w:highlight w:val="none"/>
        </w:rPr>
        <w:t>10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A14A27D">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_Toc17371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3.</w:t>
      </w:r>
      <w:r>
        <w:rPr>
          <w:rFonts w:hint="eastAsia" w:ascii="Times New Roman" w:hAnsi="Times New Roman" w:cs="Times New Roman"/>
          <w:b w:val="0"/>
          <w:bCs w:val="0"/>
          <w:color w:val="auto"/>
          <w:kern w:val="2"/>
          <w:sz w:val="24"/>
          <w:szCs w:val="24"/>
          <w:highlight w:val="none"/>
          <w:lang w:val="en-US" w:eastAsia="zh-CN"/>
        </w:rPr>
        <w:t>3</w:t>
      </w:r>
      <w:r>
        <w:rPr>
          <w:rFonts w:hint="default" w:ascii="Times New Roman" w:hAnsi="Times New Roman" w:eastAsia="宋体" w:cs="Times New Roman"/>
          <w:b w:val="0"/>
          <w:bCs w:val="0"/>
          <w:color w:val="auto"/>
          <w:kern w:val="2"/>
          <w:sz w:val="24"/>
          <w:szCs w:val="24"/>
          <w:highlight w:val="none"/>
          <w:lang w:val="en-US" w:eastAsia="zh-CN"/>
        </w:rPr>
        <w:t>监测方案</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_Toc17371 \h </w:instrText>
      </w:r>
      <w:r>
        <w:rPr>
          <w:b w:val="0"/>
          <w:bCs w:val="0"/>
          <w:color w:val="auto"/>
          <w:sz w:val="24"/>
          <w:szCs w:val="24"/>
          <w:highlight w:val="none"/>
        </w:rPr>
        <w:fldChar w:fldCharType="separate"/>
      </w:r>
      <w:r>
        <w:rPr>
          <w:b w:val="0"/>
          <w:bCs w:val="0"/>
          <w:color w:val="auto"/>
          <w:sz w:val="24"/>
          <w:szCs w:val="24"/>
          <w:highlight w:val="none"/>
        </w:rPr>
        <w:t>13</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783E10B">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_Toc29144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3.</w:t>
      </w:r>
      <w:r>
        <w:rPr>
          <w:rFonts w:hint="eastAsia" w:ascii="Times New Roman" w:hAnsi="Times New Roman" w:eastAsia="宋体" w:cs="Times New Roman"/>
          <w:b w:val="0"/>
          <w:bCs w:val="0"/>
          <w:color w:val="auto"/>
          <w:kern w:val="2"/>
          <w:sz w:val="24"/>
          <w:szCs w:val="24"/>
          <w:highlight w:val="none"/>
          <w:lang w:val="en-US" w:eastAsia="zh-CN"/>
        </w:rPr>
        <w:t>4</w:t>
      </w:r>
      <w:r>
        <w:rPr>
          <w:rFonts w:hint="default" w:ascii="Times New Roman" w:hAnsi="Times New Roman" w:eastAsia="宋体" w:cs="Times New Roman"/>
          <w:b w:val="0"/>
          <w:bCs w:val="0"/>
          <w:color w:val="auto"/>
          <w:kern w:val="2"/>
          <w:sz w:val="24"/>
          <w:szCs w:val="24"/>
          <w:highlight w:val="none"/>
          <w:lang w:val="en-US" w:eastAsia="zh-CN"/>
        </w:rPr>
        <w:t>监测结果与分析评价</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_Toc29144 \h </w:instrText>
      </w:r>
      <w:r>
        <w:rPr>
          <w:b w:val="0"/>
          <w:bCs w:val="0"/>
          <w:color w:val="auto"/>
          <w:sz w:val="24"/>
          <w:szCs w:val="24"/>
          <w:highlight w:val="none"/>
        </w:rPr>
        <w:fldChar w:fldCharType="separate"/>
      </w:r>
      <w:r>
        <w:rPr>
          <w:b w:val="0"/>
          <w:bCs w:val="0"/>
          <w:color w:val="auto"/>
          <w:sz w:val="24"/>
          <w:szCs w:val="24"/>
          <w:highlight w:val="none"/>
        </w:rPr>
        <w:t>13</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3E147A6F">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_Toc3283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3.</w:t>
      </w:r>
      <w:r>
        <w:rPr>
          <w:rFonts w:hint="eastAsia" w:ascii="Times New Roman" w:hAnsi="Times New Roman" w:eastAsia="宋体" w:cs="Times New Roman"/>
          <w:b w:val="0"/>
          <w:bCs w:val="0"/>
          <w:color w:val="auto"/>
          <w:kern w:val="2"/>
          <w:sz w:val="24"/>
          <w:szCs w:val="24"/>
          <w:highlight w:val="none"/>
          <w:lang w:val="en-US" w:eastAsia="zh-CN"/>
        </w:rPr>
        <w:t>5</w:t>
      </w:r>
      <w:r>
        <w:rPr>
          <w:rFonts w:hint="default" w:ascii="Times New Roman" w:hAnsi="Times New Roman" w:eastAsia="宋体" w:cs="Times New Roman"/>
          <w:b w:val="0"/>
          <w:bCs w:val="0"/>
          <w:color w:val="auto"/>
          <w:kern w:val="2"/>
          <w:sz w:val="24"/>
          <w:szCs w:val="24"/>
          <w:highlight w:val="none"/>
          <w:lang w:val="en-US" w:eastAsia="zh-CN"/>
        </w:rPr>
        <w:t>环境现状评价结论</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_Toc3283 \h </w:instrText>
      </w:r>
      <w:r>
        <w:rPr>
          <w:b w:val="0"/>
          <w:bCs w:val="0"/>
          <w:color w:val="auto"/>
          <w:sz w:val="24"/>
          <w:szCs w:val="24"/>
          <w:highlight w:val="none"/>
        </w:rPr>
        <w:fldChar w:fldCharType="separate"/>
      </w:r>
      <w:r>
        <w:rPr>
          <w:b w:val="0"/>
          <w:bCs w:val="0"/>
          <w:color w:val="auto"/>
          <w:sz w:val="24"/>
          <w:szCs w:val="24"/>
          <w:highlight w:val="none"/>
        </w:rPr>
        <w:t>14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4F52F57">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_Toc15953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黑体" w:cs="Times New Roman"/>
          <w:b w:val="0"/>
          <w:bCs w:val="0"/>
          <w:color w:val="auto"/>
          <w:kern w:val="44"/>
          <w:sz w:val="24"/>
          <w:szCs w:val="24"/>
          <w:highlight w:val="none"/>
          <w:lang w:val="en-US" w:eastAsia="zh-CN" w:bidi="ar-SA"/>
        </w:rPr>
        <w:t xml:space="preserve">4 </w:t>
      </w:r>
      <w:r>
        <w:rPr>
          <w:rFonts w:hint="default" w:ascii="Times New Roman" w:hAnsi="Times New Roman" w:cs="Times New Roman"/>
          <w:b w:val="0"/>
          <w:bCs w:val="0"/>
          <w:color w:val="auto"/>
          <w:sz w:val="24"/>
          <w:szCs w:val="24"/>
          <w:highlight w:val="none"/>
          <w:lang w:val="en-US" w:eastAsia="zh-CN"/>
        </w:rPr>
        <w:t>地表水环境影响分析评价</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_Toc15953 \h </w:instrText>
      </w:r>
      <w:r>
        <w:rPr>
          <w:b w:val="0"/>
          <w:bCs w:val="0"/>
          <w:color w:val="auto"/>
          <w:sz w:val="24"/>
          <w:szCs w:val="24"/>
          <w:highlight w:val="none"/>
        </w:rPr>
        <w:fldChar w:fldCharType="separate"/>
      </w:r>
      <w:r>
        <w:rPr>
          <w:b w:val="0"/>
          <w:bCs w:val="0"/>
          <w:color w:val="auto"/>
          <w:sz w:val="24"/>
          <w:szCs w:val="24"/>
          <w:highlight w:val="none"/>
        </w:rPr>
        <w:t>15</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3DF6D0E2">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_Toc6516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4.1施工期环境影响评价</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_Toc6516 \h </w:instrText>
      </w:r>
      <w:r>
        <w:rPr>
          <w:b w:val="0"/>
          <w:bCs w:val="0"/>
          <w:color w:val="auto"/>
          <w:sz w:val="24"/>
          <w:szCs w:val="24"/>
          <w:highlight w:val="none"/>
        </w:rPr>
        <w:fldChar w:fldCharType="separate"/>
      </w:r>
      <w:r>
        <w:rPr>
          <w:b w:val="0"/>
          <w:bCs w:val="0"/>
          <w:color w:val="auto"/>
          <w:sz w:val="24"/>
          <w:szCs w:val="24"/>
          <w:highlight w:val="none"/>
        </w:rPr>
        <w:t>15</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5BDA1591">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_Toc5222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4.2运营期环境影响评价</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_Toc5222 \h </w:instrText>
      </w:r>
      <w:r>
        <w:rPr>
          <w:b w:val="0"/>
          <w:bCs w:val="0"/>
          <w:color w:val="auto"/>
          <w:sz w:val="24"/>
          <w:szCs w:val="24"/>
          <w:highlight w:val="none"/>
        </w:rPr>
        <w:fldChar w:fldCharType="separate"/>
      </w:r>
      <w:r>
        <w:rPr>
          <w:b w:val="0"/>
          <w:bCs w:val="0"/>
          <w:color w:val="auto"/>
          <w:sz w:val="24"/>
          <w:szCs w:val="24"/>
          <w:highlight w:val="none"/>
        </w:rPr>
        <w:t>15</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5245AC6">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_Toc11508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黑体" w:cs="Times New Roman"/>
          <w:b w:val="0"/>
          <w:bCs w:val="0"/>
          <w:color w:val="auto"/>
          <w:kern w:val="44"/>
          <w:sz w:val="24"/>
          <w:szCs w:val="24"/>
          <w:highlight w:val="none"/>
          <w:lang w:val="en-US" w:eastAsia="zh-CN" w:bidi="ar-SA"/>
        </w:rPr>
        <w:t>5</w:t>
      </w:r>
      <w:r>
        <w:rPr>
          <w:rFonts w:hint="default" w:ascii="Times New Roman" w:hAnsi="Times New Roman" w:cs="Times New Roman"/>
          <w:b w:val="0"/>
          <w:bCs w:val="0"/>
          <w:color w:val="auto"/>
          <w:sz w:val="24"/>
          <w:szCs w:val="24"/>
          <w:highlight w:val="none"/>
          <w:lang w:val="en-US" w:eastAsia="zh-CN"/>
        </w:rPr>
        <w:t xml:space="preserve"> 地表水环境保护措施</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_Toc11508 \h </w:instrText>
      </w:r>
      <w:r>
        <w:rPr>
          <w:b w:val="0"/>
          <w:bCs w:val="0"/>
          <w:color w:val="auto"/>
          <w:sz w:val="24"/>
          <w:szCs w:val="24"/>
          <w:highlight w:val="none"/>
        </w:rPr>
        <w:fldChar w:fldCharType="separate"/>
      </w:r>
      <w:r>
        <w:rPr>
          <w:b w:val="0"/>
          <w:bCs w:val="0"/>
          <w:color w:val="auto"/>
          <w:sz w:val="24"/>
          <w:szCs w:val="24"/>
          <w:highlight w:val="none"/>
        </w:rPr>
        <w:t>27</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94B03B9">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_Toc31689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5.1</w:t>
      </w:r>
      <w:r>
        <w:rPr>
          <w:rFonts w:hint="eastAsia" w:ascii="Times New Roman" w:hAnsi="Times New Roman" w:cs="Times New Roman"/>
          <w:b w:val="0"/>
          <w:bCs w:val="0"/>
          <w:color w:val="auto"/>
          <w:kern w:val="2"/>
          <w:sz w:val="24"/>
          <w:szCs w:val="24"/>
          <w:highlight w:val="none"/>
          <w:lang w:val="en-US" w:eastAsia="zh-CN"/>
        </w:rPr>
        <w:t>施工期地表水环境保护措施</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_Toc31689 \h </w:instrText>
      </w:r>
      <w:r>
        <w:rPr>
          <w:b w:val="0"/>
          <w:bCs w:val="0"/>
          <w:color w:val="auto"/>
          <w:sz w:val="24"/>
          <w:szCs w:val="24"/>
          <w:highlight w:val="none"/>
        </w:rPr>
        <w:fldChar w:fldCharType="separate"/>
      </w:r>
      <w:r>
        <w:rPr>
          <w:b w:val="0"/>
          <w:bCs w:val="0"/>
          <w:color w:val="auto"/>
          <w:sz w:val="24"/>
          <w:szCs w:val="24"/>
          <w:highlight w:val="none"/>
        </w:rPr>
        <w:t>27</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AAE5465">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_Toc26555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cs="Times New Roman"/>
          <w:b w:val="0"/>
          <w:bCs w:val="0"/>
          <w:color w:val="auto"/>
          <w:kern w:val="2"/>
          <w:sz w:val="24"/>
          <w:szCs w:val="24"/>
          <w:highlight w:val="none"/>
          <w:lang w:val="en-US" w:eastAsia="zh-CN"/>
        </w:rPr>
        <w:t>5.2</w:t>
      </w:r>
      <w:r>
        <w:rPr>
          <w:rFonts w:hint="default" w:ascii="Times New Roman" w:hAnsi="Times New Roman" w:eastAsia="宋体" w:cs="Times New Roman"/>
          <w:b w:val="0"/>
          <w:bCs w:val="0"/>
          <w:color w:val="auto"/>
          <w:kern w:val="2"/>
          <w:sz w:val="24"/>
          <w:szCs w:val="24"/>
          <w:highlight w:val="none"/>
          <w:lang w:val="en-US" w:eastAsia="zh-CN"/>
        </w:rPr>
        <w:t>运营期地表水环境保护措施</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_Toc26555 \h </w:instrText>
      </w:r>
      <w:r>
        <w:rPr>
          <w:b w:val="0"/>
          <w:bCs w:val="0"/>
          <w:color w:val="auto"/>
          <w:sz w:val="24"/>
          <w:szCs w:val="24"/>
          <w:highlight w:val="none"/>
        </w:rPr>
        <w:fldChar w:fldCharType="separate"/>
      </w:r>
      <w:r>
        <w:rPr>
          <w:b w:val="0"/>
          <w:bCs w:val="0"/>
          <w:color w:val="auto"/>
          <w:sz w:val="24"/>
          <w:szCs w:val="24"/>
          <w:highlight w:val="none"/>
        </w:rPr>
        <w:t>27</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F0BBFF6">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_Toc29891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cs="Times New Roman"/>
          <w:b w:val="0"/>
          <w:bCs w:val="0"/>
          <w:color w:val="auto"/>
          <w:sz w:val="24"/>
          <w:szCs w:val="24"/>
          <w:highlight w:val="none"/>
          <w:lang w:val="en-US" w:eastAsia="zh-CN"/>
        </w:rPr>
        <w:t>5.</w:t>
      </w:r>
      <w:r>
        <w:rPr>
          <w:rFonts w:hint="eastAsia" w:cs="Times New Roman"/>
          <w:b w:val="0"/>
          <w:bCs w:val="0"/>
          <w:color w:val="auto"/>
          <w:sz w:val="24"/>
          <w:szCs w:val="24"/>
          <w:highlight w:val="none"/>
          <w:lang w:val="en-US" w:eastAsia="zh-CN"/>
        </w:rPr>
        <w:t>2</w:t>
      </w:r>
      <w:r>
        <w:rPr>
          <w:rFonts w:hint="eastAsia" w:ascii="Times New Roman" w:hAnsi="Times New Roman" w:cs="Times New Roman"/>
          <w:b w:val="0"/>
          <w:bCs w:val="0"/>
          <w:color w:val="auto"/>
          <w:sz w:val="24"/>
          <w:szCs w:val="24"/>
          <w:highlight w:val="none"/>
          <w:lang w:val="en-US" w:eastAsia="zh-CN"/>
        </w:rPr>
        <w:t>.1水质特性分析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_Toc29891 \h </w:instrText>
      </w:r>
      <w:r>
        <w:rPr>
          <w:b w:val="0"/>
          <w:bCs w:val="0"/>
          <w:color w:val="auto"/>
          <w:sz w:val="24"/>
          <w:szCs w:val="24"/>
          <w:highlight w:val="none"/>
        </w:rPr>
        <w:fldChar w:fldCharType="separate"/>
      </w:r>
      <w:r>
        <w:rPr>
          <w:b w:val="0"/>
          <w:bCs w:val="0"/>
          <w:color w:val="auto"/>
          <w:sz w:val="24"/>
          <w:szCs w:val="24"/>
          <w:highlight w:val="none"/>
        </w:rPr>
        <w:t>27</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73B1F82">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_Toc3203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eastAsia" w:ascii="Times New Roman" w:hAnsi="Times New Roman" w:cs="Times New Roman"/>
          <w:b w:val="0"/>
          <w:bCs w:val="0"/>
          <w:color w:val="auto"/>
          <w:sz w:val="24"/>
          <w:szCs w:val="24"/>
          <w:highlight w:val="none"/>
          <w:lang w:val="en-US" w:eastAsia="zh-CN"/>
        </w:rPr>
        <w:t>5.</w:t>
      </w:r>
      <w:r>
        <w:rPr>
          <w:rFonts w:hint="eastAsia" w:cs="Times New Roman"/>
          <w:b w:val="0"/>
          <w:bCs w:val="0"/>
          <w:color w:val="auto"/>
          <w:sz w:val="24"/>
          <w:szCs w:val="24"/>
          <w:highlight w:val="none"/>
          <w:lang w:val="en-US" w:eastAsia="zh-CN"/>
        </w:rPr>
        <w:t>2</w:t>
      </w:r>
      <w:r>
        <w:rPr>
          <w:rFonts w:hint="eastAsia" w:ascii="Times New Roman" w:hAnsi="Times New Roman" w:cs="Times New Roman"/>
          <w:b w:val="0"/>
          <w:bCs w:val="0"/>
          <w:color w:val="auto"/>
          <w:sz w:val="24"/>
          <w:szCs w:val="24"/>
          <w:highlight w:val="none"/>
          <w:lang w:val="en-US" w:eastAsia="zh-CN"/>
        </w:rPr>
        <w:t>.2处理工艺分析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_Toc3203 \h </w:instrText>
      </w:r>
      <w:r>
        <w:rPr>
          <w:b w:val="0"/>
          <w:bCs w:val="0"/>
          <w:color w:val="auto"/>
          <w:sz w:val="24"/>
          <w:szCs w:val="24"/>
          <w:highlight w:val="none"/>
        </w:rPr>
        <w:fldChar w:fldCharType="separate"/>
      </w:r>
      <w:r>
        <w:rPr>
          <w:b w:val="0"/>
          <w:bCs w:val="0"/>
          <w:color w:val="auto"/>
          <w:sz w:val="24"/>
          <w:szCs w:val="24"/>
          <w:highlight w:val="none"/>
        </w:rPr>
        <w:t>27</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48BECCB">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_Toc13420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5.</w:t>
      </w:r>
      <w:r>
        <w:rPr>
          <w:rFonts w:hint="eastAsia" w:ascii="Times New Roman" w:hAnsi="Times New Roman" w:cs="Times New Roman"/>
          <w:b w:val="0"/>
          <w:bCs w:val="0"/>
          <w:color w:val="auto"/>
          <w:kern w:val="2"/>
          <w:sz w:val="24"/>
          <w:szCs w:val="24"/>
          <w:highlight w:val="none"/>
          <w:lang w:val="en-US" w:eastAsia="zh-CN"/>
        </w:rPr>
        <w:t>3</w:t>
      </w:r>
      <w:r>
        <w:rPr>
          <w:rFonts w:hint="default" w:ascii="Times New Roman" w:hAnsi="Times New Roman" w:eastAsia="宋体" w:cs="Times New Roman"/>
          <w:b w:val="0"/>
          <w:bCs w:val="0"/>
          <w:color w:val="auto"/>
          <w:kern w:val="2"/>
          <w:sz w:val="24"/>
          <w:szCs w:val="24"/>
          <w:highlight w:val="none"/>
          <w:lang w:val="en-US" w:eastAsia="zh-CN"/>
        </w:rPr>
        <w:t>水污染治理设施可行性分析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_Toc13420 \h </w:instrText>
      </w:r>
      <w:r>
        <w:rPr>
          <w:b w:val="0"/>
          <w:bCs w:val="0"/>
          <w:color w:val="auto"/>
          <w:sz w:val="24"/>
          <w:szCs w:val="24"/>
          <w:highlight w:val="none"/>
        </w:rPr>
        <w:fldChar w:fldCharType="separate"/>
      </w:r>
      <w:r>
        <w:rPr>
          <w:b w:val="0"/>
          <w:bCs w:val="0"/>
          <w:color w:val="auto"/>
          <w:sz w:val="24"/>
          <w:szCs w:val="24"/>
          <w:highlight w:val="none"/>
        </w:rPr>
        <w:t>29</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8363AE1">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_Toc11297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kern w:val="44"/>
          <w:sz w:val="24"/>
          <w:szCs w:val="24"/>
          <w:highlight w:val="none"/>
          <w:lang w:val="en-US" w:eastAsia="zh-CN" w:bidi="ar-SA"/>
        </w:rPr>
        <w:t>环境管理与监测计划</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_Toc11297 \h </w:instrText>
      </w:r>
      <w:r>
        <w:rPr>
          <w:b w:val="0"/>
          <w:bCs w:val="0"/>
          <w:color w:val="auto"/>
          <w:sz w:val="24"/>
          <w:szCs w:val="24"/>
          <w:highlight w:val="none"/>
        </w:rPr>
        <w:fldChar w:fldCharType="separate"/>
      </w:r>
      <w:r>
        <w:rPr>
          <w:b w:val="0"/>
          <w:bCs w:val="0"/>
          <w:color w:val="auto"/>
          <w:sz w:val="24"/>
          <w:szCs w:val="24"/>
          <w:highlight w:val="none"/>
        </w:rPr>
        <w:t>30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29BF2B6">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_Toc32737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6.1环境管理</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_Toc32737 \h </w:instrText>
      </w:r>
      <w:r>
        <w:rPr>
          <w:b w:val="0"/>
          <w:bCs w:val="0"/>
          <w:color w:val="auto"/>
          <w:sz w:val="24"/>
          <w:szCs w:val="24"/>
          <w:highlight w:val="none"/>
        </w:rPr>
        <w:fldChar w:fldCharType="separate"/>
      </w:r>
      <w:r>
        <w:rPr>
          <w:b w:val="0"/>
          <w:bCs w:val="0"/>
          <w:color w:val="auto"/>
          <w:sz w:val="24"/>
          <w:szCs w:val="24"/>
          <w:highlight w:val="none"/>
        </w:rPr>
        <w:t>30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3F8CBA0E">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_Toc30840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6.1.1专职环保人员</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_Toc30840 \h </w:instrText>
      </w:r>
      <w:r>
        <w:rPr>
          <w:b w:val="0"/>
          <w:bCs w:val="0"/>
          <w:color w:val="auto"/>
          <w:sz w:val="24"/>
          <w:szCs w:val="24"/>
          <w:highlight w:val="none"/>
        </w:rPr>
        <w:fldChar w:fldCharType="separate"/>
      </w:r>
      <w:r>
        <w:rPr>
          <w:b w:val="0"/>
          <w:bCs w:val="0"/>
          <w:color w:val="auto"/>
          <w:sz w:val="24"/>
          <w:szCs w:val="24"/>
          <w:highlight w:val="none"/>
        </w:rPr>
        <w:t>30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1DC2663">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_Toc1507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6.1.2环保专职人员职责</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_Toc1507 \h </w:instrText>
      </w:r>
      <w:r>
        <w:rPr>
          <w:b w:val="0"/>
          <w:bCs w:val="0"/>
          <w:color w:val="auto"/>
          <w:sz w:val="24"/>
          <w:szCs w:val="24"/>
          <w:highlight w:val="none"/>
        </w:rPr>
        <w:fldChar w:fldCharType="separate"/>
      </w:r>
      <w:r>
        <w:rPr>
          <w:b w:val="0"/>
          <w:bCs w:val="0"/>
          <w:color w:val="auto"/>
          <w:sz w:val="24"/>
          <w:szCs w:val="24"/>
          <w:highlight w:val="none"/>
        </w:rPr>
        <w:t>30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E48AEB0">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_Toc16381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6.1.3排污许可管理要求</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_Toc16381 \h </w:instrText>
      </w:r>
      <w:r>
        <w:rPr>
          <w:b w:val="0"/>
          <w:bCs w:val="0"/>
          <w:color w:val="auto"/>
          <w:sz w:val="24"/>
          <w:szCs w:val="24"/>
          <w:highlight w:val="none"/>
        </w:rPr>
        <w:fldChar w:fldCharType="separate"/>
      </w:r>
      <w:r>
        <w:rPr>
          <w:b w:val="0"/>
          <w:bCs w:val="0"/>
          <w:color w:val="auto"/>
          <w:sz w:val="24"/>
          <w:szCs w:val="24"/>
          <w:highlight w:val="none"/>
        </w:rPr>
        <w:t>30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CE0738D">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_Toc21194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6.2水污染物排放清单</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_Toc21194 \h </w:instrText>
      </w:r>
      <w:r>
        <w:rPr>
          <w:b w:val="0"/>
          <w:bCs w:val="0"/>
          <w:color w:val="auto"/>
          <w:sz w:val="24"/>
          <w:szCs w:val="24"/>
          <w:highlight w:val="none"/>
        </w:rPr>
        <w:fldChar w:fldCharType="separate"/>
      </w:r>
      <w:r>
        <w:rPr>
          <w:b w:val="0"/>
          <w:bCs w:val="0"/>
          <w:color w:val="auto"/>
          <w:sz w:val="24"/>
          <w:szCs w:val="24"/>
          <w:highlight w:val="none"/>
        </w:rPr>
        <w:t>30</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166E8C4">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_Toc24193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6.3水环境监测计划</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_Toc24193 \h </w:instrText>
      </w:r>
      <w:r>
        <w:rPr>
          <w:b w:val="0"/>
          <w:bCs w:val="0"/>
          <w:color w:val="auto"/>
          <w:sz w:val="24"/>
          <w:szCs w:val="24"/>
          <w:highlight w:val="none"/>
        </w:rPr>
        <w:fldChar w:fldCharType="separate"/>
      </w:r>
      <w:r>
        <w:rPr>
          <w:b w:val="0"/>
          <w:bCs w:val="0"/>
          <w:color w:val="auto"/>
          <w:sz w:val="24"/>
          <w:szCs w:val="24"/>
          <w:highlight w:val="none"/>
        </w:rPr>
        <w:t>31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352DABA3">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_Toc6321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6.3.1污染源监测计划</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_Toc6321 \h </w:instrText>
      </w:r>
      <w:r>
        <w:rPr>
          <w:b w:val="0"/>
          <w:bCs w:val="0"/>
          <w:color w:val="auto"/>
          <w:sz w:val="24"/>
          <w:szCs w:val="24"/>
          <w:highlight w:val="none"/>
        </w:rPr>
        <w:fldChar w:fldCharType="separate"/>
      </w:r>
      <w:r>
        <w:rPr>
          <w:b w:val="0"/>
          <w:bCs w:val="0"/>
          <w:color w:val="auto"/>
          <w:sz w:val="24"/>
          <w:szCs w:val="24"/>
          <w:highlight w:val="none"/>
        </w:rPr>
        <w:t>31</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7CB4952">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_Toc5399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6.3.2环境质量监测计划</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_Toc5399 \h </w:instrText>
      </w:r>
      <w:r>
        <w:rPr>
          <w:b w:val="0"/>
          <w:bCs w:val="0"/>
          <w:color w:val="auto"/>
          <w:sz w:val="24"/>
          <w:szCs w:val="24"/>
          <w:highlight w:val="none"/>
        </w:rPr>
        <w:fldChar w:fldCharType="separate"/>
      </w:r>
      <w:r>
        <w:rPr>
          <w:b w:val="0"/>
          <w:bCs w:val="0"/>
          <w:color w:val="auto"/>
          <w:sz w:val="24"/>
          <w:szCs w:val="24"/>
          <w:highlight w:val="none"/>
        </w:rPr>
        <w:t>32</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5FEFBA0A">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_Toc5688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6.3.3监测方法和监测机构</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_Toc5688 \h </w:instrText>
      </w:r>
      <w:r>
        <w:rPr>
          <w:b w:val="0"/>
          <w:bCs w:val="0"/>
          <w:color w:val="auto"/>
          <w:sz w:val="24"/>
          <w:szCs w:val="24"/>
          <w:highlight w:val="none"/>
        </w:rPr>
        <w:fldChar w:fldCharType="separate"/>
      </w:r>
      <w:r>
        <w:rPr>
          <w:b w:val="0"/>
          <w:bCs w:val="0"/>
          <w:color w:val="auto"/>
          <w:sz w:val="24"/>
          <w:szCs w:val="24"/>
          <w:highlight w:val="none"/>
        </w:rPr>
        <w:t>32</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7DCD36A">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_Toc2634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6.4排污口设置及规范化管理</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_Toc2634 \h </w:instrText>
      </w:r>
      <w:r>
        <w:rPr>
          <w:b w:val="0"/>
          <w:bCs w:val="0"/>
          <w:color w:val="auto"/>
          <w:sz w:val="24"/>
          <w:szCs w:val="24"/>
          <w:highlight w:val="none"/>
        </w:rPr>
        <w:fldChar w:fldCharType="separate"/>
      </w:r>
      <w:r>
        <w:rPr>
          <w:b w:val="0"/>
          <w:bCs w:val="0"/>
          <w:color w:val="auto"/>
          <w:sz w:val="24"/>
          <w:szCs w:val="24"/>
          <w:highlight w:val="none"/>
        </w:rPr>
        <w:t>32</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28623024">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_Toc30821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6.4.1入河排污口设置方案</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_Toc30821 \h </w:instrText>
      </w:r>
      <w:r>
        <w:rPr>
          <w:b w:val="0"/>
          <w:bCs w:val="0"/>
          <w:color w:val="auto"/>
          <w:sz w:val="24"/>
          <w:szCs w:val="24"/>
          <w:highlight w:val="none"/>
        </w:rPr>
        <w:fldChar w:fldCharType="separate"/>
      </w:r>
      <w:r>
        <w:rPr>
          <w:b w:val="0"/>
          <w:bCs w:val="0"/>
          <w:color w:val="auto"/>
          <w:sz w:val="24"/>
          <w:szCs w:val="24"/>
          <w:highlight w:val="none"/>
        </w:rPr>
        <w:t>33</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9FA6B4D">
      <w:pPr>
        <w:pStyle w:val="1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_Toc32012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6.4.2入河排污口设置规范化管理</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_Toc32012 \h </w:instrText>
      </w:r>
      <w:r>
        <w:rPr>
          <w:b w:val="0"/>
          <w:bCs w:val="0"/>
          <w:color w:val="auto"/>
          <w:sz w:val="24"/>
          <w:szCs w:val="24"/>
          <w:highlight w:val="none"/>
        </w:rPr>
        <w:fldChar w:fldCharType="separate"/>
      </w:r>
      <w:r>
        <w:rPr>
          <w:b w:val="0"/>
          <w:bCs w:val="0"/>
          <w:color w:val="auto"/>
          <w:sz w:val="24"/>
          <w:szCs w:val="24"/>
          <w:highlight w:val="none"/>
        </w:rPr>
        <w:t>33</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13B2C06">
      <w:pPr>
        <w:pStyle w:val="24"/>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_Toc14431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cs="Times New Roman"/>
          <w:b w:val="0"/>
          <w:bCs w:val="0"/>
          <w:color w:val="auto"/>
          <w:sz w:val="24"/>
          <w:szCs w:val="24"/>
          <w:highlight w:val="none"/>
          <w:lang w:val="en-US" w:eastAsia="zh-CN"/>
        </w:rPr>
        <w:t>7结论</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_Toc14431 \h </w:instrText>
      </w:r>
      <w:r>
        <w:rPr>
          <w:b w:val="0"/>
          <w:bCs w:val="0"/>
          <w:color w:val="auto"/>
          <w:sz w:val="24"/>
          <w:szCs w:val="24"/>
          <w:highlight w:val="none"/>
        </w:rPr>
        <w:fldChar w:fldCharType="separate"/>
      </w:r>
      <w:r>
        <w:rPr>
          <w:b w:val="0"/>
          <w:bCs w:val="0"/>
          <w:color w:val="auto"/>
          <w:sz w:val="24"/>
          <w:szCs w:val="24"/>
          <w:highlight w:val="none"/>
        </w:rPr>
        <w:t>34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0E8B163A">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_Toc18428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7.1工程概况</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_Toc18428 \h </w:instrText>
      </w:r>
      <w:r>
        <w:rPr>
          <w:b w:val="0"/>
          <w:bCs w:val="0"/>
          <w:color w:val="auto"/>
          <w:sz w:val="24"/>
          <w:szCs w:val="24"/>
          <w:highlight w:val="none"/>
        </w:rPr>
        <w:fldChar w:fldCharType="separate"/>
      </w:r>
      <w:r>
        <w:rPr>
          <w:b w:val="0"/>
          <w:bCs w:val="0"/>
          <w:color w:val="auto"/>
          <w:sz w:val="24"/>
          <w:szCs w:val="24"/>
          <w:highlight w:val="none"/>
        </w:rPr>
        <w:t>34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7B96C998">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_Toc15380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7.2项目区域环境质量现状</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_Toc15380 \h </w:instrText>
      </w:r>
      <w:r>
        <w:rPr>
          <w:b w:val="0"/>
          <w:bCs w:val="0"/>
          <w:color w:val="auto"/>
          <w:sz w:val="24"/>
          <w:szCs w:val="24"/>
          <w:highlight w:val="none"/>
        </w:rPr>
        <w:fldChar w:fldCharType="separate"/>
      </w:r>
      <w:r>
        <w:rPr>
          <w:b w:val="0"/>
          <w:bCs w:val="0"/>
          <w:color w:val="auto"/>
          <w:sz w:val="24"/>
          <w:szCs w:val="24"/>
          <w:highlight w:val="none"/>
        </w:rPr>
        <w:t>34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480ED523">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_Toc32756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7.3环境影响分析</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_Toc32756 \h </w:instrText>
      </w:r>
      <w:r>
        <w:rPr>
          <w:b w:val="0"/>
          <w:bCs w:val="0"/>
          <w:color w:val="auto"/>
          <w:sz w:val="24"/>
          <w:szCs w:val="24"/>
          <w:highlight w:val="none"/>
        </w:rPr>
        <w:fldChar w:fldCharType="separate"/>
      </w:r>
      <w:r>
        <w:rPr>
          <w:b w:val="0"/>
          <w:bCs w:val="0"/>
          <w:color w:val="auto"/>
          <w:sz w:val="24"/>
          <w:szCs w:val="24"/>
          <w:highlight w:val="none"/>
        </w:rPr>
        <w:t>34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16AB1200">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_Toc30990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7.4综合结论</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_Toc30990 \h </w:instrText>
      </w:r>
      <w:r>
        <w:rPr>
          <w:b w:val="0"/>
          <w:bCs w:val="0"/>
          <w:color w:val="auto"/>
          <w:sz w:val="24"/>
          <w:szCs w:val="24"/>
          <w:highlight w:val="none"/>
        </w:rPr>
        <w:fldChar w:fldCharType="separate"/>
      </w:r>
      <w:r>
        <w:rPr>
          <w:b w:val="0"/>
          <w:bCs w:val="0"/>
          <w:color w:val="auto"/>
          <w:sz w:val="24"/>
          <w:szCs w:val="24"/>
          <w:highlight w:val="none"/>
        </w:rPr>
        <w:t>34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6C9D7DBC">
      <w:pPr>
        <w:pStyle w:val="27"/>
        <w:tabs>
          <w:tab w:val="right" w:leader="dot" w:pos="8504"/>
        </w:tabs>
        <w:spacing w:line="360" w:lineRule="auto"/>
        <w:rPr>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fldChar w:fldCharType="begin"/>
      </w:r>
      <w:r>
        <w:rPr>
          <w:rFonts w:hint="default" w:ascii="Times New Roman" w:hAnsi="Times New Roman" w:eastAsia="宋体" w:cs="Times New Roman"/>
          <w:b w:val="0"/>
          <w:bCs w:val="0"/>
          <w:color w:val="auto"/>
          <w:sz w:val="24"/>
          <w:szCs w:val="24"/>
          <w:highlight w:val="none"/>
          <w:lang w:val="en-US" w:eastAsia="zh-CN"/>
        </w:rPr>
        <w:instrText xml:space="preserve"> HYPERLINK \l _Toc4100 </w:instrText>
      </w:r>
      <w:r>
        <w:rPr>
          <w:rFonts w:hint="default" w:ascii="Times New Roman" w:hAnsi="Times New Roman" w:eastAsia="宋体" w:cs="Times New Roman"/>
          <w:b w:val="0"/>
          <w:bCs w:val="0"/>
          <w:color w:val="auto"/>
          <w:sz w:val="24"/>
          <w:szCs w:val="24"/>
          <w:highlight w:val="none"/>
          <w:lang w:val="en-US" w:eastAsia="zh-CN"/>
        </w:rPr>
        <w:fldChar w:fldCharType="separate"/>
      </w:r>
      <w:r>
        <w:rPr>
          <w:rFonts w:hint="default" w:ascii="Times New Roman" w:hAnsi="Times New Roman" w:eastAsia="宋体" w:cs="Times New Roman"/>
          <w:b w:val="0"/>
          <w:bCs w:val="0"/>
          <w:color w:val="auto"/>
          <w:kern w:val="2"/>
          <w:sz w:val="24"/>
          <w:szCs w:val="24"/>
          <w:highlight w:val="none"/>
          <w:lang w:val="en-US" w:eastAsia="zh-CN"/>
        </w:rPr>
        <w:t>7.5要求与建议</w:t>
      </w:r>
      <w:r>
        <w:rPr>
          <w:b w:val="0"/>
          <w:bCs w:val="0"/>
          <w:color w:val="auto"/>
          <w:sz w:val="24"/>
          <w:szCs w:val="24"/>
          <w:highlight w:val="none"/>
        </w:rPr>
        <w:tab/>
      </w:r>
      <w:r>
        <w:rPr>
          <w:b w:val="0"/>
          <w:bCs w:val="0"/>
          <w:color w:val="auto"/>
          <w:sz w:val="24"/>
          <w:szCs w:val="24"/>
          <w:highlight w:val="none"/>
        </w:rPr>
        <w:fldChar w:fldCharType="begin"/>
      </w:r>
      <w:r>
        <w:rPr>
          <w:b w:val="0"/>
          <w:bCs w:val="0"/>
          <w:color w:val="auto"/>
          <w:sz w:val="24"/>
          <w:szCs w:val="24"/>
          <w:highlight w:val="none"/>
        </w:rPr>
        <w:instrText xml:space="preserve"> PAGEREF _Toc4100 \h </w:instrText>
      </w:r>
      <w:r>
        <w:rPr>
          <w:b w:val="0"/>
          <w:bCs w:val="0"/>
          <w:color w:val="auto"/>
          <w:sz w:val="24"/>
          <w:szCs w:val="24"/>
          <w:highlight w:val="none"/>
        </w:rPr>
        <w:fldChar w:fldCharType="separate"/>
      </w:r>
      <w:r>
        <w:rPr>
          <w:b w:val="0"/>
          <w:bCs w:val="0"/>
          <w:color w:val="auto"/>
          <w:sz w:val="24"/>
          <w:szCs w:val="24"/>
          <w:highlight w:val="none"/>
        </w:rPr>
        <w:t>34</w:t>
      </w:r>
      <w:r>
        <w:rPr>
          <w:b w:val="0"/>
          <w:bCs w:val="0"/>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lang w:val="en-US" w:eastAsia="zh-CN"/>
        </w:rPr>
        <w:fldChar w:fldCharType="end"/>
      </w:r>
    </w:p>
    <w:p w14:paraId="5C512BEB">
      <w:pPr>
        <w:pStyle w:val="27"/>
        <w:keepNext w:val="0"/>
        <w:keepLines w:val="0"/>
        <w:pageBreakBefore w:val="0"/>
        <w:widowControl w:val="0"/>
        <w:tabs>
          <w:tab w:val="left" w:pos="2678"/>
        </w:tabs>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方正小标宋_GBK" w:cs="Times New Roman"/>
          <w:b/>
          <w:bCs w:val="0"/>
          <w:color w:val="auto"/>
          <w:sz w:val="36"/>
          <w:szCs w:val="36"/>
          <w:highlight w:val="none"/>
          <w:lang w:val="en-US" w:eastAsia="zh-CN"/>
        </w:rPr>
        <w:sectPr>
          <w:footerReference r:id="rId10" w:type="default"/>
          <w:pgSz w:w="11906" w:h="16838"/>
          <w:pgMar w:top="1304" w:right="1701" w:bottom="1304" w:left="1701" w:header="1304" w:footer="1304" w:gutter="0"/>
          <w:pgBorders>
            <w:top w:val="none" w:sz="0" w:space="0"/>
            <w:left w:val="none" w:sz="0" w:space="0"/>
            <w:bottom w:val="none" w:sz="0" w:space="0"/>
            <w:right w:val="none" w:sz="0" w:space="0"/>
          </w:pgBorders>
          <w:pgNumType w:fmt="upperRoman" w:start="1"/>
          <w:cols w:space="720" w:num="1"/>
          <w:docGrid w:linePitch="312" w:charSpace="0"/>
        </w:sectPr>
      </w:pPr>
      <w:r>
        <w:rPr>
          <w:rFonts w:hint="default" w:ascii="Times New Roman" w:hAnsi="Times New Roman" w:eastAsia="宋体" w:cs="Times New Roman"/>
          <w:bCs/>
          <w:color w:val="auto"/>
          <w:szCs w:val="24"/>
          <w:highlight w:val="none"/>
          <w:lang w:val="en-US" w:eastAsia="zh-CN"/>
        </w:rPr>
        <w:fldChar w:fldCharType="end"/>
      </w:r>
    </w:p>
    <w:p w14:paraId="19EEA8A5">
      <w:pPr>
        <w:pStyle w:val="3"/>
        <w:keepNext/>
        <w:keepLines w:val="0"/>
        <w:pageBreakBefore w:val="0"/>
        <w:widowControl w:val="0"/>
        <w:numPr>
          <w:ilvl w:val="0"/>
          <w:numId w:val="6"/>
        </w:numPr>
        <w:tabs>
          <w:tab w:val="left" w:pos="210"/>
          <w:tab w:val="left" w:pos="420"/>
          <w:tab w:val="clear" w:pos="0"/>
        </w:tabs>
        <w:kinsoku/>
        <w:wordWrap/>
        <w:overflowPunct w:val="0"/>
        <w:topLinePunct w:val="0"/>
        <w:autoSpaceDE/>
        <w:autoSpaceDN/>
        <w:bidi w:val="0"/>
        <w:adjustRightInd/>
        <w:snapToGrid w:val="0"/>
        <w:spacing w:after="120" w:line="260" w:lineRule="auto"/>
        <w:ind w:left="0" w:leftChars="0" w:firstLine="0" w:firstLineChars="0"/>
        <w:jc w:val="center"/>
        <w:textAlignment w:val="auto"/>
        <w:rPr>
          <w:rFonts w:hint="default" w:ascii="Times New Roman" w:hAnsi="Times New Roman" w:eastAsia="黑体" w:cs="Times New Roman"/>
          <w:color w:val="auto"/>
          <w:highlight w:val="none"/>
          <w:lang w:eastAsia="zh-CN"/>
        </w:rPr>
      </w:pPr>
      <w:r>
        <w:rPr>
          <w:rFonts w:hint="default" w:ascii="Times New Roman" w:hAnsi="Times New Roman" w:cs="Times New Roman"/>
          <w:color w:val="auto"/>
          <w:highlight w:val="none"/>
          <w:lang w:val="en-US" w:eastAsia="zh-CN"/>
        </w:rPr>
        <w:t xml:space="preserve"> </w:t>
      </w:r>
      <w:bookmarkStart w:id="105" w:name="_Toc24001"/>
      <w:bookmarkStart w:id="106" w:name="_Toc8526"/>
      <w:r>
        <w:rPr>
          <w:rFonts w:hint="default" w:ascii="Times New Roman" w:hAnsi="Times New Roman" w:cs="Times New Roman"/>
          <w:color w:val="auto"/>
          <w:highlight w:val="none"/>
          <w:lang w:val="en-US" w:eastAsia="zh-CN"/>
        </w:rPr>
        <w:t>总则</w:t>
      </w:r>
      <w:bookmarkEnd w:id="105"/>
      <w:bookmarkEnd w:id="106"/>
    </w:p>
    <w:p w14:paraId="1E44DC8E">
      <w:pPr>
        <w:pStyle w:val="4"/>
        <w:keepNext/>
        <w:keepLines/>
        <w:numPr>
          <w:ilvl w:val="1"/>
          <w:numId w:val="6"/>
        </w:numPr>
        <w:tabs>
          <w:tab w:val="left" w:pos="210"/>
          <w:tab w:val="clear" w:pos="42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rPr>
      </w:pPr>
      <w:bookmarkStart w:id="107" w:name="_Toc16825"/>
      <w:r>
        <w:rPr>
          <w:rFonts w:hint="default" w:ascii="Times New Roman" w:hAnsi="Times New Roman" w:eastAsia="宋体" w:cs="Times New Roman"/>
          <w:color w:val="auto"/>
          <w:kern w:val="2"/>
          <w:sz w:val="24"/>
          <w:szCs w:val="32"/>
          <w:highlight w:val="none"/>
          <w:lang w:val="en-US" w:eastAsia="zh-CN"/>
        </w:rPr>
        <w:t>编制依据</w:t>
      </w:r>
      <w:bookmarkEnd w:id="107"/>
    </w:p>
    <w:p w14:paraId="3639F0E0">
      <w:pPr>
        <w:pStyle w:val="6"/>
        <w:numPr>
          <w:ilvl w:val="2"/>
          <w:numId w:val="6"/>
        </w:numPr>
        <w:bidi w:val="0"/>
        <w:ind w:left="0" w:leftChars="0" w:firstLine="0" w:firstLineChars="0"/>
        <w:rPr>
          <w:rFonts w:hint="default" w:ascii="Times New Roman" w:hAnsi="Times New Roman" w:cs="Times New Roman"/>
          <w:color w:val="auto"/>
          <w:sz w:val="24"/>
          <w:szCs w:val="40"/>
          <w:highlight w:val="none"/>
        </w:rPr>
      </w:pPr>
      <w:bookmarkStart w:id="108" w:name="_Toc23831"/>
      <w:r>
        <w:rPr>
          <w:rFonts w:hint="default" w:ascii="Times New Roman" w:hAnsi="Times New Roman" w:cs="Times New Roman"/>
          <w:color w:val="auto"/>
          <w:sz w:val="24"/>
          <w:szCs w:val="40"/>
          <w:highlight w:val="none"/>
          <w:lang w:val="en-US" w:eastAsia="zh-CN"/>
        </w:rPr>
        <w:t>环境保护法律法规</w:t>
      </w:r>
      <w:bookmarkEnd w:id="108"/>
    </w:p>
    <w:p w14:paraId="6BDF2ED3">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eastAsia="zh-CN"/>
        </w:rPr>
        <w:t>《中华人民共和国生态环境法典》</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2026年3月12日第十四届全国人民代表大会第四次会议通过，2026年8月15日起施行</w:t>
      </w:r>
      <w:r>
        <w:rPr>
          <w:rFonts w:hint="eastAsia" w:cs="Times New Roman"/>
          <w:color w:val="auto"/>
          <w:sz w:val="24"/>
          <w:szCs w:val="24"/>
          <w:highlight w:val="none"/>
          <w:lang w:eastAsia="zh-CN"/>
        </w:rPr>
        <w:t>；</w:t>
      </w:r>
    </w:p>
    <w:p w14:paraId="0F790E75">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（2）《中华人民共和国水法》（中华人民共和国主席令第74号），2002年10月1施行，2016年7月修订；</w:t>
      </w:r>
    </w:p>
    <w:p w14:paraId="0BCDB3E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（3）《中华人民共和国行政许可法》，2004年7月1日起施行。</w:t>
      </w:r>
    </w:p>
    <w:p w14:paraId="053F17F0">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09" w:name="_Toc3735"/>
      <w:r>
        <w:rPr>
          <w:rFonts w:hint="default" w:ascii="Times New Roman" w:hAnsi="Times New Roman" w:cs="Times New Roman"/>
          <w:color w:val="auto"/>
          <w:sz w:val="24"/>
          <w:szCs w:val="40"/>
          <w:highlight w:val="none"/>
          <w:lang w:val="en-US" w:eastAsia="zh-CN"/>
        </w:rPr>
        <w:t>环境保护规范性文件</w:t>
      </w:r>
      <w:bookmarkEnd w:id="109"/>
    </w:p>
    <w:p w14:paraId="0AEBBB32">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《建设项目环境保护管理条例》，国务院令第253号，2017年8月1日《国务院关于修改〈建设项目环境保护管理条例〉的决定》修改，2017年10月1日起施行；</w:t>
      </w:r>
    </w:p>
    <w:p w14:paraId="4DEC4AB9">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《建设项目生态环境影响评价文件分级审批规定》，</w:t>
      </w:r>
      <w:r>
        <w:rPr>
          <w:rFonts w:hint="eastAsia" w:cs="Times New Roman"/>
          <w:color w:val="auto"/>
          <w:sz w:val="24"/>
          <w:szCs w:val="24"/>
          <w:highlight w:val="none"/>
          <w:lang w:val="en-US" w:eastAsia="zh-CN"/>
        </w:rPr>
        <w:t>生态环境部</w:t>
      </w:r>
      <w:r>
        <w:rPr>
          <w:rFonts w:hint="default" w:ascii="Times New Roman" w:hAnsi="Times New Roman" w:eastAsia="宋体" w:cs="Times New Roman"/>
          <w:color w:val="auto"/>
          <w:sz w:val="24"/>
          <w:szCs w:val="24"/>
          <w:highlight w:val="none"/>
          <w:lang w:val="en-US" w:eastAsia="zh-CN"/>
        </w:rPr>
        <w:t>，2026年9月20日</w:t>
      </w:r>
      <w:r>
        <w:rPr>
          <w:rFonts w:hint="eastAsia" w:cs="Times New Roman"/>
          <w:color w:val="auto"/>
          <w:sz w:val="24"/>
          <w:szCs w:val="24"/>
          <w:highlight w:val="none"/>
          <w:lang w:val="en-US" w:eastAsia="zh-CN"/>
        </w:rPr>
        <w:t>修正</w:t>
      </w:r>
      <w:r>
        <w:rPr>
          <w:rFonts w:hint="default" w:ascii="Times New Roman" w:hAnsi="Times New Roman" w:eastAsia="宋体" w:cs="Times New Roman"/>
          <w:color w:val="auto"/>
          <w:sz w:val="24"/>
          <w:szCs w:val="24"/>
          <w:highlight w:val="none"/>
          <w:lang w:val="en-US" w:eastAsia="zh-CN"/>
        </w:rPr>
        <w:t>；</w:t>
      </w:r>
    </w:p>
    <w:p w14:paraId="1123A623">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《建设项目环境影响评价分类管理名录》，</w:t>
      </w:r>
      <w:r>
        <w:rPr>
          <w:rFonts w:hint="eastAsia" w:cs="Times New Roman"/>
          <w:color w:val="auto"/>
          <w:sz w:val="24"/>
          <w:szCs w:val="24"/>
          <w:highlight w:val="none"/>
          <w:lang w:val="en-US" w:eastAsia="zh-CN"/>
        </w:rPr>
        <w:t>生态环境部</w:t>
      </w:r>
      <w:r>
        <w:rPr>
          <w:rFonts w:hint="default" w:ascii="Times New Roman" w:hAnsi="Times New Roman" w:eastAsia="宋体" w:cs="Times New Roman"/>
          <w:color w:val="auto"/>
          <w:sz w:val="24"/>
          <w:szCs w:val="24"/>
          <w:highlight w:val="none"/>
          <w:lang w:val="en-US" w:eastAsia="zh-CN"/>
        </w:rPr>
        <w:t>，2021年1月1日起施行；</w:t>
      </w:r>
    </w:p>
    <w:p w14:paraId="17156492">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《国民经济行业分类与代码》（GB/T</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4754-2017），2017年10月1日起施行；</w:t>
      </w:r>
    </w:p>
    <w:p w14:paraId="75192EE8">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《国务院关于印发水污染防治行动计划的通知》（国发[2015]17号），2015年4月2日；</w:t>
      </w:r>
    </w:p>
    <w:p w14:paraId="436FCD45">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《国务院关于加强环境保护重点工作的意见》（国发[2011]35号），2011年10月17日施行；</w:t>
      </w:r>
    </w:p>
    <w:p w14:paraId="77706E25">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《关于加快推行清洁生产意见的通知》（国办发[2003]100号）；</w:t>
      </w:r>
    </w:p>
    <w:p w14:paraId="7A6E9C89">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《产业结构调整指导目录》（2024年本）；</w:t>
      </w:r>
    </w:p>
    <w:p w14:paraId="15EF6D78">
      <w:pPr>
        <w:numPr>
          <w:ilvl w:val="0"/>
          <w:numId w:val="7"/>
        </w:numPr>
        <w:spacing w:line="360" w:lineRule="auto"/>
        <w:ind w:left="-60" w:leftChars="0" w:firstLine="48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其它相关法律、法规。</w:t>
      </w:r>
    </w:p>
    <w:p w14:paraId="096CDEB4">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0" w:name="_Toc8957"/>
      <w:r>
        <w:rPr>
          <w:rFonts w:hint="default" w:ascii="Times New Roman" w:hAnsi="Times New Roman" w:cs="Times New Roman"/>
          <w:color w:val="auto"/>
          <w:sz w:val="24"/>
          <w:szCs w:val="40"/>
          <w:highlight w:val="none"/>
          <w:lang w:val="en-US" w:eastAsia="zh-CN"/>
        </w:rPr>
        <w:t>环境保护技术规范</w:t>
      </w:r>
      <w:bookmarkEnd w:id="110"/>
    </w:p>
    <w:p w14:paraId="57799B9E">
      <w:pPr>
        <w:numPr>
          <w:ilvl w:val="0"/>
          <w:numId w:val="8"/>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《建设项目环境影响评价技术导则总纲》（HJ 2.1-2019）；</w:t>
      </w:r>
    </w:p>
    <w:p w14:paraId="504119C4">
      <w:pPr>
        <w:numPr>
          <w:ilvl w:val="0"/>
          <w:numId w:val="8"/>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《环境影响评价技术导则地表水环境》（HJ 2.3-2018）；</w:t>
      </w:r>
    </w:p>
    <w:p w14:paraId="130DD34F">
      <w:pPr>
        <w:numPr>
          <w:ilvl w:val="0"/>
          <w:numId w:val="8"/>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《水污染治理工程技术导则》</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HJ 2015-2012</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w:t>
      </w:r>
    </w:p>
    <w:p w14:paraId="629D0D78">
      <w:pPr>
        <w:pStyle w:val="4"/>
        <w:keepNext/>
        <w:keepLines/>
        <w:numPr>
          <w:ilvl w:val="1"/>
          <w:numId w:val="6"/>
        </w:numPr>
        <w:tabs>
          <w:tab w:val="left" w:pos="210"/>
          <w:tab w:val="clear" w:pos="42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11" w:name="_Toc4110"/>
      <w:r>
        <w:rPr>
          <w:rFonts w:hint="default" w:ascii="Times New Roman" w:hAnsi="Times New Roman" w:eastAsia="宋体" w:cs="Times New Roman"/>
          <w:color w:val="auto"/>
          <w:kern w:val="2"/>
          <w:sz w:val="24"/>
          <w:szCs w:val="32"/>
          <w:highlight w:val="none"/>
          <w:lang w:val="en-US" w:eastAsia="zh-CN"/>
        </w:rPr>
        <w:t>评价因子与评价标准</w:t>
      </w:r>
      <w:bookmarkEnd w:id="111"/>
    </w:p>
    <w:p w14:paraId="25792946">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2" w:name="_Toc6978"/>
      <w:r>
        <w:rPr>
          <w:rFonts w:hint="default" w:ascii="Times New Roman" w:hAnsi="Times New Roman" w:cs="Times New Roman"/>
          <w:color w:val="auto"/>
          <w:sz w:val="24"/>
          <w:szCs w:val="40"/>
          <w:highlight w:val="none"/>
          <w:lang w:val="en-US" w:eastAsia="zh-CN"/>
        </w:rPr>
        <w:t>评价因子</w:t>
      </w:r>
      <w:bookmarkEnd w:id="112"/>
    </w:p>
    <w:p w14:paraId="6BEFFA3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根据本项目的建设性质及其工程特点，确定本次评价的评价因子。本次评价的评价因子见表1.2-1。</w:t>
      </w:r>
    </w:p>
    <w:p w14:paraId="1CFF08F2">
      <w:pPr>
        <w:keepNext w:val="0"/>
        <w:keepLines w:val="0"/>
        <w:pageBreakBefore w:val="0"/>
        <w:widowControl w:val="0"/>
        <w:tabs>
          <w:tab w:val="left" w:pos="312"/>
        </w:tabs>
        <w:kinsoku/>
        <w:wordWrap/>
        <w:overflowPunct/>
        <w:topLinePunct w:val="0"/>
        <w:autoSpaceDE/>
        <w:autoSpaceDN/>
        <w:bidi w:val="0"/>
        <w:adjustRightInd/>
        <w:snapToGrid/>
        <w:spacing w:line="240" w:lineRule="auto"/>
        <w:ind w:firstLine="422" w:firstLineChars="20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表1.2-1  本项目评价因子一览表</w:t>
      </w:r>
    </w:p>
    <w:tbl>
      <w:tblPr>
        <w:tblStyle w:val="32"/>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94"/>
        <w:gridCol w:w="4345"/>
        <w:gridCol w:w="2565"/>
      </w:tblGrid>
      <w:tr w14:paraId="04009F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36" w:type="dxa"/>
            <w:tcBorders>
              <w:tl2br w:val="nil"/>
              <w:tr2bl w:val="nil"/>
            </w:tcBorders>
            <w:noWrap w:val="0"/>
            <w:vAlign w:val="center"/>
          </w:tcPr>
          <w:p w14:paraId="5B43C75C">
            <w:pPr>
              <w:jc w:val="center"/>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环境要素</w:t>
            </w:r>
          </w:p>
        </w:tc>
        <w:tc>
          <w:tcPr>
            <w:tcW w:w="4464" w:type="dxa"/>
            <w:tcBorders>
              <w:tl2br w:val="nil"/>
              <w:tr2bl w:val="nil"/>
            </w:tcBorders>
            <w:noWrap w:val="0"/>
            <w:vAlign w:val="center"/>
          </w:tcPr>
          <w:p w14:paraId="2AF8DA8F">
            <w:pPr>
              <w:jc w:val="center"/>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现状评价因子</w:t>
            </w:r>
          </w:p>
        </w:tc>
        <w:tc>
          <w:tcPr>
            <w:tcW w:w="2620" w:type="dxa"/>
            <w:tcBorders>
              <w:tl2br w:val="nil"/>
              <w:tr2bl w:val="nil"/>
            </w:tcBorders>
            <w:noWrap w:val="0"/>
            <w:vAlign w:val="center"/>
          </w:tcPr>
          <w:p w14:paraId="2CDA02EB">
            <w:pPr>
              <w:jc w:val="center"/>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影响预测评价因子</w:t>
            </w:r>
          </w:p>
        </w:tc>
      </w:tr>
      <w:tr w14:paraId="16F470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36" w:type="dxa"/>
            <w:tcBorders>
              <w:tl2br w:val="nil"/>
              <w:tr2bl w:val="nil"/>
            </w:tcBorders>
            <w:noWrap w:val="0"/>
            <w:vAlign w:val="center"/>
          </w:tcPr>
          <w:p w14:paraId="5B67DFCA">
            <w:pPr>
              <w:jc w:val="cente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地表水环境</w:t>
            </w:r>
          </w:p>
        </w:tc>
        <w:tc>
          <w:tcPr>
            <w:tcW w:w="4464" w:type="dxa"/>
            <w:tcBorders>
              <w:tl2br w:val="nil"/>
              <w:tr2bl w:val="nil"/>
            </w:tcBorders>
            <w:noWrap w:val="0"/>
            <w:vAlign w:val="center"/>
          </w:tcPr>
          <w:p w14:paraId="54FC8DAF">
            <w:pPr>
              <w:jc w:val="cente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eastAsia="宋体" w:cs="Times New Roman"/>
                <w:color w:val="auto"/>
                <w:szCs w:val="21"/>
                <w:highlight w:val="none"/>
              </w:rPr>
              <w:t>pH、COD、BOD</w:t>
            </w:r>
            <w:r>
              <w:rPr>
                <w:rFonts w:hint="default" w:ascii="Times New Roman" w:hAnsi="Times New Roman" w:eastAsia="宋体" w:cs="Times New Roman"/>
                <w:color w:val="auto"/>
                <w:szCs w:val="21"/>
                <w:highlight w:val="none"/>
                <w:vertAlign w:val="subscript"/>
              </w:rPr>
              <w:t>5</w:t>
            </w:r>
            <w:r>
              <w:rPr>
                <w:rFonts w:hint="default" w:ascii="Times New Roman" w:hAnsi="Times New Roman" w:eastAsia="宋体" w:cs="Times New Roman"/>
                <w:color w:val="auto"/>
                <w:szCs w:val="21"/>
                <w:highlight w:val="none"/>
              </w:rPr>
              <w:t>、NH</w:t>
            </w:r>
            <w:r>
              <w:rPr>
                <w:rFonts w:hint="default" w:ascii="Times New Roman" w:hAnsi="Times New Roman" w:eastAsia="宋体" w:cs="Times New Roman"/>
                <w:color w:val="auto"/>
                <w:szCs w:val="21"/>
                <w:highlight w:val="none"/>
                <w:vertAlign w:val="subscript"/>
              </w:rPr>
              <w:t>3</w:t>
            </w:r>
            <w:r>
              <w:rPr>
                <w:rFonts w:hint="default" w:ascii="Times New Roman" w:hAnsi="Times New Roman" w:eastAsia="宋体" w:cs="Times New Roman"/>
                <w:color w:val="auto"/>
                <w:szCs w:val="21"/>
                <w:highlight w:val="none"/>
              </w:rPr>
              <w:t>-N、SS</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溶解氧、总磷、总氮、石油类、高锰酸盐指数</w:t>
            </w:r>
            <w:r>
              <w:rPr>
                <w:rFonts w:hint="eastAsia" w:cs="Times New Roman"/>
                <w:color w:val="auto"/>
                <w:szCs w:val="21"/>
                <w:highlight w:val="none"/>
                <w:lang w:val="en-US" w:eastAsia="zh-CN"/>
              </w:rPr>
              <w:t>、硫化物</w:t>
            </w:r>
          </w:p>
        </w:tc>
        <w:tc>
          <w:tcPr>
            <w:tcW w:w="2620" w:type="dxa"/>
            <w:tcBorders>
              <w:tl2br w:val="nil"/>
              <w:tr2bl w:val="nil"/>
            </w:tcBorders>
            <w:noWrap w:val="0"/>
            <w:vAlign w:val="center"/>
          </w:tcPr>
          <w:p w14:paraId="5F39CE6F">
            <w:pPr>
              <w:jc w:val="center"/>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Cs w:val="21"/>
                <w:highlight w:val="none"/>
              </w:rPr>
              <w:t>COD、NH</w:t>
            </w:r>
            <w:r>
              <w:rPr>
                <w:rFonts w:hint="default" w:ascii="Times New Roman" w:hAnsi="Times New Roman" w:eastAsia="宋体" w:cs="Times New Roman"/>
                <w:color w:val="auto"/>
                <w:szCs w:val="21"/>
                <w:highlight w:val="none"/>
                <w:vertAlign w:val="subscript"/>
              </w:rPr>
              <w:t>3</w:t>
            </w:r>
            <w:r>
              <w:rPr>
                <w:rFonts w:hint="default" w:ascii="Times New Roman" w:hAnsi="Times New Roman" w:eastAsia="宋体" w:cs="Times New Roman"/>
                <w:color w:val="auto"/>
                <w:szCs w:val="21"/>
                <w:highlight w:val="none"/>
              </w:rPr>
              <w:t>-N</w:t>
            </w:r>
            <w:r>
              <w:rPr>
                <w:rFonts w:hint="eastAsia" w:cs="Times New Roman"/>
                <w:color w:val="auto"/>
                <w:szCs w:val="21"/>
                <w:highlight w:val="none"/>
                <w:lang w:eastAsia="zh-CN"/>
              </w:rPr>
              <w:t>、总磷</w:t>
            </w:r>
          </w:p>
        </w:tc>
      </w:tr>
    </w:tbl>
    <w:p w14:paraId="75B94356">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3" w:name="_Toc20189"/>
      <w:r>
        <w:rPr>
          <w:rFonts w:hint="default" w:ascii="Times New Roman" w:hAnsi="Times New Roman" w:cs="Times New Roman"/>
          <w:color w:val="auto"/>
          <w:sz w:val="24"/>
          <w:szCs w:val="40"/>
          <w:highlight w:val="none"/>
          <w:lang w:val="en-US" w:eastAsia="zh-CN"/>
        </w:rPr>
        <w:t>评价标准</w:t>
      </w:r>
      <w:bookmarkEnd w:id="113"/>
    </w:p>
    <w:p w14:paraId="6D302471">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（1）环境</w:t>
      </w:r>
      <w:r>
        <w:rPr>
          <w:rFonts w:hint="default" w:ascii="Times New Roman" w:hAnsi="Times New Roman" w:eastAsia="宋体" w:cs="Times New Roman"/>
          <w:color w:val="auto"/>
          <w:sz w:val="24"/>
          <w:szCs w:val="24"/>
          <w:highlight w:val="none"/>
          <w:lang w:val="en-US" w:eastAsia="zh-CN"/>
        </w:rPr>
        <w:t>质量</w:t>
      </w:r>
      <w:r>
        <w:rPr>
          <w:rFonts w:hint="default" w:ascii="Times New Roman" w:hAnsi="Times New Roman" w:cs="Times New Roman"/>
          <w:color w:val="auto"/>
          <w:sz w:val="24"/>
          <w:szCs w:val="24"/>
          <w:highlight w:val="none"/>
          <w:lang w:val="en-US" w:eastAsia="zh-CN"/>
        </w:rPr>
        <w:t>标准</w:t>
      </w:r>
    </w:p>
    <w:p w14:paraId="098CECE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执行《地表水环境质量标准》（GB3838－2002）的Ⅱ类水域标准，详见下表：</w:t>
      </w:r>
    </w:p>
    <w:p w14:paraId="10C29333">
      <w:pPr>
        <w:pStyle w:val="12"/>
        <w:keepNext/>
        <w:ind w:firstLine="422"/>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2  《地表水环境质量标准》（GB3838－2002）    单位：mg/L，pH无量纲</w:t>
      </w:r>
    </w:p>
    <w:tbl>
      <w:tblPr>
        <w:tblStyle w:val="31"/>
        <w:tblW w:w="487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1"/>
        <w:gridCol w:w="1382"/>
        <w:gridCol w:w="1382"/>
        <w:gridCol w:w="1382"/>
        <w:gridCol w:w="1382"/>
        <w:gridCol w:w="1382"/>
      </w:tblGrid>
      <w:tr w14:paraId="7D579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3" w:type="pct"/>
            <w:tcBorders>
              <w:tl2br w:val="nil"/>
              <w:tr2bl w:val="nil"/>
            </w:tcBorders>
            <w:noWrap w:val="0"/>
            <w:vAlign w:val="center"/>
          </w:tcPr>
          <w:p w14:paraId="1A61BBB4">
            <w:pPr>
              <w:spacing w:before="60" w:beforeLines="25" w:after="60" w:afterLines="25"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项目</w:t>
            </w:r>
          </w:p>
        </w:tc>
        <w:tc>
          <w:tcPr>
            <w:tcW w:w="833" w:type="pct"/>
            <w:tcBorders>
              <w:tl2br w:val="nil"/>
              <w:tr2bl w:val="nil"/>
            </w:tcBorders>
            <w:noWrap w:val="0"/>
            <w:vAlign w:val="center"/>
          </w:tcPr>
          <w:p w14:paraId="057F6C0A">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color w:val="auto"/>
                <w:kern w:val="0"/>
                <w:sz w:val="21"/>
                <w:szCs w:val="21"/>
                <w:highlight w:val="none"/>
              </w:rPr>
              <w:t>pH</w:t>
            </w:r>
          </w:p>
        </w:tc>
        <w:tc>
          <w:tcPr>
            <w:tcW w:w="833" w:type="pct"/>
            <w:tcBorders>
              <w:tl2br w:val="nil"/>
              <w:tr2bl w:val="nil"/>
            </w:tcBorders>
            <w:noWrap w:val="0"/>
            <w:vAlign w:val="center"/>
          </w:tcPr>
          <w:p w14:paraId="1FC93CF9">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color w:val="auto"/>
                <w:kern w:val="0"/>
                <w:sz w:val="21"/>
                <w:szCs w:val="21"/>
                <w:highlight w:val="none"/>
              </w:rPr>
              <w:t>COD</w:t>
            </w:r>
            <w:r>
              <w:rPr>
                <w:rFonts w:hint="default" w:ascii="Times New Roman" w:hAnsi="Times New Roman" w:cs="Times New Roman"/>
                <w:b/>
                <w:bCs/>
                <w:color w:val="auto"/>
                <w:kern w:val="0"/>
                <w:sz w:val="21"/>
                <w:szCs w:val="21"/>
                <w:highlight w:val="none"/>
                <w:vertAlign w:val="subscript"/>
              </w:rPr>
              <w:t>cr</w:t>
            </w:r>
          </w:p>
        </w:tc>
        <w:tc>
          <w:tcPr>
            <w:tcW w:w="833" w:type="pct"/>
            <w:tcBorders>
              <w:tl2br w:val="nil"/>
              <w:tr2bl w:val="nil"/>
            </w:tcBorders>
            <w:noWrap w:val="0"/>
            <w:vAlign w:val="center"/>
          </w:tcPr>
          <w:p w14:paraId="3078E6F4">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color w:val="auto"/>
                <w:kern w:val="0"/>
                <w:sz w:val="21"/>
                <w:szCs w:val="21"/>
                <w:highlight w:val="none"/>
              </w:rPr>
              <w:t>BOD</w:t>
            </w:r>
            <w:r>
              <w:rPr>
                <w:rFonts w:hint="default" w:ascii="Times New Roman" w:hAnsi="Times New Roman" w:cs="Times New Roman"/>
                <w:b/>
                <w:bCs/>
                <w:color w:val="auto"/>
                <w:kern w:val="0"/>
                <w:sz w:val="21"/>
                <w:szCs w:val="21"/>
                <w:highlight w:val="none"/>
                <w:vertAlign w:val="subscript"/>
              </w:rPr>
              <w:t>5</w:t>
            </w:r>
          </w:p>
        </w:tc>
        <w:tc>
          <w:tcPr>
            <w:tcW w:w="833" w:type="pct"/>
            <w:tcBorders>
              <w:tl2br w:val="nil"/>
              <w:tr2bl w:val="nil"/>
            </w:tcBorders>
            <w:noWrap w:val="0"/>
            <w:vAlign w:val="center"/>
          </w:tcPr>
          <w:p w14:paraId="16A1C767">
            <w:pPr>
              <w:spacing w:before="60" w:beforeLines="25" w:after="60" w:afterLines="25" w:line="240" w:lineRule="auto"/>
              <w:ind w:firstLine="0" w:firstLineChars="0"/>
              <w:jc w:val="center"/>
              <w:rPr>
                <w:rFonts w:hint="default" w:ascii="Times New Roman" w:hAnsi="Times New Roman" w:eastAsia="宋体" w:cs="Times New Roman"/>
                <w:b/>
                <w:bCs/>
                <w:snapToGrid w:val="0"/>
                <w:color w:val="auto"/>
                <w:kern w:val="0"/>
                <w:sz w:val="21"/>
                <w:szCs w:val="21"/>
                <w:highlight w:val="none"/>
                <w:lang w:val="en-US" w:eastAsia="zh-CN"/>
              </w:rPr>
            </w:pPr>
            <w:r>
              <w:rPr>
                <w:rFonts w:hint="default" w:ascii="Times New Roman" w:hAnsi="Times New Roman" w:cs="Times New Roman"/>
                <w:b/>
                <w:bCs/>
                <w:snapToGrid w:val="0"/>
                <w:color w:val="auto"/>
                <w:kern w:val="0"/>
                <w:sz w:val="21"/>
                <w:szCs w:val="21"/>
                <w:highlight w:val="none"/>
                <w:lang w:val="en-US" w:eastAsia="zh-CN"/>
              </w:rPr>
              <w:t>SS</w:t>
            </w:r>
          </w:p>
        </w:tc>
        <w:tc>
          <w:tcPr>
            <w:tcW w:w="833" w:type="pct"/>
            <w:tcBorders>
              <w:tl2br w:val="nil"/>
              <w:tr2bl w:val="nil"/>
            </w:tcBorders>
            <w:noWrap w:val="0"/>
            <w:vAlign w:val="center"/>
          </w:tcPr>
          <w:p w14:paraId="2ADE958C">
            <w:pPr>
              <w:spacing w:before="60" w:beforeLines="25" w:after="60" w:afterLines="25"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bCs/>
                <w:color w:val="auto"/>
                <w:kern w:val="0"/>
                <w:sz w:val="21"/>
                <w:szCs w:val="21"/>
                <w:highlight w:val="none"/>
              </w:rPr>
              <w:t>氨氮</w:t>
            </w:r>
          </w:p>
        </w:tc>
      </w:tr>
      <w:tr w14:paraId="7C83F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3" w:type="pct"/>
            <w:tcBorders>
              <w:tl2br w:val="nil"/>
              <w:tr2bl w:val="nil"/>
            </w:tcBorders>
            <w:noWrap w:val="0"/>
            <w:vAlign w:val="center"/>
          </w:tcPr>
          <w:p w14:paraId="125EA8D9">
            <w:pPr>
              <w:spacing w:before="60" w:beforeLines="25" w:after="60" w:afterLines="25" w:line="240" w:lineRule="auto"/>
              <w:ind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标准值</w:t>
            </w:r>
          </w:p>
        </w:tc>
        <w:tc>
          <w:tcPr>
            <w:tcW w:w="833" w:type="pct"/>
            <w:tcBorders>
              <w:tl2br w:val="nil"/>
              <w:tr2bl w:val="nil"/>
            </w:tcBorders>
            <w:noWrap w:val="0"/>
            <w:vAlign w:val="center"/>
          </w:tcPr>
          <w:p w14:paraId="0DE5BEC2">
            <w:pPr>
              <w:spacing w:before="60" w:beforeLines="25" w:after="60" w:afterLines="25" w:line="240" w:lineRule="auto"/>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rPr>
              <w:t>6</w:t>
            </w:r>
            <w:r>
              <w:rPr>
                <w:rFonts w:hint="eastAsia" w:cs="Times New Roman"/>
                <w:snapToGrid w:val="0"/>
                <w:color w:val="auto"/>
                <w:kern w:val="0"/>
                <w:sz w:val="21"/>
                <w:szCs w:val="21"/>
                <w:highlight w:val="none"/>
                <w:lang w:val="en-US" w:eastAsia="zh-CN"/>
              </w:rPr>
              <w:t>-</w:t>
            </w:r>
            <w:r>
              <w:rPr>
                <w:rFonts w:hint="default" w:ascii="Times New Roman" w:hAnsi="Times New Roman" w:cs="Times New Roman"/>
                <w:snapToGrid w:val="0"/>
                <w:color w:val="auto"/>
                <w:kern w:val="0"/>
                <w:sz w:val="21"/>
                <w:szCs w:val="21"/>
                <w:highlight w:val="none"/>
              </w:rPr>
              <w:t>9</w:t>
            </w:r>
          </w:p>
        </w:tc>
        <w:tc>
          <w:tcPr>
            <w:tcW w:w="833" w:type="pct"/>
            <w:tcBorders>
              <w:tl2br w:val="nil"/>
              <w:tr2bl w:val="nil"/>
            </w:tcBorders>
            <w:noWrap w:val="0"/>
            <w:vAlign w:val="center"/>
          </w:tcPr>
          <w:p w14:paraId="42ED4446">
            <w:pPr>
              <w:spacing w:before="60" w:beforeLines="25" w:after="60" w:afterLines="25" w:line="240" w:lineRule="auto"/>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lang w:eastAsia="zh-CN"/>
              </w:rPr>
              <w:t>≤</w:t>
            </w:r>
            <w:r>
              <w:rPr>
                <w:rFonts w:hint="default" w:ascii="Times New Roman" w:hAnsi="Times New Roman" w:cs="Times New Roman"/>
                <w:snapToGrid w:val="0"/>
                <w:color w:val="auto"/>
                <w:kern w:val="0"/>
                <w:sz w:val="21"/>
                <w:szCs w:val="21"/>
                <w:highlight w:val="none"/>
              </w:rPr>
              <w:t>15</w:t>
            </w:r>
          </w:p>
        </w:tc>
        <w:tc>
          <w:tcPr>
            <w:tcW w:w="833" w:type="pct"/>
            <w:tcBorders>
              <w:tl2br w:val="nil"/>
              <w:tr2bl w:val="nil"/>
            </w:tcBorders>
            <w:noWrap w:val="0"/>
            <w:vAlign w:val="center"/>
          </w:tcPr>
          <w:p w14:paraId="402B50D5">
            <w:pPr>
              <w:spacing w:before="60" w:beforeLines="25" w:after="60" w:afterLines="25" w:line="240" w:lineRule="auto"/>
              <w:ind w:firstLine="0" w:firstLineChars="0"/>
              <w:jc w:val="center"/>
              <w:rPr>
                <w:rFonts w:hint="default" w:ascii="Times New Roman" w:hAnsi="Times New Roman" w:cs="Times New Roman"/>
                <w:snapToGrid w:val="0"/>
                <w:color w:val="auto"/>
                <w:kern w:val="0"/>
                <w:sz w:val="21"/>
                <w:szCs w:val="21"/>
                <w:highlight w:val="none"/>
              </w:rPr>
            </w:pPr>
            <w:r>
              <w:rPr>
                <w:rFonts w:hint="default" w:ascii="Times New Roman" w:hAnsi="Times New Roman" w:cs="Times New Roman"/>
                <w:snapToGrid w:val="0"/>
                <w:color w:val="auto"/>
                <w:kern w:val="0"/>
                <w:sz w:val="21"/>
                <w:szCs w:val="21"/>
                <w:highlight w:val="none"/>
                <w:lang w:eastAsia="zh-CN"/>
              </w:rPr>
              <w:t>≤</w:t>
            </w:r>
            <w:r>
              <w:rPr>
                <w:rFonts w:hint="default" w:ascii="Times New Roman" w:hAnsi="Times New Roman" w:cs="Times New Roman"/>
                <w:snapToGrid w:val="0"/>
                <w:color w:val="auto"/>
                <w:kern w:val="0"/>
                <w:sz w:val="21"/>
                <w:szCs w:val="21"/>
                <w:highlight w:val="none"/>
              </w:rPr>
              <w:t>3</w:t>
            </w:r>
          </w:p>
        </w:tc>
        <w:tc>
          <w:tcPr>
            <w:tcW w:w="833" w:type="pct"/>
            <w:tcBorders>
              <w:tl2br w:val="nil"/>
              <w:tr2bl w:val="nil"/>
            </w:tcBorders>
            <w:noWrap w:val="0"/>
            <w:vAlign w:val="center"/>
          </w:tcPr>
          <w:p w14:paraId="50F7D98F">
            <w:pPr>
              <w:spacing w:before="60" w:beforeLines="25" w:after="60" w:afterLines="25" w:line="240" w:lineRule="auto"/>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w:t>
            </w:r>
          </w:p>
        </w:tc>
        <w:tc>
          <w:tcPr>
            <w:tcW w:w="833" w:type="pct"/>
            <w:tcBorders>
              <w:tl2br w:val="nil"/>
              <w:tr2bl w:val="nil"/>
            </w:tcBorders>
            <w:noWrap w:val="0"/>
            <w:vAlign w:val="center"/>
          </w:tcPr>
          <w:p w14:paraId="1024564E">
            <w:pPr>
              <w:spacing w:before="60" w:beforeLines="25" w:after="60" w:afterLines="25" w:line="240" w:lineRule="auto"/>
              <w:ind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snapToGrid w:val="0"/>
                <w:color w:val="auto"/>
                <w:kern w:val="0"/>
                <w:sz w:val="21"/>
                <w:szCs w:val="21"/>
                <w:highlight w:val="none"/>
                <w:lang w:eastAsia="zh-CN"/>
              </w:rPr>
              <w:t>≤</w:t>
            </w:r>
            <w:r>
              <w:rPr>
                <w:rFonts w:hint="default" w:ascii="Times New Roman" w:hAnsi="Times New Roman" w:cs="Times New Roman"/>
                <w:snapToGrid w:val="0"/>
                <w:color w:val="auto"/>
                <w:kern w:val="0"/>
                <w:sz w:val="21"/>
                <w:szCs w:val="21"/>
                <w:highlight w:val="none"/>
              </w:rPr>
              <w:t>0.5</w:t>
            </w:r>
          </w:p>
        </w:tc>
      </w:tr>
      <w:tr w14:paraId="210119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3" w:type="pct"/>
            <w:tcBorders>
              <w:tl2br w:val="nil"/>
              <w:tr2bl w:val="nil"/>
            </w:tcBorders>
            <w:noWrap w:val="0"/>
            <w:vAlign w:val="center"/>
          </w:tcPr>
          <w:p w14:paraId="2D9302BC">
            <w:pPr>
              <w:spacing w:before="60" w:beforeLines="25" w:after="60" w:afterLines="25" w:line="240" w:lineRule="auto"/>
              <w:ind w:firstLine="0" w:firstLineChars="0"/>
              <w:jc w:val="center"/>
              <w:rPr>
                <w:rFonts w:hint="default" w:ascii="Times New Roman" w:hAnsi="Times New Roman" w:cs="Times New Roman"/>
                <w:b/>
                <w:color w:val="auto"/>
                <w:kern w:val="2"/>
                <w:sz w:val="21"/>
                <w:szCs w:val="21"/>
                <w:highlight w:val="none"/>
                <w:lang w:val="en-US" w:eastAsia="zh-CN" w:bidi="ar-SA"/>
              </w:rPr>
            </w:pPr>
            <w:r>
              <w:rPr>
                <w:rFonts w:hint="default" w:ascii="Times New Roman" w:hAnsi="Times New Roman" w:cs="Times New Roman"/>
                <w:b/>
                <w:color w:val="auto"/>
                <w:sz w:val="21"/>
                <w:szCs w:val="21"/>
                <w:highlight w:val="none"/>
              </w:rPr>
              <w:t>项目</w:t>
            </w:r>
          </w:p>
        </w:tc>
        <w:tc>
          <w:tcPr>
            <w:tcW w:w="833" w:type="pct"/>
            <w:tcBorders>
              <w:tl2br w:val="nil"/>
              <w:tr2bl w:val="nil"/>
            </w:tcBorders>
            <w:noWrap w:val="0"/>
            <w:vAlign w:val="center"/>
          </w:tcPr>
          <w:p w14:paraId="5BFD3415">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eastAsia="宋体" w:cs="Times New Roman"/>
                <w:b/>
                <w:bCs/>
                <w:color w:val="auto"/>
                <w:szCs w:val="21"/>
                <w:highlight w:val="none"/>
                <w:lang w:val="en-US" w:eastAsia="zh-CN"/>
              </w:rPr>
              <w:t>溶解氧</w:t>
            </w:r>
          </w:p>
        </w:tc>
        <w:tc>
          <w:tcPr>
            <w:tcW w:w="833" w:type="pct"/>
            <w:tcBorders>
              <w:tl2br w:val="nil"/>
              <w:tr2bl w:val="nil"/>
            </w:tcBorders>
            <w:noWrap w:val="0"/>
            <w:vAlign w:val="center"/>
          </w:tcPr>
          <w:p w14:paraId="4FA5EA67">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eastAsia="宋体" w:cs="Times New Roman"/>
                <w:b/>
                <w:bCs/>
                <w:color w:val="auto"/>
                <w:szCs w:val="21"/>
                <w:highlight w:val="none"/>
                <w:lang w:val="en-US" w:eastAsia="zh-CN"/>
              </w:rPr>
              <w:t>总磷</w:t>
            </w:r>
          </w:p>
        </w:tc>
        <w:tc>
          <w:tcPr>
            <w:tcW w:w="833" w:type="pct"/>
            <w:tcBorders>
              <w:tl2br w:val="nil"/>
              <w:tr2bl w:val="nil"/>
            </w:tcBorders>
            <w:noWrap w:val="0"/>
            <w:vAlign w:val="center"/>
          </w:tcPr>
          <w:p w14:paraId="51B61284">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eastAsia="宋体" w:cs="Times New Roman"/>
                <w:b/>
                <w:bCs/>
                <w:color w:val="auto"/>
                <w:szCs w:val="21"/>
                <w:highlight w:val="none"/>
                <w:lang w:val="en-US" w:eastAsia="zh-CN"/>
              </w:rPr>
              <w:t>石油类</w:t>
            </w:r>
          </w:p>
        </w:tc>
        <w:tc>
          <w:tcPr>
            <w:tcW w:w="833" w:type="pct"/>
            <w:tcBorders>
              <w:tl2br w:val="nil"/>
              <w:tr2bl w:val="nil"/>
            </w:tcBorders>
            <w:noWrap w:val="0"/>
            <w:vAlign w:val="center"/>
          </w:tcPr>
          <w:p w14:paraId="5B90163E">
            <w:pPr>
              <w:spacing w:before="60" w:beforeLines="25" w:after="60" w:afterLines="25" w:line="240" w:lineRule="auto"/>
              <w:ind w:firstLine="0" w:firstLineChars="0"/>
              <w:jc w:val="center"/>
              <w:rPr>
                <w:rFonts w:hint="default" w:ascii="Times New Roman" w:hAnsi="Times New Roman" w:cs="Times New Roman"/>
                <w:b/>
                <w:bCs/>
                <w:snapToGrid w:val="0"/>
                <w:color w:val="auto"/>
                <w:kern w:val="0"/>
                <w:sz w:val="21"/>
                <w:szCs w:val="21"/>
                <w:highlight w:val="none"/>
                <w:lang w:val="en-US" w:eastAsia="zh-CN"/>
              </w:rPr>
            </w:pPr>
            <w:r>
              <w:rPr>
                <w:rFonts w:hint="eastAsia" w:cs="Times New Roman"/>
                <w:b/>
                <w:bCs/>
                <w:color w:val="auto"/>
                <w:kern w:val="0"/>
                <w:sz w:val="21"/>
                <w:szCs w:val="21"/>
                <w:highlight w:val="none"/>
                <w:lang w:eastAsia="zh-CN"/>
              </w:rPr>
              <w:t>硫化物</w:t>
            </w:r>
          </w:p>
        </w:tc>
        <w:tc>
          <w:tcPr>
            <w:tcW w:w="833" w:type="pct"/>
            <w:tcBorders>
              <w:tl2br w:val="nil"/>
              <w:tr2bl w:val="nil"/>
            </w:tcBorders>
            <w:noWrap w:val="0"/>
            <w:vAlign w:val="center"/>
          </w:tcPr>
          <w:p w14:paraId="099DCC72">
            <w:pPr>
              <w:spacing w:before="60" w:beforeLines="25" w:after="60" w:afterLines="25" w:line="240" w:lineRule="auto"/>
              <w:ind w:firstLine="0" w:firstLineChars="0"/>
              <w:jc w:val="center"/>
              <w:rPr>
                <w:rFonts w:hint="default" w:ascii="Times New Roman" w:hAnsi="Times New Roman" w:eastAsia="宋体" w:cs="Times New Roman"/>
                <w:b/>
                <w:bCs/>
                <w:snapToGrid w:val="0"/>
                <w:color w:val="auto"/>
                <w:kern w:val="0"/>
                <w:sz w:val="21"/>
                <w:szCs w:val="21"/>
                <w:highlight w:val="none"/>
                <w:lang w:val="en-US" w:eastAsia="zh-CN"/>
              </w:rPr>
            </w:pPr>
            <w:r>
              <w:rPr>
                <w:rFonts w:hint="default" w:ascii="Times New Roman" w:hAnsi="Times New Roman" w:cs="Times New Roman"/>
                <w:b/>
                <w:bCs/>
                <w:snapToGrid w:val="0"/>
                <w:color w:val="auto"/>
                <w:kern w:val="0"/>
                <w:sz w:val="21"/>
                <w:szCs w:val="21"/>
                <w:highlight w:val="none"/>
                <w:lang w:val="en-US" w:eastAsia="zh-CN"/>
              </w:rPr>
              <w:t>总氮</w:t>
            </w:r>
          </w:p>
        </w:tc>
      </w:tr>
      <w:tr w14:paraId="0C4F6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3" w:type="pct"/>
            <w:tcBorders>
              <w:tl2br w:val="nil"/>
              <w:tr2bl w:val="nil"/>
            </w:tcBorders>
            <w:noWrap w:val="0"/>
            <w:vAlign w:val="center"/>
          </w:tcPr>
          <w:p w14:paraId="0E1DCC71">
            <w:pPr>
              <w:spacing w:before="60" w:beforeLines="25" w:after="60" w:afterLines="25" w:line="240" w:lineRule="auto"/>
              <w:ind w:firstLine="0" w:firstLineChars="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标准值</w:t>
            </w:r>
          </w:p>
        </w:tc>
        <w:tc>
          <w:tcPr>
            <w:tcW w:w="833" w:type="pct"/>
            <w:tcBorders>
              <w:tl2br w:val="nil"/>
              <w:tr2bl w:val="nil"/>
            </w:tcBorders>
            <w:noWrap w:val="0"/>
            <w:vAlign w:val="center"/>
          </w:tcPr>
          <w:p w14:paraId="67E91D8D">
            <w:pPr>
              <w:spacing w:before="60" w:beforeLines="25" w:after="60" w:afterLines="25" w:line="240" w:lineRule="auto"/>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≥6</w:t>
            </w:r>
          </w:p>
        </w:tc>
        <w:tc>
          <w:tcPr>
            <w:tcW w:w="833" w:type="pct"/>
            <w:tcBorders>
              <w:tl2br w:val="nil"/>
              <w:tr2bl w:val="nil"/>
            </w:tcBorders>
            <w:noWrap w:val="0"/>
            <w:vAlign w:val="center"/>
          </w:tcPr>
          <w:p w14:paraId="4D8BAB35">
            <w:pPr>
              <w:spacing w:before="60" w:beforeLines="25" w:after="60" w:afterLines="25" w:line="240" w:lineRule="auto"/>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eastAsia="zh-CN"/>
              </w:rPr>
              <w:t>≤</w:t>
            </w:r>
            <w:r>
              <w:rPr>
                <w:rFonts w:hint="default" w:ascii="Times New Roman" w:hAnsi="Times New Roman" w:cs="Times New Roman"/>
                <w:snapToGrid w:val="0"/>
                <w:color w:val="auto"/>
                <w:kern w:val="0"/>
                <w:sz w:val="21"/>
                <w:szCs w:val="21"/>
                <w:highlight w:val="none"/>
                <w:lang w:val="en-US" w:eastAsia="zh-CN"/>
              </w:rPr>
              <w:t>0.1</w:t>
            </w:r>
          </w:p>
        </w:tc>
        <w:tc>
          <w:tcPr>
            <w:tcW w:w="833" w:type="pct"/>
            <w:tcBorders>
              <w:tl2br w:val="nil"/>
              <w:tr2bl w:val="nil"/>
            </w:tcBorders>
            <w:noWrap w:val="0"/>
            <w:vAlign w:val="center"/>
          </w:tcPr>
          <w:p w14:paraId="5C702542">
            <w:pPr>
              <w:spacing w:before="60" w:beforeLines="25" w:after="60" w:afterLines="25" w:line="240" w:lineRule="auto"/>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eastAsia="zh-CN"/>
              </w:rPr>
              <w:t>≤</w:t>
            </w:r>
            <w:r>
              <w:rPr>
                <w:rFonts w:hint="default" w:ascii="Times New Roman" w:hAnsi="Times New Roman" w:cs="Times New Roman"/>
                <w:snapToGrid w:val="0"/>
                <w:color w:val="auto"/>
                <w:kern w:val="0"/>
                <w:sz w:val="21"/>
                <w:szCs w:val="21"/>
                <w:highlight w:val="none"/>
                <w:lang w:val="en-US" w:eastAsia="zh-CN"/>
              </w:rPr>
              <w:t>0.05</w:t>
            </w:r>
          </w:p>
        </w:tc>
        <w:tc>
          <w:tcPr>
            <w:tcW w:w="833" w:type="pct"/>
            <w:tcBorders>
              <w:tl2br w:val="nil"/>
              <w:tr2bl w:val="nil"/>
            </w:tcBorders>
            <w:noWrap w:val="0"/>
            <w:vAlign w:val="center"/>
          </w:tcPr>
          <w:p w14:paraId="0F3BDEE1">
            <w:pPr>
              <w:spacing w:before="60" w:beforeLines="25" w:after="60" w:afterLines="25" w:line="240" w:lineRule="auto"/>
              <w:ind w:firstLine="0" w:firstLineChars="0"/>
              <w:jc w:val="center"/>
              <w:rPr>
                <w:rFonts w:hint="default" w:ascii="Times New Roman" w:hAnsi="Times New Roman"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eastAsia="zh-CN"/>
              </w:rPr>
              <w:t>≤</w:t>
            </w:r>
            <w:r>
              <w:rPr>
                <w:rFonts w:hint="default" w:ascii="Times New Roman" w:hAnsi="Times New Roman" w:cs="Times New Roman"/>
                <w:snapToGrid w:val="0"/>
                <w:color w:val="auto"/>
                <w:kern w:val="0"/>
                <w:sz w:val="21"/>
                <w:szCs w:val="21"/>
                <w:highlight w:val="none"/>
                <w:lang w:val="en-US" w:eastAsia="zh-CN"/>
              </w:rPr>
              <w:t>0.1</w:t>
            </w:r>
          </w:p>
        </w:tc>
        <w:tc>
          <w:tcPr>
            <w:tcW w:w="833" w:type="pct"/>
            <w:tcBorders>
              <w:tl2br w:val="nil"/>
              <w:tr2bl w:val="nil"/>
            </w:tcBorders>
            <w:noWrap w:val="0"/>
            <w:vAlign w:val="center"/>
          </w:tcPr>
          <w:p w14:paraId="36A49A9E">
            <w:pPr>
              <w:spacing w:before="60" w:beforeLines="25" w:after="60" w:afterLines="25" w:line="240" w:lineRule="auto"/>
              <w:ind w:firstLine="0" w:firstLineChars="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w:t>
            </w:r>
          </w:p>
        </w:tc>
      </w:tr>
    </w:tbl>
    <w:p w14:paraId="7D405B82">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（2）污染物排放标准</w:t>
      </w:r>
    </w:p>
    <w:p w14:paraId="01B311B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运营期废水排放执行《城镇污水处理厂污染物排放标准》表1中一级A标准和2025年修改单表4中瞬时值标准。</w:t>
      </w:r>
    </w:p>
    <w:p w14:paraId="5E50F332">
      <w:pPr>
        <w:pStyle w:val="12"/>
        <w:keepNext/>
        <w:ind w:firstLine="422"/>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w:t>
      </w:r>
      <w:r>
        <w:rPr>
          <w:rFonts w:hint="default" w:ascii="Times New Roman" w:hAnsi="Times New Roman" w:cs="Times New Roman"/>
          <w:b/>
          <w:bCs/>
          <w:color w:val="auto"/>
          <w:highlight w:val="none"/>
          <w:lang w:val="en-US" w:eastAsia="zh-CN"/>
        </w:rPr>
        <w:t>2-</w:t>
      </w:r>
      <w:r>
        <w:rPr>
          <w:rFonts w:hint="eastAsia" w:ascii="Times New Roman" w:hAnsi="Times New Roman" w:eastAsia="宋体" w:cs="Times New Roman"/>
          <w:b/>
          <w:bCs/>
          <w:color w:val="auto"/>
          <w:highlight w:val="none"/>
          <w:lang w:val="en-US" w:eastAsia="zh-CN"/>
        </w:rPr>
        <w:t>3</w:t>
      </w:r>
      <w:r>
        <w:rPr>
          <w:rFonts w:hint="default" w:ascii="Times New Roman" w:hAnsi="Times New Roman" w:cs="Times New Roman"/>
          <w:b/>
          <w:bCs/>
          <w:color w:val="auto"/>
          <w:highlight w:val="none"/>
        </w:rPr>
        <w:t xml:space="preserve">  </w:t>
      </w:r>
      <w:r>
        <w:rPr>
          <w:rFonts w:hint="default" w:ascii="Times New Roman" w:hAnsi="Times New Roman" w:cs="Times New Roman"/>
          <w:b/>
          <w:bCs/>
          <w:color w:val="auto"/>
          <w:highlight w:val="none"/>
          <w:lang w:val="en-US" w:eastAsia="zh-CN"/>
        </w:rPr>
        <w:t>《城镇污水处理厂污染物排放标准》（GB18918-2002）</w:t>
      </w:r>
      <w:r>
        <w:rPr>
          <w:rFonts w:hint="default" w:ascii="Times New Roman" w:hAnsi="Times New Roman" w:cs="Times New Roman"/>
          <w:b/>
          <w:bCs/>
          <w:color w:val="auto"/>
          <w:highlight w:val="none"/>
        </w:rPr>
        <w:t xml:space="preserve"> </w:t>
      </w:r>
      <w:r>
        <w:rPr>
          <w:rFonts w:hint="eastAsia" w:ascii="Times New Roman" w:hAnsi="Times New Roman" w:eastAsia="宋体" w:cs="Times New Roman"/>
          <w:b/>
          <w:bCs/>
          <w:color w:val="auto"/>
          <w:highlight w:val="none"/>
          <w:lang w:val="en-US" w:eastAsia="zh-CN"/>
        </w:rPr>
        <w:t xml:space="preserve">  </w:t>
      </w:r>
      <w:r>
        <w:rPr>
          <w:rFonts w:hint="default" w:ascii="Times New Roman" w:hAnsi="Times New Roman" w:cs="Times New Roman"/>
          <w:b/>
          <w:bCs/>
          <w:color w:val="auto"/>
          <w:highlight w:val="none"/>
        </w:rPr>
        <w:t>pH无量纲</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653"/>
        <w:gridCol w:w="1802"/>
        <w:gridCol w:w="1843"/>
        <w:gridCol w:w="1798"/>
      </w:tblGrid>
      <w:tr w14:paraId="7BBD7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restart"/>
            <w:tcBorders>
              <w:tl2br w:val="nil"/>
              <w:tr2bl w:val="nil"/>
            </w:tcBorders>
            <w:noWrap w:val="0"/>
            <w:vAlign w:val="center"/>
          </w:tcPr>
          <w:p w14:paraId="33B5401D">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污染类型</w:t>
            </w:r>
          </w:p>
        </w:tc>
        <w:tc>
          <w:tcPr>
            <w:tcW w:w="1653" w:type="dxa"/>
            <w:vMerge w:val="restart"/>
            <w:tcBorders>
              <w:tl2br w:val="nil"/>
              <w:tr2bl w:val="nil"/>
            </w:tcBorders>
            <w:noWrap w:val="0"/>
            <w:vAlign w:val="center"/>
          </w:tcPr>
          <w:p w14:paraId="5F113859">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标准名称及</w:t>
            </w:r>
          </w:p>
          <w:p w14:paraId="39697229">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级(类)别</w:t>
            </w:r>
          </w:p>
        </w:tc>
        <w:tc>
          <w:tcPr>
            <w:tcW w:w="1802" w:type="dxa"/>
            <w:vMerge w:val="restart"/>
            <w:tcBorders>
              <w:tl2br w:val="nil"/>
              <w:tr2bl w:val="nil"/>
            </w:tcBorders>
            <w:noWrap w:val="0"/>
            <w:vAlign w:val="center"/>
          </w:tcPr>
          <w:p w14:paraId="2759BD49">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污染因子</w:t>
            </w:r>
          </w:p>
        </w:tc>
        <w:tc>
          <w:tcPr>
            <w:tcW w:w="3641" w:type="dxa"/>
            <w:gridSpan w:val="2"/>
            <w:tcBorders>
              <w:tl2br w:val="nil"/>
              <w:tr2bl w:val="nil"/>
            </w:tcBorders>
            <w:noWrap w:val="0"/>
            <w:vAlign w:val="center"/>
          </w:tcPr>
          <w:p w14:paraId="46FEEF3D">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标准值</w:t>
            </w:r>
          </w:p>
        </w:tc>
      </w:tr>
      <w:tr w14:paraId="5D652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4332A353">
            <w:pPr>
              <w:spacing w:line="240" w:lineRule="exact"/>
              <w:jc w:val="center"/>
              <w:rPr>
                <w:rFonts w:hint="default" w:ascii="Times New Roman" w:hAnsi="Times New Roman" w:cs="Times New Roman"/>
                <w:b w:val="0"/>
                <w:bCs w:val="0"/>
                <w:color w:val="auto"/>
                <w:szCs w:val="21"/>
                <w:highlight w:val="none"/>
              </w:rPr>
            </w:pPr>
          </w:p>
        </w:tc>
        <w:tc>
          <w:tcPr>
            <w:tcW w:w="1653" w:type="dxa"/>
            <w:vMerge w:val="continue"/>
            <w:tcBorders>
              <w:tl2br w:val="nil"/>
              <w:tr2bl w:val="nil"/>
            </w:tcBorders>
            <w:noWrap w:val="0"/>
            <w:vAlign w:val="center"/>
          </w:tcPr>
          <w:p w14:paraId="19666FC0">
            <w:pPr>
              <w:spacing w:line="240" w:lineRule="exact"/>
              <w:jc w:val="center"/>
              <w:rPr>
                <w:rFonts w:hint="default" w:ascii="Times New Roman" w:hAnsi="Times New Roman" w:cs="Times New Roman"/>
                <w:b w:val="0"/>
                <w:bCs w:val="0"/>
                <w:color w:val="auto"/>
                <w:szCs w:val="21"/>
                <w:highlight w:val="none"/>
              </w:rPr>
            </w:pPr>
          </w:p>
        </w:tc>
        <w:tc>
          <w:tcPr>
            <w:tcW w:w="1802" w:type="dxa"/>
            <w:vMerge w:val="continue"/>
            <w:tcBorders>
              <w:tl2br w:val="nil"/>
              <w:tr2bl w:val="nil"/>
            </w:tcBorders>
            <w:noWrap w:val="0"/>
            <w:vAlign w:val="center"/>
          </w:tcPr>
          <w:p w14:paraId="41EE0176">
            <w:pPr>
              <w:spacing w:line="240" w:lineRule="exact"/>
              <w:jc w:val="center"/>
              <w:rPr>
                <w:rFonts w:hint="default" w:ascii="Times New Roman" w:hAnsi="Times New Roman" w:cs="Times New Roman"/>
                <w:b w:val="0"/>
                <w:bCs w:val="0"/>
                <w:color w:val="auto"/>
                <w:szCs w:val="21"/>
                <w:highlight w:val="none"/>
              </w:rPr>
            </w:pPr>
          </w:p>
        </w:tc>
        <w:tc>
          <w:tcPr>
            <w:tcW w:w="1843" w:type="dxa"/>
            <w:tcBorders>
              <w:tl2br w:val="nil"/>
              <w:tr2bl w:val="nil"/>
            </w:tcBorders>
            <w:noWrap w:val="0"/>
            <w:vAlign w:val="center"/>
          </w:tcPr>
          <w:p w14:paraId="144DDEAD">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项目</w:t>
            </w:r>
          </w:p>
        </w:tc>
        <w:tc>
          <w:tcPr>
            <w:tcW w:w="1798" w:type="dxa"/>
            <w:tcBorders>
              <w:tl2br w:val="nil"/>
              <w:tr2bl w:val="nil"/>
            </w:tcBorders>
            <w:noWrap w:val="0"/>
            <w:vAlign w:val="center"/>
          </w:tcPr>
          <w:p w14:paraId="0D14A0B3">
            <w:pPr>
              <w:spacing w:line="240" w:lineRule="exact"/>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浓度限值</w:t>
            </w:r>
          </w:p>
        </w:tc>
      </w:tr>
      <w:tr w14:paraId="18A202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restart"/>
            <w:tcBorders>
              <w:tl2br w:val="nil"/>
              <w:tr2bl w:val="nil"/>
            </w:tcBorders>
            <w:noWrap w:val="0"/>
            <w:vAlign w:val="center"/>
          </w:tcPr>
          <w:p w14:paraId="2F62CF1E">
            <w:pPr>
              <w:spacing w:line="240" w:lineRule="exact"/>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废水</w:t>
            </w:r>
          </w:p>
        </w:tc>
        <w:tc>
          <w:tcPr>
            <w:tcW w:w="1653" w:type="dxa"/>
            <w:vMerge w:val="restart"/>
            <w:tcBorders>
              <w:tl2br w:val="nil"/>
              <w:tr2bl w:val="nil"/>
            </w:tcBorders>
            <w:noWrap w:val="0"/>
            <w:vAlign w:val="center"/>
          </w:tcPr>
          <w:p w14:paraId="6AAF451B">
            <w:pPr>
              <w:pStyle w:val="14"/>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《城镇污水处理</w:t>
            </w:r>
            <w:r>
              <w:rPr>
                <w:rFonts w:hint="default" w:ascii="Times New Roman" w:hAnsi="Times New Roman" w:eastAsia="宋体" w:cs="Times New Roman"/>
                <w:color w:val="auto"/>
                <w:szCs w:val="21"/>
                <w:highlight w:val="none"/>
                <w:lang w:val="en-US" w:eastAsia="zh-CN"/>
              </w:rPr>
              <w:t>厂</w:t>
            </w:r>
            <w:r>
              <w:rPr>
                <w:rFonts w:hint="default" w:ascii="Times New Roman" w:hAnsi="Times New Roman" w:eastAsia="宋体" w:cs="Times New Roman"/>
                <w:color w:val="auto"/>
                <w:szCs w:val="21"/>
                <w:highlight w:val="none"/>
                <w:lang w:eastAsia="zh-CN"/>
              </w:rPr>
              <w:t>污染物排放标准》（GB</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lang w:eastAsia="zh-CN"/>
              </w:rPr>
              <w:t>18918-2002）一级A标准</w:t>
            </w:r>
          </w:p>
        </w:tc>
        <w:tc>
          <w:tcPr>
            <w:tcW w:w="1802" w:type="dxa"/>
            <w:tcBorders>
              <w:tl2br w:val="nil"/>
              <w:tr2bl w:val="nil"/>
            </w:tcBorders>
            <w:noWrap w:val="0"/>
            <w:vAlign w:val="center"/>
          </w:tcPr>
          <w:p w14:paraId="33A59846">
            <w:pPr>
              <w:snapToGrid w:val="0"/>
              <w:spacing w:before="62" w:beforeLines="20" w:after="62" w:afterLines="2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pH</w:t>
            </w:r>
          </w:p>
        </w:tc>
        <w:tc>
          <w:tcPr>
            <w:tcW w:w="1843" w:type="dxa"/>
            <w:vMerge w:val="restart"/>
            <w:tcBorders>
              <w:tl2br w:val="nil"/>
              <w:tr2bl w:val="nil"/>
            </w:tcBorders>
            <w:noWrap w:val="0"/>
            <w:vAlign w:val="center"/>
          </w:tcPr>
          <w:p w14:paraId="7CA697E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eastAsia="zh-CN"/>
              </w:rPr>
              <w:t>最高允许排放浓度</w:t>
            </w:r>
            <w:r>
              <w:rPr>
                <w:rFonts w:hint="default" w:ascii="Times New Roman" w:hAnsi="Times New Roman" w:cs="Times New Roman"/>
                <w:color w:val="auto"/>
                <w:sz w:val="21"/>
                <w:szCs w:val="21"/>
                <w:highlight w:val="none"/>
              </w:rPr>
              <w:t>mg/L</w:t>
            </w:r>
          </w:p>
        </w:tc>
        <w:tc>
          <w:tcPr>
            <w:tcW w:w="1798" w:type="dxa"/>
            <w:tcBorders>
              <w:tl2br w:val="nil"/>
              <w:tr2bl w:val="nil"/>
            </w:tcBorders>
            <w:noWrap w:val="0"/>
            <w:vAlign w:val="center"/>
          </w:tcPr>
          <w:p w14:paraId="77DE27FD">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6~9</w:t>
            </w:r>
          </w:p>
        </w:tc>
      </w:tr>
      <w:tr w14:paraId="6A32F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001F4487">
            <w:pPr>
              <w:spacing w:line="240" w:lineRule="exact"/>
              <w:jc w:val="center"/>
              <w:rPr>
                <w:rFonts w:hint="default" w:ascii="Times New Roman" w:hAnsi="Times New Roman" w:cs="Times New Roman"/>
                <w:color w:val="auto"/>
                <w:szCs w:val="21"/>
                <w:highlight w:val="none"/>
                <w:lang w:eastAsia="zh-CN"/>
              </w:rPr>
            </w:pPr>
          </w:p>
        </w:tc>
        <w:tc>
          <w:tcPr>
            <w:tcW w:w="1653" w:type="dxa"/>
            <w:vMerge w:val="continue"/>
            <w:tcBorders>
              <w:tl2br w:val="nil"/>
              <w:tr2bl w:val="nil"/>
            </w:tcBorders>
            <w:noWrap w:val="0"/>
            <w:vAlign w:val="center"/>
          </w:tcPr>
          <w:p w14:paraId="22EF0DD8">
            <w:pPr>
              <w:jc w:val="center"/>
              <w:rPr>
                <w:rFonts w:hint="default" w:ascii="Times New Roman" w:hAnsi="Times New Roman" w:eastAsia="宋体" w:cs="Times New Roman"/>
                <w:color w:val="auto"/>
                <w:szCs w:val="21"/>
                <w:highlight w:val="none"/>
                <w:lang w:eastAsia="zh-CN"/>
              </w:rPr>
            </w:pPr>
          </w:p>
        </w:tc>
        <w:tc>
          <w:tcPr>
            <w:tcW w:w="1802" w:type="dxa"/>
            <w:tcBorders>
              <w:tl2br w:val="nil"/>
              <w:tr2bl w:val="nil"/>
            </w:tcBorders>
            <w:noWrap w:val="0"/>
            <w:vAlign w:val="center"/>
          </w:tcPr>
          <w:p w14:paraId="1DA72470">
            <w:pPr>
              <w:snapToGrid w:val="0"/>
              <w:spacing w:before="62" w:beforeLines="20" w:after="62" w:afterLines="2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BOD</w:t>
            </w:r>
            <w:r>
              <w:rPr>
                <w:rFonts w:hint="default" w:ascii="Times New Roman" w:hAnsi="Times New Roman" w:cs="Times New Roman"/>
                <w:color w:val="auto"/>
                <w:sz w:val="21"/>
                <w:szCs w:val="21"/>
                <w:highlight w:val="none"/>
                <w:vertAlign w:val="subscript"/>
              </w:rPr>
              <w:t>5</w:t>
            </w:r>
          </w:p>
        </w:tc>
        <w:tc>
          <w:tcPr>
            <w:tcW w:w="1843" w:type="dxa"/>
            <w:vMerge w:val="continue"/>
            <w:tcBorders>
              <w:tl2br w:val="nil"/>
              <w:tr2bl w:val="nil"/>
            </w:tcBorders>
            <w:noWrap w:val="0"/>
            <w:vAlign w:val="center"/>
          </w:tcPr>
          <w:p w14:paraId="200128A9">
            <w:pPr>
              <w:jc w:val="center"/>
              <w:rPr>
                <w:rFonts w:hint="default" w:ascii="Times New Roman" w:hAnsi="Times New Roman" w:cs="Times New Roman"/>
                <w:color w:val="auto"/>
                <w:szCs w:val="21"/>
                <w:highlight w:val="none"/>
              </w:rPr>
            </w:pPr>
          </w:p>
        </w:tc>
        <w:tc>
          <w:tcPr>
            <w:tcW w:w="1798" w:type="dxa"/>
            <w:tcBorders>
              <w:tl2br w:val="nil"/>
              <w:tr2bl w:val="nil"/>
            </w:tcBorders>
            <w:noWrap w:val="0"/>
            <w:vAlign w:val="center"/>
          </w:tcPr>
          <w:p w14:paraId="1BDDEED3">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p>
        </w:tc>
      </w:tr>
      <w:tr w14:paraId="09A0D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25539D5D">
            <w:pPr>
              <w:spacing w:line="240" w:lineRule="exact"/>
              <w:jc w:val="center"/>
              <w:rPr>
                <w:rFonts w:hint="default" w:ascii="Times New Roman" w:hAnsi="Times New Roman" w:cs="Times New Roman"/>
                <w:color w:val="auto"/>
                <w:szCs w:val="21"/>
                <w:highlight w:val="none"/>
                <w:lang w:eastAsia="zh-CN"/>
              </w:rPr>
            </w:pPr>
          </w:p>
        </w:tc>
        <w:tc>
          <w:tcPr>
            <w:tcW w:w="1653" w:type="dxa"/>
            <w:vMerge w:val="continue"/>
            <w:tcBorders>
              <w:tl2br w:val="nil"/>
              <w:tr2bl w:val="nil"/>
            </w:tcBorders>
            <w:noWrap w:val="0"/>
            <w:vAlign w:val="center"/>
          </w:tcPr>
          <w:p w14:paraId="64A1CDAB">
            <w:pPr>
              <w:jc w:val="center"/>
              <w:rPr>
                <w:rFonts w:hint="default" w:ascii="Times New Roman" w:hAnsi="Times New Roman" w:eastAsia="宋体" w:cs="Times New Roman"/>
                <w:color w:val="auto"/>
                <w:szCs w:val="21"/>
                <w:highlight w:val="none"/>
                <w:lang w:eastAsia="zh-CN"/>
              </w:rPr>
            </w:pPr>
          </w:p>
        </w:tc>
        <w:tc>
          <w:tcPr>
            <w:tcW w:w="1802" w:type="dxa"/>
            <w:tcBorders>
              <w:tl2br w:val="nil"/>
              <w:tr2bl w:val="nil"/>
            </w:tcBorders>
            <w:noWrap w:val="0"/>
            <w:vAlign w:val="center"/>
          </w:tcPr>
          <w:p w14:paraId="01FC9256">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COD</w:t>
            </w:r>
          </w:p>
        </w:tc>
        <w:tc>
          <w:tcPr>
            <w:tcW w:w="1843" w:type="dxa"/>
            <w:vMerge w:val="continue"/>
            <w:tcBorders>
              <w:tl2br w:val="nil"/>
              <w:tr2bl w:val="nil"/>
            </w:tcBorders>
            <w:noWrap w:val="0"/>
            <w:vAlign w:val="center"/>
          </w:tcPr>
          <w:p w14:paraId="09BFEA56">
            <w:pPr>
              <w:jc w:val="center"/>
              <w:rPr>
                <w:rFonts w:hint="default" w:ascii="Times New Roman" w:hAnsi="Times New Roman" w:cs="Times New Roman"/>
                <w:color w:val="auto"/>
                <w:szCs w:val="21"/>
                <w:highlight w:val="none"/>
              </w:rPr>
            </w:pPr>
          </w:p>
        </w:tc>
        <w:tc>
          <w:tcPr>
            <w:tcW w:w="1798" w:type="dxa"/>
            <w:tcBorders>
              <w:tl2br w:val="nil"/>
              <w:tr2bl w:val="nil"/>
            </w:tcBorders>
            <w:noWrap w:val="0"/>
            <w:vAlign w:val="center"/>
          </w:tcPr>
          <w:p w14:paraId="549B52DD">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50</w:t>
            </w:r>
          </w:p>
        </w:tc>
      </w:tr>
      <w:tr w14:paraId="32B7C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7068E4CE">
            <w:pPr>
              <w:spacing w:line="240" w:lineRule="exact"/>
              <w:jc w:val="center"/>
              <w:rPr>
                <w:rFonts w:hint="default" w:ascii="Times New Roman" w:hAnsi="Times New Roman" w:cs="Times New Roman"/>
                <w:color w:val="auto"/>
                <w:szCs w:val="21"/>
                <w:highlight w:val="none"/>
                <w:lang w:eastAsia="zh-CN"/>
              </w:rPr>
            </w:pPr>
          </w:p>
        </w:tc>
        <w:tc>
          <w:tcPr>
            <w:tcW w:w="1653" w:type="dxa"/>
            <w:vMerge w:val="continue"/>
            <w:tcBorders>
              <w:tl2br w:val="nil"/>
              <w:tr2bl w:val="nil"/>
            </w:tcBorders>
            <w:noWrap w:val="0"/>
            <w:vAlign w:val="center"/>
          </w:tcPr>
          <w:p w14:paraId="12A81B99">
            <w:pPr>
              <w:jc w:val="center"/>
              <w:rPr>
                <w:rFonts w:hint="default" w:ascii="Times New Roman" w:hAnsi="Times New Roman" w:eastAsia="宋体" w:cs="Times New Roman"/>
                <w:color w:val="auto"/>
                <w:szCs w:val="21"/>
                <w:highlight w:val="none"/>
                <w:lang w:eastAsia="zh-CN"/>
              </w:rPr>
            </w:pPr>
          </w:p>
        </w:tc>
        <w:tc>
          <w:tcPr>
            <w:tcW w:w="1802" w:type="dxa"/>
            <w:tcBorders>
              <w:tl2br w:val="nil"/>
              <w:tr2bl w:val="nil"/>
            </w:tcBorders>
            <w:noWrap w:val="0"/>
            <w:vAlign w:val="center"/>
          </w:tcPr>
          <w:p w14:paraId="50866FD6">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SS</w:t>
            </w:r>
          </w:p>
        </w:tc>
        <w:tc>
          <w:tcPr>
            <w:tcW w:w="1843" w:type="dxa"/>
            <w:vMerge w:val="continue"/>
            <w:tcBorders>
              <w:tl2br w:val="nil"/>
              <w:tr2bl w:val="nil"/>
            </w:tcBorders>
            <w:noWrap w:val="0"/>
            <w:vAlign w:val="center"/>
          </w:tcPr>
          <w:p w14:paraId="0ADD553E">
            <w:pPr>
              <w:jc w:val="center"/>
              <w:rPr>
                <w:rFonts w:hint="default" w:ascii="Times New Roman" w:hAnsi="Times New Roman" w:cs="Times New Roman"/>
                <w:color w:val="auto"/>
                <w:szCs w:val="21"/>
                <w:highlight w:val="none"/>
              </w:rPr>
            </w:pPr>
          </w:p>
        </w:tc>
        <w:tc>
          <w:tcPr>
            <w:tcW w:w="1798" w:type="dxa"/>
            <w:tcBorders>
              <w:tl2br w:val="nil"/>
              <w:tr2bl w:val="nil"/>
            </w:tcBorders>
            <w:noWrap w:val="0"/>
            <w:vAlign w:val="center"/>
          </w:tcPr>
          <w:p w14:paraId="37803B7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p>
        </w:tc>
      </w:tr>
      <w:tr w14:paraId="53B788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0918E5A4">
            <w:pPr>
              <w:spacing w:line="240" w:lineRule="exact"/>
              <w:jc w:val="center"/>
              <w:rPr>
                <w:rFonts w:hint="default" w:ascii="Times New Roman" w:hAnsi="Times New Roman" w:cs="Times New Roman"/>
                <w:color w:val="auto"/>
                <w:szCs w:val="21"/>
                <w:highlight w:val="none"/>
                <w:lang w:eastAsia="zh-CN"/>
              </w:rPr>
            </w:pPr>
          </w:p>
        </w:tc>
        <w:tc>
          <w:tcPr>
            <w:tcW w:w="1653" w:type="dxa"/>
            <w:vMerge w:val="continue"/>
            <w:tcBorders>
              <w:tl2br w:val="nil"/>
              <w:tr2bl w:val="nil"/>
            </w:tcBorders>
            <w:noWrap w:val="0"/>
            <w:vAlign w:val="center"/>
          </w:tcPr>
          <w:p w14:paraId="55BDCE04">
            <w:pPr>
              <w:jc w:val="center"/>
              <w:rPr>
                <w:rFonts w:hint="default" w:ascii="Times New Roman" w:hAnsi="Times New Roman" w:eastAsia="宋体" w:cs="Times New Roman"/>
                <w:color w:val="auto"/>
                <w:szCs w:val="21"/>
                <w:highlight w:val="none"/>
                <w:lang w:eastAsia="zh-CN"/>
              </w:rPr>
            </w:pPr>
          </w:p>
        </w:tc>
        <w:tc>
          <w:tcPr>
            <w:tcW w:w="1802" w:type="dxa"/>
            <w:tcBorders>
              <w:tl2br w:val="nil"/>
              <w:tr2bl w:val="nil"/>
            </w:tcBorders>
            <w:noWrap w:val="0"/>
            <w:vAlign w:val="center"/>
          </w:tcPr>
          <w:p w14:paraId="21E24597">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w:t>
            </w:r>
          </w:p>
        </w:tc>
        <w:tc>
          <w:tcPr>
            <w:tcW w:w="1843" w:type="dxa"/>
            <w:vMerge w:val="continue"/>
            <w:tcBorders>
              <w:tl2br w:val="nil"/>
              <w:tr2bl w:val="nil"/>
            </w:tcBorders>
            <w:noWrap w:val="0"/>
            <w:vAlign w:val="center"/>
          </w:tcPr>
          <w:p w14:paraId="074D1ABD">
            <w:pPr>
              <w:jc w:val="center"/>
              <w:rPr>
                <w:rFonts w:hint="default" w:ascii="Times New Roman" w:hAnsi="Times New Roman" w:cs="Times New Roman"/>
                <w:color w:val="auto"/>
                <w:szCs w:val="21"/>
                <w:highlight w:val="none"/>
              </w:rPr>
            </w:pPr>
          </w:p>
        </w:tc>
        <w:tc>
          <w:tcPr>
            <w:tcW w:w="1798" w:type="dxa"/>
            <w:tcBorders>
              <w:tl2br w:val="nil"/>
              <w:tr2bl w:val="nil"/>
            </w:tcBorders>
            <w:noWrap w:val="0"/>
            <w:vAlign w:val="center"/>
          </w:tcPr>
          <w:p w14:paraId="327F3995">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5（8）</w:t>
            </w:r>
          </w:p>
        </w:tc>
      </w:tr>
      <w:tr w14:paraId="33FDD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2B2A93C4">
            <w:pPr>
              <w:spacing w:line="240" w:lineRule="exact"/>
              <w:jc w:val="center"/>
              <w:rPr>
                <w:rFonts w:hint="default" w:ascii="Times New Roman" w:hAnsi="Times New Roman" w:cs="Times New Roman"/>
                <w:color w:val="auto"/>
                <w:szCs w:val="21"/>
                <w:highlight w:val="none"/>
                <w:lang w:eastAsia="zh-CN"/>
              </w:rPr>
            </w:pPr>
          </w:p>
        </w:tc>
        <w:tc>
          <w:tcPr>
            <w:tcW w:w="1653" w:type="dxa"/>
            <w:vMerge w:val="continue"/>
            <w:tcBorders>
              <w:tl2br w:val="nil"/>
              <w:tr2bl w:val="nil"/>
            </w:tcBorders>
            <w:noWrap w:val="0"/>
            <w:vAlign w:val="center"/>
          </w:tcPr>
          <w:p w14:paraId="3952B420">
            <w:pPr>
              <w:jc w:val="center"/>
              <w:rPr>
                <w:rFonts w:hint="default" w:ascii="Times New Roman" w:hAnsi="Times New Roman" w:eastAsia="宋体" w:cs="Times New Roman"/>
                <w:color w:val="auto"/>
                <w:szCs w:val="21"/>
                <w:highlight w:val="none"/>
                <w:lang w:eastAsia="zh-CN"/>
              </w:rPr>
            </w:pPr>
          </w:p>
        </w:tc>
        <w:tc>
          <w:tcPr>
            <w:tcW w:w="1802" w:type="dxa"/>
            <w:tcBorders>
              <w:tl2br w:val="nil"/>
              <w:tr2bl w:val="nil"/>
            </w:tcBorders>
            <w:noWrap w:val="0"/>
            <w:vAlign w:val="center"/>
          </w:tcPr>
          <w:p w14:paraId="2C9D567D">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T-N</w:t>
            </w:r>
          </w:p>
        </w:tc>
        <w:tc>
          <w:tcPr>
            <w:tcW w:w="1843" w:type="dxa"/>
            <w:vMerge w:val="continue"/>
            <w:tcBorders>
              <w:tl2br w:val="nil"/>
              <w:tr2bl w:val="nil"/>
            </w:tcBorders>
            <w:noWrap w:val="0"/>
            <w:vAlign w:val="center"/>
          </w:tcPr>
          <w:p w14:paraId="03E7DD0B">
            <w:pPr>
              <w:jc w:val="center"/>
              <w:rPr>
                <w:rFonts w:hint="default" w:ascii="Times New Roman" w:hAnsi="Times New Roman" w:cs="Times New Roman"/>
                <w:color w:val="auto"/>
                <w:szCs w:val="21"/>
                <w:highlight w:val="none"/>
              </w:rPr>
            </w:pPr>
          </w:p>
        </w:tc>
        <w:tc>
          <w:tcPr>
            <w:tcW w:w="1798" w:type="dxa"/>
            <w:tcBorders>
              <w:tl2br w:val="nil"/>
              <w:tr2bl w:val="nil"/>
            </w:tcBorders>
            <w:noWrap w:val="0"/>
            <w:vAlign w:val="center"/>
          </w:tcPr>
          <w:p w14:paraId="229B109B">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15</w:t>
            </w:r>
          </w:p>
        </w:tc>
      </w:tr>
      <w:tr w14:paraId="59BA0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11" w:type="dxa"/>
            <w:vMerge w:val="continue"/>
            <w:tcBorders>
              <w:tl2br w:val="nil"/>
              <w:tr2bl w:val="nil"/>
            </w:tcBorders>
            <w:noWrap w:val="0"/>
            <w:vAlign w:val="center"/>
          </w:tcPr>
          <w:p w14:paraId="01B878A3">
            <w:pPr>
              <w:spacing w:line="240" w:lineRule="exact"/>
              <w:jc w:val="center"/>
              <w:rPr>
                <w:rFonts w:hint="default" w:ascii="Times New Roman" w:hAnsi="Times New Roman" w:cs="Times New Roman"/>
                <w:color w:val="auto"/>
                <w:szCs w:val="21"/>
                <w:highlight w:val="none"/>
                <w:lang w:eastAsia="zh-CN"/>
              </w:rPr>
            </w:pPr>
          </w:p>
        </w:tc>
        <w:tc>
          <w:tcPr>
            <w:tcW w:w="1653" w:type="dxa"/>
            <w:vMerge w:val="continue"/>
            <w:tcBorders>
              <w:tl2br w:val="nil"/>
              <w:tr2bl w:val="nil"/>
            </w:tcBorders>
            <w:noWrap w:val="0"/>
            <w:vAlign w:val="center"/>
          </w:tcPr>
          <w:p w14:paraId="4CB3EED4">
            <w:pPr>
              <w:jc w:val="center"/>
              <w:rPr>
                <w:rFonts w:hint="default" w:ascii="Times New Roman" w:hAnsi="Times New Roman" w:eastAsia="宋体" w:cs="Times New Roman"/>
                <w:color w:val="auto"/>
                <w:szCs w:val="21"/>
                <w:highlight w:val="none"/>
                <w:lang w:eastAsia="zh-CN"/>
              </w:rPr>
            </w:pPr>
          </w:p>
        </w:tc>
        <w:tc>
          <w:tcPr>
            <w:tcW w:w="1802" w:type="dxa"/>
            <w:tcBorders>
              <w:tl2br w:val="nil"/>
              <w:tr2bl w:val="nil"/>
            </w:tcBorders>
            <w:noWrap w:val="0"/>
            <w:vAlign w:val="center"/>
          </w:tcPr>
          <w:p w14:paraId="6A252348">
            <w:pPr>
              <w:snapToGrid w:val="0"/>
              <w:spacing w:before="62" w:beforeLines="20" w:after="62" w:afterLines="2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T-P</w:t>
            </w:r>
          </w:p>
        </w:tc>
        <w:tc>
          <w:tcPr>
            <w:tcW w:w="1843" w:type="dxa"/>
            <w:vMerge w:val="continue"/>
            <w:tcBorders>
              <w:tl2br w:val="nil"/>
              <w:tr2bl w:val="nil"/>
            </w:tcBorders>
            <w:noWrap w:val="0"/>
            <w:vAlign w:val="center"/>
          </w:tcPr>
          <w:p w14:paraId="2CFBE49F">
            <w:pPr>
              <w:jc w:val="center"/>
              <w:rPr>
                <w:rFonts w:hint="default" w:ascii="Times New Roman" w:hAnsi="Times New Roman" w:cs="Times New Roman"/>
                <w:color w:val="auto"/>
                <w:szCs w:val="21"/>
                <w:highlight w:val="none"/>
              </w:rPr>
            </w:pPr>
          </w:p>
        </w:tc>
        <w:tc>
          <w:tcPr>
            <w:tcW w:w="1798" w:type="dxa"/>
            <w:tcBorders>
              <w:tl2br w:val="nil"/>
              <w:tr2bl w:val="nil"/>
            </w:tcBorders>
            <w:noWrap w:val="0"/>
            <w:vAlign w:val="center"/>
          </w:tcPr>
          <w:p w14:paraId="590F0093">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0.5</w:t>
            </w:r>
          </w:p>
        </w:tc>
      </w:tr>
      <w:tr w14:paraId="370D6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407" w:type="dxa"/>
            <w:gridSpan w:val="5"/>
            <w:tcBorders>
              <w:tl2br w:val="nil"/>
              <w:tr2bl w:val="nil"/>
            </w:tcBorders>
            <w:noWrap w:val="0"/>
            <w:vAlign w:val="center"/>
          </w:tcPr>
          <w:p w14:paraId="2DE76725">
            <w:pPr>
              <w:jc w:val="both"/>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注：水温&gt;12℃时NH</w:t>
            </w:r>
            <w:r>
              <w:rPr>
                <w:rFonts w:hint="eastAsia" w:cs="Times New Roman"/>
                <w:color w:val="auto"/>
                <w:szCs w:val="21"/>
                <w:highlight w:val="none"/>
                <w:vertAlign w:val="subscript"/>
                <w:lang w:val="en-US" w:eastAsia="zh-CN"/>
              </w:rPr>
              <w:t>3</w:t>
            </w:r>
            <w:r>
              <w:rPr>
                <w:rFonts w:hint="eastAsia" w:cs="Times New Roman"/>
                <w:color w:val="auto"/>
                <w:szCs w:val="21"/>
                <w:highlight w:val="none"/>
                <w:lang w:val="en-US" w:eastAsia="zh-CN"/>
              </w:rPr>
              <w:t>-N≤5；水温≤12℃时NH</w:t>
            </w:r>
            <w:r>
              <w:rPr>
                <w:rFonts w:hint="eastAsia" w:cs="Times New Roman"/>
                <w:color w:val="auto"/>
                <w:szCs w:val="21"/>
                <w:highlight w:val="none"/>
                <w:vertAlign w:val="subscript"/>
                <w:lang w:val="en-US" w:eastAsia="zh-CN"/>
              </w:rPr>
              <w:t>3</w:t>
            </w:r>
            <w:r>
              <w:rPr>
                <w:rFonts w:hint="eastAsia" w:cs="Times New Roman"/>
                <w:color w:val="auto"/>
                <w:szCs w:val="21"/>
                <w:highlight w:val="none"/>
                <w:lang w:val="en-US" w:eastAsia="zh-CN"/>
              </w:rPr>
              <w:t>-N≤8。</w:t>
            </w:r>
          </w:p>
        </w:tc>
      </w:tr>
    </w:tbl>
    <w:p w14:paraId="34871568">
      <w:pPr>
        <w:tabs>
          <w:tab w:val="left" w:leader="middleDot" w:pos="8399"/>
        </w:tabs>
        <w:jc w:val="center"/>
        <w:rPr>
          <w:rFonts w:hint="default" w:ascii="Times New Roman" w:hAnsi="Times New Roman" w:eastAsia="宋体"/>
          <w:b/>
          <w:color w:val="auto"/>
          <w:szCs w:val="21"/>
          <w:highlight w:val="none"/>
          <w:lang w:val="en-US" w:eastAsia="zh-CN"/>
        </w:rPr>
      </w:pPr>
      <w:r>
        <w:rPr>
          <w:rFonts w:ascii="Times New Roman" w:hAnsi="Times New Roman"/>
          <w:b/>
          <w:color w:val="auto"/>
          <w:szCs w:val="21"/>
          <w:highlight w:val="none"/>
        </w:rPr>
        <w:t>表</w:t>
      </w:r>
      <w:r>
        <w:rPr>
          <w:rFonts w:hint="eastAsia"/>
          <w:b/>
          <w:color w:val="auto"/>
          <w:szCs w:val="21"/>
          <w:highlight w:val="none"/>
          <w:lang w:val="en-US" w:eastAsia="zh-CN"/>
        </w:rPr>
        <w:t>1.2-4</w:t>
      </w:r>
      <w:r>
        <w:rPr>
          <w:rFonts w:ascii="Times New Roman" w:hAnsi="Times New Roman"/>
          <w:b/>
          <w:color w:val="auto"/>
          <w:szCs w:val="21"/>
          <w:highlight w:val="none"/>
        </w:rPr>
        <w:t xml:space="preserve">  </w:t>
      </w:r>
      <w:r>
        <w:rPr>
          <w:rFonts w:hint="eastAsia" w:ascii="Times New Roman" w:hAnsi="Times New Roman"/>
          <w:b/>
          <w:color w:val="auto"/>
          <w:szCs w:val="21"/>
          <w:highlight w:val="none"/>
          <w:lang w:eastAsia="zh-CN"/>
        </w:rPr>
        <w:t>修改单中</w:t>
      </w:r>
      <w:r>
        <w:rPr>
          <w:rFonts w:hint="eastAsia" w:ascii="Times New Roman" w:hAnsi="Times New Roman"/>
          <w:b/>
          <w:color w:val="auto"/>
          <w:szCs w:val="21"/>
          <w:highlight w:val="none"/>
        </w:rPr>
        <w:t>基本控制项目最高允许排放浓度</w:t>
      </w:r>
      <w:r>
        <w:rPr>
          <w:rFonts w:hint="eastAsia" w:ascii="Times New Roman" w:hAnsi="Times New Roman"/>
          <w:b/>
          <w:color w:val="auto"/>
          <w:szCs w:val="21"/>
          <w:highlight w:val="none"/>
          <w:lang w:eastAsia="zh-CN"/>
        </w:rPr>
        <w:t>（</w:t>
      </w:r>
      <w:r>
        <w:rPr>
          <w:rFonts w:hint="eastAsia" w:ascii="Times New Roman" w:hAnsi="Times New Roman"/>
          <w:b/>
          <w:color w:val="auto"/>
          <w:szCs w:val="21"/>
          <w:highlight w:val="none"/>
        </w:rPr>
        <w:t>瞬时值</w:t>
      </w:r>
      <w:r>
        <w:rPr>
          <w:rFonts w:hint="eastAsia" w:ascii="Times New Roman" w:hAnsi="Times New Roman"/>
          <w:b/>
          <w:color w:val="auto"/>
          <w:szCs w:val="21"/>
          <w:highlight w:val="none"/>
          <w:lang w:eastAsia="zh-CN"/>
        </w:rPr>
        <w:t>）</w:t>
      </w:r>
      <w:r>
        <w:rPr>
          <w:rFonts w:hint="eastAsia" w:ascii="Times New Roman" w:hAnsi="Times New Roman"/>
          <w:b/>
          <w:color w:val="auto"/>
          <w:szCs w:val="21"/>
          <w:highlight w:val="none"/>
          <w:lang w:val="en-US" w:eastAsia="zh-CN"/>
        </w:rPr>
        <w:t xml:space="preserve">    单位：mg/L</w:t>
      </w:r>
    </w:p>
    <w:tbl>
      <w:tblPr>
        <w:tblStyle w:val="31"/>
        <w:tblW w:w="82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4"/>
        <w:gridCol w:w="465"/>
        <w:gridCol w:w="1667"/>
        <w:gridCol w:w="1621"/>
        <w:gridCol w:w="1184"/>
        <w:gridCol w:w="1233"/>
        <w:gridCol w:w="1133"/>
      </w:tblGrid>
      <w:tr w14:paraId="01001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vMerge w:val="restart"/>
            <w:noWrap w:val="0"/>
            <w:vAlign w:val="center"/>
          </w:tcPr>
          <w:p w14:paraId="20C81550">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序号</w:t>
            </w:r>
          </w:p>
        </w:tc>
        <w:tc>
          <w:tcPr>
            <w:tcW w:w="2132" w:type="dxa"/>
            <w:gridSpan w:val="2"/>
            <w:vMerge w:val="restart"/>
            <w:noWrap w:val="0"/>
            <w:vAlign w:val="center"/>
          </w:tcPr>
          <w:p w14:paraId="59B9E680">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基本控制项目</w:t>
            </w:r>
          </w:p>
        </w:tc>
        <w:tc>
          <w:tcPr>
            <w:tcW w:w="2805" w:type="dxa"/>
            <w:gridSpan w:val="2"/>
            <w:noWrap w:val="0"/>
            <w:vAlign w:val="center"/>
          </w:tcPr>
          <w:p w14:paraId="719FC888">
            <w:pPr>
              <w:widowControl/>
              <w:jc w:val="center"/>
              <w:textAlignment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一级标准</w:t>
            </w:r>
          </w:p>
        </w:tc>
        <w:tc>
          <w:tcPr>
            <w:tcW w:w="1233" w:type="dxa"/>
            <w:vMerge w:val="restart"/>
            <w:noWrap w:val="0"/>
            <w:vAlign w:val="center"/>
          </w:tcPr>
          <w:p w14:paraId="0DE0F890">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二级标准</w:t>
            </w:r>
          </w:p>
        </w:tc>
        <w:tc>
          <w:tcPr>
            <w:tcW w:w="1133" w:type="dxa"/>
            <w:vMerge w:val="restart"/>
            <w:noWrap w:val="0"/>
            <w:vAlign w:val="center"/>
          </w:tcPr>
          <w:p w14:paraId="238CF743">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三级标准</w:t>
            </w:r>
          </w:p>
        </w:tc>
      </w:tr>
      <w:tr w14:paraId="4B305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vMerge w:val="continue"/>
            <w:noWrap w:val="0"/>
            <w:vAlign w:val="center"/>
          </w:tcPr>
          <w:p w14:paraId="2A62D018">
            <w:pPr>
              <w:widowControl/>
              <w:jc w:val="center"/>
              <w:textAlignment w:val="center"/>
              <w:rPr>
                <w:rFonts w:hint="eastAsia" w:ascii="Times New Roman" w:hAnsi="Times New Roman" w:eastAsia="宋体"/>
                <w:color w:val="auto"/>
                <w:kern w:val="0"/>
                <w:szCs w:val="21"/>
                <w:highlight w:val="none"/>
                <w:lang w:eastAsia="zh-CN"/>
              </w:rPr>
            </w:pPr>
          </w:p>
        </w:tc>
        <w:tc>
          <w:tcPr>
            <w:tcW w:w="2132" w:type="dxa"/>
            <w:gridSpan w:val="2"/>
            <w:vMerge w:val="continue"/>
            <w:noWrap w:val="0"/>
            <w:vAlign w:val="center"/>
          </w:tcPr>
          <w:p w14:paraId="58392F9B">
            <w:pPr>
              <w:widowControl/>
              <w:jc w:val="center"/>
              <w:textAlignment w:val="center"/>
              <w:rPr>
                <w:rFonts w:hint="eastAsia" w:ascii="Times New Roman" w:hAnsi="Times New Roman" w:eastAsia="宋体"/>
                <w:color w:val="auto"/>
                <w:kern w:val="0"/>
                <w:szCs w:val="21"/>
                <w:highlight w:val="none"/>
                <w:lang w:eastAsia="zh-CN"/>
              </w:rPr>
            </w:pPr>
          </w:p>
        </w:tc>
        <w:tc>
          <w:tcPr>
            <w:tcW w:w="1621" w:type="dxa"/>
            <w:noWrap w:val="0"/>
            <w:vAlign w:val="center"/>
          </w:tcPr>
          <w:p w14:paraId="2911FCA3">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A标准</w:t>
            </w:r>
          </w:p>
        </w:tc>
        <w:tc>
          <w:tcPr>
            <w:tcW w:w="1184" w:type="dxa"/>
            <w:noWrap w:val="0"/>
            <w:vAlign w:val="center"/>
          </w:tcPr>
          <w:p w14:paraId="0D3CD046">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B标准</w:t>
            </w:r>
          </w:p>
        </w:tc>
        <w:tc>
          <w:tcPr>
            <w:tcW w:w="1233" w:type="dxa"/>
            <w:vMerge w:val="continue"/>
            <w:noWrap w:val="0"/>
            <w:vAlign w:val="center"/>
          </w:tcPr>
          <w:p w14:paraId="1D68FD83">
            <w:pPr>
              <w:widowControl/>
              <w:jc w:val="center"/>
              <w:textAlignment w:val="center"/>
              <w:rPr>
                <w:rFonts w:hint="eastAsia" w:ascii="Times New Roman" w:hAnsi="Times New Roman" w:eastAsia="宋体"/>
                <w:color w:val="auto"/>
                <w:kern w:val="0"/>
                <w:szCs w:val="21"/>
                <w:highlight w:val="none"/>
                <w:lang w:eastAsia="zh-CN"/>
              </w:rPr>
            </w:pPr>
          </w:p>
        </w:tc>
        <w:tc>
          <w:tcPr>
            <w:tcW w:w="1133" w:type="dxa"/>
            <w:vMerge w:val="continue"/>
            <w:noWrap w:val="0"/>
            <w:vAlign w:val="center"/>
          </w:tcPr>
          <w:p w14:paraId="311BD6EB">
            <w:pPr>
              <w:widowControl/>
              <w:jc w:val="center"/>
              <w:textAlignment w:val="center"/>
              <w:rPr>
                <w:rFonts w:hint="eastAsia" w:ascii="Times New Roman" w:hAnsi="Times New Roman" w:eastAsia="宋体"/>
                <w:color w:val="auto"/>
                <w:kern w:val="0"/>
                <w:szCs w:val="21"/>
                <w:highlight w:val="none"/>
                <w:lang w:eastAsia="zh-CN"/>
              </w:rPr>
            </w:pPr>
          </w:p>
        </w:tc>
      </w:tr>
      <w:tr w14:paraId="7AA8E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6C179641">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w:t>
            </w:r>
          </w:p>
        </w:tc>
        <w:tc>
          <w:tcPr>
            <w:tcW w:w="2132" w:type="dxa"/>
            <w:gridSpan w:val="2"/>
            <w:noWrap w:val="0"/>
            <w:vAlign w:val="center"/>
          </w:tcPr>
          <w:p w14:paraId="039CEE89">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化学需氧量</w:t>
            </w:r>
          </w:p>
        </w:tc>
        <w:tc>
          <w:tcPr>
            <w:tcW w:w="1621" w:type="dxa"/>
            <w:noWrap w:val="0"/>
            <w:vAlign w:val="center"/>
          </w:tcPr>
          <w:p w14:paraId="7051C2BB">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75</w:t>
            </w:r>
          </w:p>
        </w:tc>
        <w:tc>
          <w:tcPr>
            <w:tcW w:w="1184" w:type="dxa"/>
            <w:noWrap w:val="0"/>
            <w:vAlign w:val="center"/>
          </w:tcPr>
          <w:p w14:paraId="023FE18B">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90</w:t>
            </w:r>
          </w:p>
        </w:tc>
        <w:tc>
          <w:tcPr>
            <w:tcW w:w="1233" w:type="dxa"/>
            <w:noWrap w:val="0"/>
            <w:vAlign w:val="center"/>
          </w:tcPr>
          <w:p w14:paraId="1140704F">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130</w:t>
            </w:r>
          </w:p>
        </w:tc>
        <w:tc>
          <w:tcPr>
            <w:tcW w:w="1133" w:type="dxa"/>
            <w:noWrap w:val="0"/>
            <w:vAlign w:val="center"/>
          </w:tcPr>
          <w:p w14:paraId="5D1165D5">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140</w:t>
            </w:r>
            <w:r>
              <w:rPr>
                <w:rFonts w:hint="eastAsia" w:ascii="宋体" w:hAnsi="宋体" w:eastAsia="宋体" w:cs="宋体"/>
                <w:color w:val="auto"/>
                <w:kern w:val="2"/>
                <w:sz w:val="18"/>
                <w:szCs w:val="18"/>
                <w:highlight w:val="none"/>
                <w:vertAlign w:val="superscript"/>
                <w:lang w:val="en-US" w:eastAsia="zh-CN" w:bidi="ar-SA"/>
              </w:rPr>
              <w:t>①</w:t>
            </w:r>
          </w:p>
        </w:tc>
      </w:tr>
      <w:tr w14:paraId="01D13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06D5CD4F">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w:t>
            </w:r>
          </w:p>
        </w:tc>
        <w:tc>
          <w:tcPr>
            <w:tcW w:w="2132" w:type="dxa"/>
            <w:gridSpan w:val="2"/>
            <w:noWrap w:val="0"/>
            <w:vAlign w:val="center"/>
          </w:tcPr>
          <w:p w14:paraId="08E5E00D">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总氮</w:t>
            </w:r>
          </w:p>
        </w:tc>
        <w:tc>
          <w:tcPr>
            <w:tcW w:w="1621" w:type="dxa"/>
            <w:noWrap w:val="0"/>
            <w:vAlign w:val="center"/>
          </w:tcPr>
          <w:p w14:paraId="2625382C">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20</w:t>
            </w:r>
          </w:p>
        </w:tc>
        <w:tc>
          <w:tcPr>
            <w:tcW w:w="1184" w:type="dxa"/>
            <w:noWrap w:val="0"/>
            <w:vAlign w:val="center"/>
          </w:tcPr>
          <w:p w14:paraId="2675211B">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25</w:t>
            </w:r>
          </w:p>
        </w:tc>
        <w:tc>
          <w:tcPr>
            <w:tcW w:w="1233" w:type="dxa"/>
            <w:noWrap w:val="0"/>
            <w:vAlign w:val="center"/>
          </w:tcPr>
          <w:p w14:paraId="3579A5C2">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w:t>
            </w:r>
          </w:p>
        </w:tc>
        <w:tc>
          <w:tcPr>
            <w:tcW w:w="1133" w:type="dxa"/>
            <w:noWrap w:val="0"/>
            <w:vAlign w:val="center"/>
          </w:tcPr>
          <w:p w14:paraId="679B18A6">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w:t>
            </w:r>
          </w:p>
        </w:tc>
      </w:tr>
      <w:tr w14:paraId="0B459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43E0EF34">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w:t>
            </w:r>
          </w:p>
        </w:tc>
        <w:tc>
          <w:tcPr>
            <w:tcW w:w="2132" w:type="dxa"/>
            <w:gridSpan w:val="2"/>
            <w:noWrap w:val="0"/>
            <w:vAlign w:val="center"/>
          </w:tcPr>
          <w:p w14:paraId="4BDAB4D6">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氨氮</w:t>
            </w:r>
            <w:r>
              <w:rPr>
                <w:rFonts w:hint="default" w:ascii="Times New Roman" w:hAnsi="Times New Roman" w:eastAsia="宋体" w:cs="Times New Roman"/>
                <w:color w:val="auto"/>
                <w:kern w:val="2"/>
                <w:sz w:val="18"/>
                <w:szCs w:val="18"/>
                <w:highlight w:val="none"/>
                <w:vertAlign w:val="superscript"/>
                <w:lang w:val="en-US" w:eastAsia="zh-CN" w:bidi="ar-SA"/>
              </w:rPr>
              <w:t>②</w:t>
            </w:r>
          </w:p>
        </w:tc>
        <w:tc>
          <w:tcPr>
            <w:tcW w:w="1621" w:type="dxa"/>
            <w:noWrap w:val="0"/>
            <w:vAlign w:val="center"/>
          </w:tcPr>
          <w:p w14:paraId="4D62C64D">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10（15）</w:t>
            </w:r>
          </w:p>
        </w:tc>
        <w:tc>
          <w:tcPr>
            <w:tcW w:w="1184" w:type="dxa"/>
            <w:noWrap w:val="0"/>
            <w:vAlign w:val="center"/>
          </w:tcPr>
          <w:p w14:paraId="7C65C037">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15（20）</w:t>
            </w:r>
          </w:p>
        </w:tc>
        <w:tc>
          <w:tcPr>
            <w:tcW w:w="1233" w:type="dxa"/>
            <w:noWrap w:val="0"/>
            <w:vAlign w:val="center"/>
          </w:tcPr>
          <w:p w14:paraId="3B8E0D79">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30（35）</w:t>
            </w:r>
          </w:p>
        </w:tc>
        <w:tc>
          <w:tcPr>
            <w:tcW w:w="1133" w:type="dxa"/>
            <w:noWrap w:val="0"/>
            <w:vAlign w:val="center"/>
          </w:tcPr>
          <w:p w14:paraId="36018682">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w:t>
            </w:r>
          </w:p>
        </w:tc>
      </w:tr>
      <w:tr w14:paraId="38D1D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4F73C445">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w:t>
            </w:r>
          </w:p>
        </w:tc>
        <w:tc>
          <w:tcPr>
            <w:tcW w:w="465" w:type="dxa"/>
            <w:vMerge w:val="restart"/>
            <w:noWrap w:val="0"/>
            <w:vAlign w:val="center"/>
          </w:tcPr>
          <w:p w14:paraId="37C719A6">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总磷</w:t>
            </w:r>
          </w:p>
        </w:tc>
        <w:tc>
          <w:tcPr>
            <w:tcW w:w="1667" w:type="dxa"/>
            <w:noWrap w:val="0"/>
            <w:vAlign w:val="center"/>
          </w:tcPr>
          <w:p w14:paraId="466822B6">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2005年12月31日前建设的</w:t>
            </w:r>
            <w:r>
              <w:rPr>
                <w:rFonts w:hint="eastAsia" w:ascii="宋体" w:hAnsi="宋体" w:eastAsia="宋体" w:cs="宋体"/>
                <w:color w:val="auto"/>
                <w:kern w:val="0"/>
                <w:szCs w:val="21"/>
                <w:highlight w:val="none"/>
                <w:vertAlign w:val="superscript"/>
              </w:rPr>
              <w:t>③</w:t>
            </w:r>
          </w:p>
        </w:tc>
        <w:tc>
          <w:tcPr>
            <w:tcW w:w="1621" w:type="dxa"/>
            <w:noWrap w:val="0"/>
            <w:vAlign w:val="center"/>
          </w:tcPr>
          <w:p w14:paraId="07D85337">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w:t>
            </w:r>
          </w:p>
        </w:tc>
        <w:tc>
          <w:tcPr>
            <w:tcW w:w="1184" w:type="dxa"/>
            <w:noWrap w:val="0"/>
            <w:vAlign w:val="center"/>
          </w:tcPr>
          <w:p w14:paraId="32D3AE0C">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2.5</w:t>
            </w:r>
          </w:p>
        </w:tc>
        <w:tc>
          <w:tcPr>
            <w:tcW w:w="1233" w:type="dxa"/>
            <w:noWrap w:val="0"/>
            <w:vAlign w:val="center"/>
          </w:tcPr>
          <w:p w14:paraId="315793CD">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w:t>
            </w:r>
          </w:p>
        </w:tc>
        <w:tc>
          <w:tcPr>
            <w:tcW w:w="1133" w:type="dxa"/>
            <w:noWrap w:val="0"/>
            <w:vAlign w:val="center"/>
          </w:tcPr>
          <w:p w14:paraId="03A30B8C">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w:t>
            </w:r>
          </w:p>
        </w:tc>
      </w:tr>
      <w:tr w14:paraId="611537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44F921FD">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w:t>
            </w:r>
          </w:p>
        </w:tc>
        <w:tc>
          <w:tcPr>
            <w:tcW w:w="465" w:type="dxa"/>
            <w:vMerge w:val="continue"/>
            <w:noWrap w:val="0"/>
            <w:vAlign w:val="center"/>
          </w:tcPr>
          <w:p w14:paraId="02976D39">
            <w:pPr>
              <w:widowControl/>
              <w:jc w:val="center"/>
              <w:textAlignment w:val="center"/>
              <w:rPr>
                <w:rFonts w:ascii="Times New Roman" w:hAnsi="Times New Roman"/>
                <w:color w:val="auto"/>
                <w:kern w:val="0"/>
                <w:szCs w:val="21"/>
                <w:highlight w:val="none"/>
              </w:rPr>
            </w:pPr>
          </w:p>
        </w:tc>
        <w:tc>
          <w:tcPr>
            <w:tcW w:w="1667" w:type="dxa"/>
            <w:noWrap w:val="0"/>
            <w:vAlign w:val="center"/>
          </w:tcPr>
          <w:p w14:paraId="3BDC3591">
            <w:pPr>
              <w:widowControl/>
              <w:jc w:val="center"/>
              <w:textAlignment w:val="center"/>
              <w:rPr>
                <w:rFonts w:ascii="Times New Roman" w:hAnsi="Times New Roman"/>
                <w:color w:val="auto"/>
                <w:kern w:val="0"/>
                <w:szCs w:val="21"/>
                <w:highlight w:val="none"/>
              </w:rPr>
            </w:pPr>
            <w:r>
              <w:rPr>
                <w:rFonts w:ascii="Times New Roman" w:hAnsi="Times New Roman"/>
                <w:color w:val="auto"/>
                <w:kern w:val="0"/>
                <w:szCs w:val="21"/>
                <w:highlight w:val="none"/>
              </w:rPr>
              <w:t>2006年1月1日起建设的</w:t>
            </w:r>
          </w:p>
        </w:tc>
        <w:tc>
          <w:tcPr>
            <w:tcW w:w="1621" w:type="dxa"/>
            <w:noWrap w:val="0"/>
            <w:vAlign w:val="center"/>
          </w:tcPr>
          <w:p w14:paraId="591AB959">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w:t>
            </w:r>
          </w:p>
        </w:tc>
        <w:tc>
          <w:tcPr>
            <w:tcW w:w="1184" w:type="dxa"/>
            <w:noWrap w:val="0"/>
            <w:vAlign w:val="center"/>
          </w:tcPr>
          <w:p w14:paraId="30D4C3CD">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1.5</w:t>
            </w:r>
          </w:p>
        </w:tc>
        <w:tc>
          <w:tcPr>
            <w:tcW w:w="1233" w:type="dxa"/>
            <w:noWrap w:val="0"/>
            <w:vAlign w:val="center"/>
          </w:tcPr>
          <w:p w14:paraId="0B8AD54D">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w:t>
            </w:r>
          </w:p>
        </w:tc>
        <w:tc>
          <w:tcPr>
            <w:tcW w:w="1133" w:type="dxa"/>
            <w:noWrap w:val="0"/>
            <w:vAlign w:val="center"/>
          </w:tcPr>
          <w:p w14:paraId="2155B6F2">
            <w:pPr>
              <w:widowControl/>
              <w:jc w:val="center"/>
              <w:textAlignment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w:t>
            </w:r>
          </w:p>
        </w:tc>
      </w:tr>
      <w:tr w14:paraId="47483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4EDA7BC3">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6</w:t>
            </w:r>
          </w:p>
        </w:tc>
        <w:tc>
          <w:tcPr>
            <w:tcW w:w="2132" w:type="dxa"/>
            <w:gridSpan w:val="2"/>
            <w:noWrap w:val="0"/>
            <w:vAlign w:val="center"/>
          </w:tcPr>
          <w:p w14:paraId="58630D46">
            <w:pPr>
              <w:widowControl/>
              <w:jc w:val="center"/>
              <w:textAlignment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色度（稀释倍数）</w:t>
            </w:r>
          </w:p>
        </w:tc>
        <w:tc>
          <w:tcPr>
            <w:tcW w:w="1621" w:type="dxa"/>
            <w:noWrap w:val="0"/>
            <w:vAlign w:val="center"/>
          </w:tcPr>
          <w:p w14:paraId="476E555A">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30</w:t>
            </w:r>
          </w:p>
        </w:tc>
        <w:tc>
          <w:tcPr>
            <w:tcW w:w="1184" w:type="dxa"/>
            <w:noWrap w:val="0"/>
            <w:vAlign w:val="center"/>
          </w:tcPr>
          <w:p w14:paraId="24195305">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30</w:t>
            </w:r>
          </w:p>
        </w:tc>
        <w:tc>
          <w:tcPr>
            <w:tcW w:w="1233" w:type="dxa"/>
            <w:noWrap w:val="0"/>
            <w:vAlign w:val="center"/>
          </w:tcPr>
          <w:p w14:paraId="19DD04E8">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40</w:t>
            </w:r>
          </w:p>
        </w:tc>
        <w:tc>
          <w:tcPr>
            <w:tcW w:w="1133" w:type="dxa"/>
            <w:noWrap w:val="0"/>
            <w:vAlign w:val="center"/>
          </w:tcPr>
          <w:p w14:paraId="357C0C58">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50</w:t>
            </w:r>
          </w:p>
        </w:tc>
      </w:tr>
      <w:tr w14:paraId="5238AB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7C6AC9D4">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7</w:t>
            </w:r>
          </w:p>
        </w:tc>
        <w:tc>
          <w:tcPr>
            <w:tcW w:w="2132" w:type="dxa"/>
            <w:gridSpan w:val="2"/>
            <w:noWrap w:val="0"/>
            <w:vAlign w:val="center"/>
          </w:tcPr>
          <w:p w14:paraId="303EABF1">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pH</w:t>
            </w:r>
          </w:p>
        </w:tc>
        <w:tc>
          <w:tcPr>
            <w:tcW w:w="5171" w:type="dxa"/>
            <w:gridSpan w:val="4"/>
            <w:noWrap w:val="0"/>
            <w:vAlign w:val="center"/>
          </w:tcPr>
          <w:p w14:paraId="473AAB70">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6~9</w:t>
            </w:r>
          </w:p>
        </w:tc>
      </w:tr>
      <w:tr w14:paraId="379436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4" w:type="dxa"/>
            <w:noWrap w:val="0"/>
            <w:vAlign w:val="center"/>
          </w:tcPr>
          <w:p w14:paraId="7A3EABA9">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8</w:t>
            </w:r>
          </w:p>
        </w:tc>
        <w:tc>
          <w:tcPr>
            <w:tcW w:w="2132" w:type="dxa"/>
            <w:gridSpan w:val="2"/>
            <w:noWrap w:val="0"/>
            <w:vAlign w:val="center"/>
          </w:tcPr>
          <w:p w14:paraId="5C9F86CD">
            <w:pPr>
              <w:widowControl/>
              <w:jc w:val="center"/>
              <w:textAlignment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粪大肠菌群数（MPN/L）</w:t>
            </w:r>
          </w:p>
        </w:tc>
        <w:tc>
          <w:tcPr>
            <w:tcW w:w="1621" w:type="dxa"/>
            <w:noWrap w:val="0"/>
            <w:vAlign w:val="center"/>
          </w:tcPr>
          <w:p w14:paraId="70B0FD42">
            <w:pPr>
              <w:widowControl/>
              <w:jc w:val="center"/>
              <w:textAlignment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3</w:t>
            </w:r>
            <w:r>
              <w:rPr>
                <w:rFonts w:hint="eastAsia" w:ascii="Times New Roman" w:hAnsi="Times New Roman"/>
                <w:color w:val="auto"/>
                <w:kern w:val="0"/>
                <w:szCs w:val="21"/>
                <w:highlight w:val="none"/>
                <w:lang w:val="en-US" w:eastAsia="zh-CN"/>
              </w:rPr>
              <w:t>（回用）</w:t>
            </w:r>
          </w:p>
          <w:p w14:paraId="3D79178B">
            <w:pPr>
              <w:widowControl/>
              <w:jc w:val="center"/>
              <w:textAlignment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4</w:t>
            </w:r>
            <w:r>
              <w:rPr>
                <w:rFonts w:hint="eastAsia" w:ascii="Times New Roman" w:hAnsi="Times New Roman"/>
                <w:color w:val="auto"/>
                <w:kern w:val="0"/>
                <w:szCs w:val="21"/>
                <w:highlight w:val="none"/>
                <w:lang w:val="en-US" w:eastAsia="zh-CN"/>
              </w:rPr>
              <w:t>（</w:t>
            </w:r>
            <w:r>
              <w:rPr>
                <w:rFonts w:hint="eastAsia"/>
                <w:color w:val="auto"/>
                <w:kern w:val="0"/>
                <w:szCs w:val="21"/>
                <w:highlight w:val="none"/>
                <w:lang w:val="en-US" w:eastAsia="zh-CN"/>
              </w:rPr>
              <w:t>非</w:t>
            </w:r>
            <w:r>
              <w:rPr>
                <w:rFonts w:hint="eastAsia" w:ascii="Times New Roman" w:hAnsi="Times New Roman"/>
                <w:color w:val="auto"/>
                <w:kern w:val="0"/>
                <w:szCs w:val="21"/>
                <w:highlight w:val="none"/>
                <w:lang w:val="en-US" w:eastAsia="zh-CN"/>
              </w:rPr>
              <w:t>回用）</w:t>
            </w:r>
          </w:p>
        </w:tc>
        <w:tc>
          <w:tcPr>
            <w:tcW w:w="1184" w:type="dxa"/>
            <w:noWrap w:val="0"/>
            <w:vAlign w:val="center"/>
          </w:tcPr>
          <w:p w14:paraId="5A8C0D99">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4</w:t>
            </w:r>
          </w:p>
        </w:tc>
        <w:tc>
          <w:tcPr>
            <w:tcW w:w="1233" w:type="dxa"/>
            <w:noWrap w:val="0"/>
            <w:vAlign w:val="center"/>
          </w:tcPr>
          <w:p w14:paraId="4E181CB3">
            <w:pPr>
              <w:widowControl/>
              <w:jc w:val="center"/>
              <w:textAlignment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10</w:t>
            </w:r>
            <w:r>
              <w:rPr>
                <w:rFonts w:hint="eastAsia" w:ascii="Times New Roman" w:hAnsi="Times New Roman"/>
                <w:color w:val="auto"/>
                <w:kern w:val="0"/>
                <w:szCs w:val="21"/>
                <w:highlight w:val="none"/>
                <w:vertAlign w:val="superscript"/>
                <w:lang w:val="en-US" w:eastAsia="zh-CN"/>
              </w:rPr>
              <w:t>4</w:t>
            </w:r>
          </w:p>
        </w:tc>
        <w:tc>
          <w:tcPr>
            <w:tcW w:w="1133" w:type="dxa"/>
            <w:noWrap w:val="0"/>
            <w:vAlign w:val="center"/>
          </w:tcPr>
          <w:p w14:paraId="4F3C8F86">
            <w:pPr>
              <w:widowControl/>
              <w:jc w:val="center"/>
              <w:textAlignment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w:t>
            </w:r>
          </w:p>
        </w:tc>
      </w:tr>
      <w:tr w14:paraId="5884B1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37" w:type="dxa"/>
            <w:gridSpan w:val="7"/>
            <w:noWrap w:val="0"/>
            <w:vAlign w:val="center"/>
          </w:tcPr>
          <w:p w14:paraId="524862DF">
            <w:pPr>
              <w:widowControl/>
              <w:jc w:val="both"/>
              <w:textAlignment w:val="center"/>
              <w:rPr>
                <w:rFonts w:hint="eastAsia" w:ascii="Times New Roman" w:hAnsi="Times New Roman"/>
                <w:color w:val="auto"/>
                <w:kern w:val="0"/>
                <w:sz w:val="18"/>
                <w:szCs w:val="18"/>
                <w:highlight w:val="none"/>
                <w:lang w:val="en-US" w:eastAsia="zh-CN"/>
              </w:rPr>
            </w:pPr>
            <w:r>
              <w:rPr>
                <w:rFonts w:hint="eastAsia" w:ascii="Times New Roman" w:hAnsi="Times New Roman"/>
                <w:color w:val="auto"/>
                <w:kern w:val="0"/>
                <w:sz w:val="18"/>
                <w:szCs w:val="18"/>
                <w:highlight w:val="none"/>
                <w:lang w:val="en-US" w:eastAsia="zh-CN"/>
              </w:rPr>
              <w:t>注：</w:t>
            </w:r>
            <w:r>
              <w:rPr>
                <w:rFonts w:hint="eastAsia" w:ascii="宋体" w:hAnsi="宋体" w:eastAsia="宋体" w:cs="宋体"/>
                <w:color w:val="auto"/>
                <w:kern w:val="2"/>
                <w:sz w:val="18"/>
                <w:szCs w:val="18"/>
                <w:highlight w:val="none"/>
                <w:lang w:val="en-US" w:eastAsia="zh-CN" w:bidi="ar-SA"/>
              </w:rPr>
              <w:t>①</w:t>
            </w:r>
            <w:r>
              <w:rPr>
                <w:rFonts w:hint="eastAsia" w:ascii="Times New Roman" w:hAnsi="Times New Roman"/>
                <w:color w:val="auto"/>
                <w:kern w:val="0"/>
                <w:sz w:val="18"/>
                <w:szCs w:val="18"/>
                <w:highlight w:val="none"/>
                <w:lang w:val="en-US" w:eastAsia="zh-CN"/>
              </w:rPr>
              <w:t>下列情况下按去除率指标执行：当进水COD大于350mg/L时，去除率应大于60%；BOD大于160mg/L时，去除率应大于50%。</w:t>
            </w:r>
          </w:p>
          <w:p w14:paraId="2712DD65">
            <w:pPr>
              <w:widowControl/>
              <w:jc w:val="both"/>
              <w:textAlignment w:val="center"/>
              <w:rPr>
                <w:rFonts w:hint="eastAsia" w:ascii="Times New Roman" w:hAnsi="Times New Roman"/>
                <w:color w:val="auto"/>
                <w:kern w:val="0"/>
                <w:sz w:val="18"/>
                <w:szCs w:val="18"/>
                <w:highlight w:val="none"/>
                <w:lang w:val="en-US" w:eastAsia="zh-CN"/>
              </w:rPr>
            </w:pPr>
            <w:r>
              <w:rPr>
                <w:rFonts w:hint="default" w:ascii="Times New Roman" w:hAnsi="Times New Roman" w:eastAsia="宋体" w:cs="Times New Roman"/>
                <w:color w:val="auto"/>
                <w:kern w:val="2"/>
                <w:sz w:val="18"/>
                <w:szCs w:val="18"/>
                <w:highlight w:val="none"/>
                <w:lang w:val="en-US" w:eastAsia="zh-CN" w:bidi="ar-SA"/>
              </w:rPr>
              <w:t>②</w:t>
            </w:r>
            <w:r>
              <w:rPr>
                <w:rFonts w:hint="eastAsia" w:ascii="Times New Roman" w:hAnsi="Times New Roman"/>
                <w:color w:val="auto"/>
                <w:kern w:val="0"/>
                <w:sz w:val="18"/>
                <w:szCs w:val="18"/>
                <w:highlight w:val="none"/>
                <w:lang w:val="en-US" w:eastAsia="zh-CN"/>
              </w:rPr>
              <w:t>括号外数值为水温&gt;12°C时的控制指标，括号内数值为水温≤12°C时的控制指标。</w:t>
            </w:r>
          </w:p>
          <w:p w14:paraId="31FF7770">
            <w:pPr>
              <w:widowControl/>
              <w:jc w:val="both"/>
              <w:textAlignment w:val="center"/>
              <w:rPr>
                <w:rFonts w:hint="eastAsia" w:ascii="Times New Roman" w:hAnsi="Times New Roman"/>
                <w:color w:val="auto"/>
                <w:kern w:val="0"/>
                <w:szCs w:val="21"/>
                <w:highlight w:val="none"/>
                <w:lang w:val="en-US" w:eastAsia="zh-CN"/>
              </w:rPr>
            </w:pPr>
            <w:r>
              <w:rPr>
                <w:rFonts w:hint="eastAsia" w:ascii="宋体" w:hAnsi="宋体" w:eastAsia="宋体" w:cs="宋体"/>
                <w:color w:val="auto"/>
                <w:kern w:val="0"/>
                <w:sz w:val="18"/>
                <w:szCs w:val="18"/>
                <w:highlight w:val="none"/>
                <w:lang w:val="en-US" w:eastAsia="zh-CN"/>
              </w:rPr>
              <w:t>③</w:t>
            </w:r>
            <w:r>
              <w:rPr>
                <w:rFonts w:hint="eastAsia" w:ascii="Times New Roman" w:hAnsi="Times New Roman"/>
                <w:color w:val="auto"/>
                <w:kern w:val="0"/>
                <w:sz w:val="18"/>
                <w:szCs w:val="18"/>
                <w:highlight w:val="none"/>
                <w:lang w:val="en-US" w:eastAsia="zh-CN"/>
              </w:rPr>
              <w:t>2005年12月31日前建设的城镇污水处理厂，自2028年1月1日起，执行2006年1月1日起建设的城镇污水处理厂的排放限值。</w:t>
            </w:r>
          </w:p>
        </w:tc>
      </w:tr>
    </w:tbl>
    <w:p w14:paraId="5828910A">
      <w:pPr>
        <w:pStyle w:val="4"/>
        <w:keepNext/>
        <w:keepLines/>
        <w:numPr>
          <w:ilvl w:val="1"/>
          <w:numId w:val="6"/>
        </w:numPr>
        <w:tabs>
          <w:tab w:val="left" w:pos="210"/>
          <w:tab w:val="clear" w:pos="42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14" w:name="_Toc3864"/>
      <w:r>
        <w:rPr>
          <w:rFonts w:hint="default" w:ascii="Times New Roman" w:hAnsi="Times New Roman" w:eastAsia="宋体" w:cs="Times New Roman"/>
          <w:color w:val="auto"/>
          <w:kern w:val="2"/>
          <w:sz w:val="24"/>
          <w:szCs w:val="32"/>
          <w:highlight w:val="none"/>
          <w:lang w:val="en-US" w:eastAsia="zh-CN"/>
        </w:rPr>
        <w:t>评价等级与评价范围</w:t>
      </w:r>
      <w:bookmarkEnd w:id="114"/>
    </w:p>
    <w:p w14:paraId="0DA6FAD7">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5" w:name="_Toc27955"/>
      <w:r>
        <w:rPr>
          <w:rFonts w:hint="default" w:ascii="Times New Roman" w:hAnsi="Times New Roman" w:cs="Times New Roman"/>
          <w:color w:val="auto"/>
          <w:sz w:val="24"/>
          <w:szCs w:val="40"/>
          <w:highlight w:val="none"/>
          <w:lang w:val="en-US" w:eastAsia="zh-CN"/>
        </w:rPr>
        <w:t>评价等级</w:t>
      </w:r>
      <w:bookmarkEnd w:id="115"/>
    </w:p>
    <w:p w14:paraId="45FDE55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根据《环境影响评价技术导则 </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地表水环境》（HJ2.3-2018）的规定，建设项目地表水评价等级判定见下表。</w:t>
      </w:r>
    </w:p>
    <w:p w14:paraId="04D61A60">
      <w:pPr>
        <w:pStyle w:val="12"/>
        <w:keepNext/>
        <w:ind w:firstLine="422"/>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default" w:ascii="Times New Roman" w:hAnsi="Times New Roman" w:cs="Times New Roman"/>
          <w:b/>
          <w:bCs/>
          <w:color w:val="auto"/>
          <w:highlight w:val="none"/>
          <w:lang w:val="en-US" w:eastAsia="zh-CN"/>
        </w:rPr>
        <w:t>1.3-1</w:t>
      </w:r>
      <w:r>
        <w:rPr>
          <w:rFonts w:hint="default" w:ascii="Times New Roman" w:hAnsi="Times New Roman" w:cs="Times New Roman"/>
          <w:b/>
          <w:bCs/>
          <w:color w:val="auto"/>
          <w:highlight w:val="none"/>
        </w:rPr>
        <w:t xml:space="preserve">  建设项目地表水评价等级判定</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76"/>
        <w:gridCol w:w="1908"/>
        <w:gridCol w:w="5220"/>
      </w:tblGrid>
      <w:tr w14:paraId="67623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809" w:type="pct"/>
            <w:vMerge w:val="restart"/>
            <w:tcBorders>
              <w:tl2br w:val="nil"/>
              <w:tr2bl w:val="nil"/>
            </w:tcBorders>
            <w:noWrap w:val="0"/>
            <w:vAlign w:val="center"/>
          </w:tcPr>
          <w:p w14:paraId="1525B038">
            <w:pPr>
              <w:spacing w:before="48" w:beforeLines="20" w:after="48" w:afterLines="20" w:line="240" w:lineRule="auto"/>
              <w:ind w:firstLine="0" w:firstLineChars="0"/>
              <w:jc w:val="center"/>
              <w:rPr>
                <w:rFonts w:hint="default" w:ascii="Times New Roman" w:hAnsi="Times New Roman" w:cs="Times New Roman"/>
                <w:b w:val="0"/>
                <w:bCs w:val="0"/>
                <w:color w:val="auto"/>
                <w:sz w:val="21"/>
                <w:szCs w:val="18"/>
                <w:highlight w:val="none"/>
              </w:rPr>
            </w:pPr>
            <w:r>
              <w:rPr>
                <w:rFonts w:hint="default" w:ascii="Times New Roman" w:hAnsi="Times New Roman" w:cs="Times New Roman"/>
                <w:b w:val="0"/>
                <w:bCs w:val="0"/>
                <w:color w:val="auto"/>
                <w:sz w:val="21"/>
                <w:szCs w:val="18"/>
                <w:highlight w:val="none"/>
              </w:rPr>
              <w:t>评价等级</w:t>
            </w:r>
          </w:p>
        </w:tc>
        <w:tc>
          <w:tcPr>
            <w:tcW w:w="4191" w:type="pct"/>
            <w:gridSpan w:val="2"/>
            <w:tcBorders>
              <w:tl2br w:val="nil"/>
              <w:tr2bl w:val="nil"/>
            </w:tcBorders>
            <w:noWrap w:val="0"/>
            <w:vAlign w:val="center"/>
          </w:tcPr>
          <w:p w14:paraId="671EA291">
            <w:pPr>
              <w:spacing w:before="60" w:beforeLines="25" w:after="60" w:afterLines="25" w:line="240" w:lineRule="auto"/>
              <w:ind w:firstLine="0" w:firstLineChars="0"/>
              <w:jc w:val="center"/>
              <w:rPr>
                <w:rFonts w:hint="default" w:ascii="Times New Roman" w:hAnsi="Times New Roman" w:cs="Times New Roman"/>
                <w:b w:val="0"/>
                <w:bCs w:val="0"/>
                <w:color w:val="auto"/>
                <w:sz w:val="21"/>
                <w:szCs w:val="18"/>
                <w:highlight w:val="none"/>
              </w:rPr>
            </w:pPr>
            <w:r>
              <w:rPr>
                <w:rFonts w:hint="default" w:ascii="Times New Roman" w:hAnsi="Times New Roman" w:cs="Times New Roman"/>
                <w:b w:val="0"/>
                <w:bCs w:val="0"/>
                <w:color w:val="auto"/>
                <w:sz w:val="21"/>
                <w:szCs w:val="18"/>
                <w:highlight w:val="none"/>
              </w:rPr>
              <w:t>判定依据</w:t>
            </w:r>
          </w:p>
        </w:tc>
      </w:tr>
      <w:tr w14:paraId="1B1E8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809" w:type="pct"/>
            <w:vMerge w:val="continue"/>
            <w:tcBorders>
              <w:tl2br w:val="nil"/>
              <w:tr2bl w:val="nil"/>
            </w:tcBorders>
            <w:noWrap w:val="0"/>
            <w:vAlign w:val="center"/>
          </w:tcPr>
          <w:p w14:paraId="7D6CA09C">
            <w:pPr>
              <w:spacing w:before="48" w:beforeLines="20" w:after="48" w:afterLines="20" w:line="240" w:lineRule="auto"/>
              <w:ind w:firstLine="0" w:firstLineChars="0"/>
              <w:jc w:val="center"/>
              <w:rPr>
                <w:rFonts w:hint="default" w:ascii="Times New Roman" w:hAnsi="Times New Roman" w:cs="Times New Roman"/>
                <w:b w:val="0"/>
                <w:bCs w:val="0"/>
                <w:color w:val="auto"/>
                <w:sz w:val="21"/>
                <w:szCs w:val="18"/>
                <w:highlight w:val="none"/>
              </w:rPr>
            </w:pPr>
          </w:p>
        </w:tc>
        <w:tc>
          <w:tcPr>
            <w:tcW w:w="1122" w:type="pct"/>
            <w:tcBorders>
              <w:tl2br w:val="nil"/>
              <w:tr2bl w:val="nil"/>
            </w:tcBorders>
            <w:noWrap w:val="0"/>
            <w:vAlign w:val="center"/>
          </w:tcPr>
          <w:p w14:paraId="1F20097B">
            <w:pPr>
              <w:spacing w:before="60" w:beforeLines="25" w:after="60" w:afterLines="25" w:line="240" w:lineRule="auto"/>
              <w:ind w:firstLine="0" w:firstLineChars="0"/>
              <w:jc w:val="center"/>
              <w:rPr>
                <w:rFonts w:hint="default" w:ascii="Times New Roman" w:hAnsi="Times New Roman" w:cs="Times New Roman"/>
                <w:b w:val="0"/>
                <w:bCs w:val="0"/>
                <w:color w:val="auto"/>
                <w:sz w:val="21"/>
                <w:szCs w:val="18"/>
                <w:highlight w:val="none"/>
              </w:rPr>
            </w:pPr>
            <w:r>
              <w:rPr>
                <w:rFonts w:hint="default" w:ascii="Times New Roman" w:hAnsi="Times New Roman" w:cs="Times New Roman"/>
                <w:b w:val="0"/>
                <w:bCs w:val="0"/>
                <w:color w:val="auto"/>
                <w:sz w:val="21"/>
                <w:szCs w:val="18"/>
                <w:highlight w:val="none"/>
              </w:rPr>
              <w:t>排放方式</w:t>
            </w:r>
          </w:p>
        </w:tc>
        <w:tc>
          <w:tcPr>
            <w:tcW w:w="3069" w:type="pct"/>
            <w:tcBorders>
              <w:tl2br w:val="nil"/>
              <w:tr2bl w:val="nil"/>
            </w:tcBorders>
            <w:noWrap w:val="0"/>
            <w:vAlign w:val="center"/>
          </w:tcPr>
          <w:p w14:paraId="2548A085">
            <w:pPr>
              <w:spacing w:before="60" w:beforeLines="25" w:after="60" w:afterLines="25" w:line="240" w:lineRule="auto"/>
              <w:ind w:firstLine="0" w:firstLineChars="0"/>
              <w:jc w:val="center"/>
              <w:rPr>
                <w:rFonts w:hint="default" w:ascii="Times New Roman" w:hAnsi="Times New Roman" w:cs="Times New Roman"/>
                <w:b w:val="0"/>
                <w:bCs w:val="0"/>
                <w:color w:val="auto"/>
                <w:sz w:val="21"/>
                <w:szCs w:val="18"/>
                <w:highlight w:val="none"/>
              </w:rPr>
            </w:pPr>
            <w:r>
              <w:rPr>
                <w:rFonts w:hint="default" w:ascii="Times New Roman" w:hAnsi="Times New Roman" w:cs="Times New Roman"/>
                <w:b w:val="0"/>
                <w:bCs w:val="0"/>
                <w:color w:val="auto"/>
                <w:sz w:val="21"/>
                <w:szCs w:val="18"/>
                <w:highlight w:val="none"/>
              </w:rPr>
              <w:t>废水排放量Q/（m</w:t>
            </w:r>
            <w:r>
              <w:rPr>
                <w:rFonts w:hint="default" w:ascii="Times New Roman" w:hAnsi="Times New Roman" w:cs="Times New Roman"/>
                <w:b w:val="0"/>
                <w:bCs w:val="0"/>
                <w:color w:val="auto"/>
                <w:sz w:val="21"/>
                <w:szCs w:val="18"/>
                <w:highlight w:val="none"/>
                <w:vertAlign w:val="superscript"/>
              </w:rPr>
              <w:t>3</w:t>
            </w:r>
            <w:r>
              <w:rPr>
                <w:rFonts w:hint="default" w:ascii="Times New Roman" w:hAnsi="Times New Roman" w:cs="Times New Roman"/>
                <w:b w:val="0"/>
                <w:bCs w:val="0"/>
                <w:color w:val="auto"/>
                <w:sz w:val="21"/>
                <w:szCs w:val="18"/>
                <w:highlight w:val="none"/>
              </w:rPr>
              <w:t>/d）；水污染物当量数W/（无量纲）</w:t>
            </w:r>
          </w:p>
        </w:tc>
      </w:tr>
      <w:tr w14:paraId="20A23F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09" w:type="pct"/>
            <w:tcBorders>
              <w:tl2br w:val="nil"/>
              <w:tr2bl w:val="nil"/>
            </w:tcBorders>
            <w:noWrap w:val="0"/>
            <w:vAlign w:val="center"/>
          </w:tcPr>
          <w:p w14:paraId="28DAA666">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一级</w:t>
            </w:r>
          </w:p>
        </w:tc>
        <w:tc>
          <w:tcPr>
            <w:tcW w:w="1122" w:type="pct"/>
            <w:tcBorders>
              <w:tl2br w:val="nil"/>
              <w:tr2bl w:val="nil"/>
            </w:tcBorders>
            <w:noWrap w:val="0"/>
            <w:vAlign w:val="center"/>
          </w:tcPr>
          <w:p w14:paraId="6351B937">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直接排放</w:t>
            </w:r>
          </w:p>
        </w:tc>
        <w:tc>
          <w:tcPr>
            <w:tcW w:w="3069" w:type="pct"/>
            <w:tcBorders>
              <w:tl2br w:val="nil"/>
              <w:tr2bl w:val="nil"/>
            </w:tcBorders>
            <w:noWrap w:val="0"/>
            <w:vAlign w:val="center"/>
          </w:tcPr>
          <w:p w14:paraId="68BFA1A8">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Q≥20000或W≥600000</w:t>
            </w:r>
          </w:p>
        </w:tc>
      </w:tr>
      <w:tr w14:paraId="5670BB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809" w:type="pct"/>
            <w:tcBorders>
              <w:tl2br w:val="nil"/>
              <w:tr2bl w:val="nil"/>
            </w:tcBorders>
            <w:noWrap w:val="0"/>
            <w:vAlign w:val="center"/>
          </w:tcPr>
          <w:p w14:paraId="1E42C424">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二级</w:t>
            </w:r>
          </w:p>
        </w:tc>
        <w:tc>
          <w:tcPr>
            <w:tcW w:w="1122" w:type="pct"/>
            <w:tcBorders>
              <w:tl2br w:val="nil"/>
              <w:tr2bl w:val="nil"/>
            </w:tcBorders>
            <w:noWrap w:val="0"/>
            <w:vAlign w:val="center"/>
          </w:tcPr>
          <w:p w14:paraId="0CE2070A">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直接排放</w:t>
            </w:r>
          </w:p>
        </w:tc>
        <w:tc>
          <w:tcPr>
            <w:tcW w:w="3069" w:type="pct"/>
            <w:tcBorders>
              <w:tl2br w:val="nil"/>
              <w:tr2bl w:val="nil"/>
            </w:tcBorders>
            <w:noWrap w:val="0"/>
            <w:vAlign w:val="center"/>
          </w:tcPr>
          <w:p w14:paraId="7E04A89D">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其他</w:t>
            </w:r>
          </w:p>
        </w:tc>
      </w:tr>
      <w:tr w14:paraId="13F30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09" w:type="pct"/>
            <w:tcBorders>
              <w:tl2br w:val="nil"/>
              <w:tr2bl w:val="nil"/>
            </w:tcBorders>
            <w:noWrap w:val="0"/>
            <w:vAlign w:val="center"/>
          </w:tcPr>
          <w:p w14:paraId="5898A51D">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三级A</w:t>
            </w:r>
          </w:p>
        </w:tc>
        <w:tc>
          <w:tcPr>
            <w:tcW w:w="1122" w:type="pct"/>
            <w:tcBorders>
              <w:tl2br w:val="nil"/>
              <w:tr2bl w:val="nil"/>
            </w:tcBorders>
            <w:noWrap w:val="0"/>
            <w:vAlign w:val="center"/>
          </w:tcPr>
          <w:p w14:paraId="1A15232D">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直接排放</w:t>
            </w:r>
          </w:p>
        </w:tc>
        <w:tc>
          <w:tcPr>
            <w:tcW w:w="3069" w:type="pct"/>
            <w:tcBorders>
              <w:tl2br w:val="nil"/>
              <w:tr2bl w:val="nil"/>
            </w:tcBorders>
            <w:noWrap w:val="0"/>
            <w:vAlign w:val="center"/>
          </w:tcPr>
          <w:p w14:paraId="3DCF63B5">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Q&lt;200且W&lt;6000</w:t>
            </w:r>
          </w:p>
        </w:tc>
      </w:tr>
      <w:tr w14:paraId="421F4B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809" w:type="pct"/>
            <w:tcBorders>
              <w:tl2br w:val="nil"/>
              <w:tr2bl w:val="nil"/>
            </w:tcBorders>
            <w:noWrap w:val="0"/>
            <w:vAlign w:val="center"/>
          </w:tcPr>
          <w:p w14:paraId="714B91D4">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三级B</w:t>
            </w:r>
          </w:p>
        </w:tc>
        <w:tc>
          <w:tcPr>
            <w:tcW w:w="1122" w:type="pct"/>
            <w:tcBorders>
              <w:tl2br w:val="nil"/>
              <w:tr2bl w:val="nil"/>
            </w:tcBorders>
            <w:noWrap w:val="0"/>
            <w:vAlign w:val="center"/>
          </w:tcPr>
          <w:p w14:paraId="1BC4D7C9">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间接排放</w:t>
            </w:r>
          </w:p>
        </w:tc>
        <w:tc>
          <w:tcPr>
            <w:tcW w:w="3069" w:type="pct"/>
            <w:tcBorders>
              <w:tl2br w:val="nil"/>
              <w:tr2bl w:val="nil"/>
            </w:tcBorders>
            <w:noWrap w:val="0"/>
            <w:vAlign w:val="center"/>
          </w:tcPr>
          <w:p w14:paraId="517D3D16">
            <w:pPr>
              <w:spacing w:before="60" w:beforeLines="25" w:after="60" w:afterLines="25" w:line="240" w:lineRule="auto"/>
              <w:ind w:firstLine="0" w:firstLineChars="0"/>
              <w:jc w:val="center"/>
              <w:rPr>
                <w:rFonts w:hint="default" w:ascii="Times New Roman" w:hAnsi="Times New Roman" w:cs="Times New Roman"/>
                <w:color w:val="auto"/>
                <w:sz w:val="21"/>
                <w:szCs w:val="18"/>
                <w:highlight w:val="none"/>
              </w:rPr>
            </w:pPr>
            <w:r>
              <w:rPr>
                <w:rFonts w:hint="default" w:ascii="Times New Roman" w:hAnsi="Times New Roman" w:cs="Times New Roman"/>
                <w:color w:val="auto"/>
                <w:sz w:val="21"/>
                <w:szCs w:val="18"/>
                <w:highlight w:val="none"/>
              </w:rPr>
              <w:t>--</w:t>
            </w:r>
          </w:p>
        </w:tc>
      </w:tr>
      <w:tr w14:paraId="5C42B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000" w:type="pct"/>
            <w:gridSpan w:val="3"/>
            <w:tcBorders>
              <w:tl2br w:val="nil"/>
              <w:tr2bl w:val="nil"/>
            </w:tcBorders>
            <w:noWrap w:val="0"/>
            <w:vAlign w:val="center"/>
          </w:tcPr>
          <w:p w14:paraId="2E2E5521">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0103B1F8">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545493C4">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注3：厂区存在堆积物（露天堆放的原料、燃料、废渣等以及垃圾堆放场）、降尘污染的，应将初期雨污水纳入废水排放量，相应的主要污染物纳入水污染当量计算。</w:t>
            </w:r>
          </w:p>
          <w:p w14:paraId="5B1F9649">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注4：建设项目直接排放第一类污染物的，其评价等级为一级；建设项目直接排放的污染物为受纳水体超标因子的，评价等级不低于二级。</w:t>
            </w:r>
          </w:p>
          <w:p w14:paraId="7EE14867">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注5：直接排放受纳水体影响范围涉及饮用水水源保护区、饮用水取水口、重点保护与珍稀水生生物的栖息地、重要水生生物的自然产卵场等保护目标时，评价等级不低于二级。</w:t>
            </w:r>
          </w:p>
          <w:p w14:paraId="7D3EA5FB">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注6：建设项目向河流、湖库排放温排水引起受纳水体水温变化超过水环境质量标准要求，且评价范围有水温敏感目标时，评价等级为一级。</w:t>
            </w:r>
          </w:p>
          <w:p w14:paraId="43F6678C">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注7：建设项目利用海水作为调节温度介质，排水量≥500万m</w:t>
            </w:r>
            <w:r>
              <w:rPr>
                <w:rFonts w:hint="default" w:ascii="Times New Roman" w:hAnsi="Times New Roman" w:eastAsia="宋体" w:cs="Times New Roman"/>
                <w:color w:val="auto"/>
                <w:sz w:val="20"/>
                <w:szCs w:val="16"/>
                <w:highlight w:val="none"/>
                <w:vertAlign w:val="superscript"/>
              </w:rPr>
              <w:t>3</w:t>
            </w:r>
            <w:r>
              <w:rPr>
                <w:rFonts w:hint="default" w:ascii="Times New Roman" w:hAnsi="Times New Roman" w:eastAsia="宋体" w:cs="Times New Roman"/>
                <w:color w:val="auto"/>
                <w:sz w:val="20"/>
                <w:szCs w:val="16"/>
                <w:highlight w:val="none"/>
              </w:rPr>
              <w:t>/d，评价等级为一级；排水量＜500万m</w:t>
            </w:r>
            <w:r>
              <w:rPr>
                <w:rFonts w:hint="default" w:ascii="Times New Roman" w:hAnsi="Times New Roman" w:eastAsia="宋体" w:cs="Times New Roman"/>
                <w:color w:val="auto"/>
                <w:sz w:val="20"/>
                <w:szCs w:val="16"/>
                <w:highlight w:val="none"/>
                <w:vertAlign w:val="superscript"/>
              </w:rPr>
              <w:t>3</w:t>
            </w:r>
            <w:r>
              <w:rPr>
                <w:rFonts w:hint="default" w:ascii="Times New Roman" w:hAnsi="Times New Roman" w:eastAsia="宋体" w:cs="Times New Roman"/>
                <w:color w:val="auto"/>
                <w:sz w:val="20"/>
                <w:szCs w:val="16"/>
                <w:highlight w:val="none"/>
              </w:rPr>
              <w:t>/d，评价等级为二级。</w:t>
            </w:r>
          </w:p>
          <w:p w14:paraId="731C4FB5">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注8：仅涉及清净下水排放的，如其排放水质满足受纳水体水环境质量标准要求的，评价等级为三级A。</w:t>
            </w:r>
          </w:p>
          <w:p w14:paraId="145C1FFD">
            <w:pPr>
              <w:spacing w:before="60" w:beforeLines="25" w:after="60" w:afterLines="25" w:line="240" w:lineRule="auto"/>
              <w:ind w:firstLine="0" w:firstLineChars="0"/>
              <w:jc w:val="both"/>
              <w:rPr>
                <w:rFonts w:hint="default" w:ascii="Times New Roman" w:hAnsi="Times New Roman" w:eastAsia="宋体" w:cs="Times New Roman"/>
                <w:color w:val="auto"/>
                <w:sz w:val="20"/>
                <w:szCs w:val="16"/>
                <w:highlight w:val="none"/>
              </w:rPr>
            </w:pPr>
            <w:r>
              <w:rPr>
                <w:rFonts w:hint="default" w:ascii="Times New Roman" w:hAnsi="Times New Roman" w:eastAsia="宋体" w:cs="Times New Roman"/>
                <w:color w:val="auto"/>
                <w:sz w:val="20"/>
                <w:szCs w:val="16"/>
                <w:highlight w:val="none"/>
              </w:rPr>
              <w:t>注9：依托现有排放口，且对外环境未新增排放污染物的直接排放建设项目，评价等级参照间接排放，定为三级B。</w:t>
            </w:r>
          </w:p>
          <w:p w14:paraId="1094E825">
            <w:pPr>
              <w:spacing w:before="60" w:beforeLines="25" w:after="60" w:afterLines="25" w:line="240" w:lineRule="auto"/>
              <w:ind w:firstLine="0" w:firstLineChars="0"/>
              <w:jc w:val="both"/>
              <w:rPr>
                <w:rFonts w:hint="default" w:ascii="Times New Roman" w:hAnsi="Times New Roman" w:cs="Times New Roman"/>
                <w:color w:val="auto"/>
                <w:sz w:val="21"/>
                <w:szCs w:val="18"/>
                <w:highlight w:val="none"/>
              </w:rPr>
            </w:pPr>
            <w:r>
              <w:rPr>
                <w:rFonts w:hint="default" w:ascii="Times New Roman" w:hAnsi="Times New Roman" w:eastAsia="宋体" w:cs="Times New Roman"/>
                <w:color w:val="auto"/>
                <w:sz w:val="20"/>
                <w:szCs w:val="16"/>
                <w:highlight w:val="none"/>
              </w:rPr>
              <w:t>注10：建设项目生产工艺中有废水产生，但作为回水利用，不排放到外环境的，按三级B评价。</w:t>
            </w:r>
          </w:p>
        </w:tc>
      </w:tr>
    </w:tbl>
    <w:p w14:paraId="7F165CE1">
      <w:pPr>
        <w:spacing w:line="360" w:lineRule="auto"/>
        <w:ind w:firstLine="480" w:firstLineChars="200"/>
        <w:rPr>
          <w:rFonts w:hint="eastAsia"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本项目入河排污口论证报告</w:t>
      </w:r>
      <w:r>
        <w:rPr>
          <w:rFonts w:hint="eastAsia" w:cs="Times New Roman"/>
          <w:color w:val="auto"/>
          <w:sz w:val="24"/>
          <w:szCs w:val="24"/>
          <w:highlight w:val="none"/>
          <w:lang w:val="en-US" w:eastAsia="zh-CN"/>
        </w:rPr>
        <w:t>已编制完成，</w:t>
      </w:r>
      <w:r>
        <w:rPr>
          <w:rFonts w:hint="default" w:ascii="Times New Roman" w:hAnsi="Times New Roman" w:eastAsia="宋体" w:cs="Times New Roman"/>
          <w:color w:val="auto"/>
          <w:sz w:val="24"/>
          <w:szCs w:val="24"/>
          <w:highlight w:val="none"/>
          <w:lang w:val="en-US" w:eastAsia="zh-CN"/>
        </w:rPr>
        <w:t>目前处于审批状态</w:t>
      </w:r>
      <w:r>
        <w:rPr>
          <w:rFonts w:hint="eastAsia" w:cs="Times New Roman"/>
          <w:color w:val="auto"/>
          <w:sz w:val="24"/>
          <w:szCs w:val="24"/>
          <w:highlight w:val="none"/>
          <w:lang w:val="en-US" w:eastAsia="zh-CN"/>
        </w:rPr>
        <w:t>。根据项目初步设计可知，污水处理厂处理规模为1500m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/d，</w:t>
      </w:r>
      <w:r>
        <w:rPr>
          <w:rFonts w:hint="default" w:ascii="Times New Roman" w:hAnsi="Times New Roman" w:eastAsia="宋体" w:cs="Times New Roman"/>
          <w:color w:val="auto"/>
          <w:sz w:val="24"/>
          <w:highlight w:val="none"/>
        </w:rPr>
        <w:t>尾水</w:t>
      </w:r>
      <w:r>
        <w:rPr>
          <w:rFonts w:hint="eastAsia" w:cs="Times New Roman"/>
          <w:color w:val="auto"/>
          <w:sz w:val="24"/>
          <w:highlight w:val="none"/>
          <w:lang w:eastAsia="zh-CN"/>
        </w:rPr>
        <w:t>满足</w:t>
      </w:r>
      <w:r>
        <w:rPr>
          <w:rFonts w:hint="default" w:ascii="Times New Roman" w:hAnsi="Times New Roman" w:eastAsia="宋体" w:cs="Times New Roman"/>
          <w:color w:val="auto"/>
          <w:sz w:val="24"/>
          <w:szCs w:val="24"/>
          <w:highlight w:val="none"/>
          <w:lang w:val="en-US" w:eastAsia="zh-CN"/>
        </w:rPr>
        <w:t>《城镇污水处理厂污染物排放标准》（GB18918-2002）表1中一级A标准和2025年修改单表4中瞬时值标准</w:t>
      </w:r>
      <w:r>
        <w:rPr>
          <w:rFonts w:hint="eastAsia" w:cs="Times New Roman"/>
          <w:color w:val="auto"/>
          <w:sz w:val="24"/>
          <w:szCs w:val="24"/>
          <w:highlight w:val="none"/>
          <w:lang w:val="en-US" w:eastAsia="zh-CN"/>
        </w:rPr>
        <w:t>后排入溢水河。</w:t>
      </w:r>
    </w:p>
    <w:p w14:paraId="40DE9C12">
      <w:pPr>
        <w:spacing w:line="360" w:lineRule="auto"/>
        <w:ind w:firstLine="480" w:firstLineChars="200"/>
        <w:rPr>
          <w:rFonts w:hint="eastAsia" w:cs="Times New Roman"/>
          <w:color w:val="auto"/>
          <w:sz w:val="24"/>
          <w:highlight w:val="none"/>
          <w:lang w:val="en-US" w:eastAsia="zh-CN"/>
        </w:rPr>
      </w:pPr>
      <w:r>
        <w:rPr>
          <w:rFonts w:hint="default" w:ascii="Times New Roman" w:hAnsi="Times New Roman" w:cs="Times New Roman"/>
          <w:color w:val="auto"/>
          <w:sz w:val="24"/>
          <w:highlight w:val="none"/>
          <w:lang w:eastAsia="zh-CN"/>
        </w:rPr>
        <w:t>项目废水排放量</w:t>
      </w:r>
      <w:r>
        <w:rPr>
          <w:rFonts w:hint="default" w:ascii="Times New Roman" w:hAnsi="Times New Roman" w:cs="Times New Roman"/>
          <w:color w:val="auto"/>
          <w:sz w:val="24"/>
          <w:highlight w:val="none"/>
          <w:lang w:val="en-US" w:eastAsia="zh-CN"/>
        </w:rPr>
        <w:t>Q=</w:t>
      </w:r>
      <w:r>
        <w:rPr>
          <w:rFonts w:hint="eastAsia" w:cs="Times New Roman"/>
          <w:color w:val="auto"/>
          <w:sz w:val="24"/>
          <w:highlight w:val="none"/>
          <w:lang w:val="en-US" w:eastAsia="zh-CN"/>
        </w:rPr>
        <w:t>1500</w:t>
      </w:r>
      <w:r>
        <w:rPr>
          <w:rFonts w:hint="default" w:ascii="Times New Roman" w:hAnsi="Times New Roman" w:cs="Times New Roman"/>
          <w:color w:val="auto"/>
          <w:sz w:val="24"/>
          <w:highlight w:val="none"/>
          <w:lang w:val="en-US" w:eastAsia="zh-CN"/>
        </w:rPr>
        <w:t>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/d，</w:t>
      </w:r>
      <w:r>
        <w:rPr>
          <w:rFonts w:hint="eastAsia" w:ascii="Times New Roman" w:hAnsi="Times New Roman" w:cs="Times New Roman"/>
          <w:color w:val="auto"/>
          <w:sz w:val="24"/>
          <w:highlight w:val="none"/>
        </w:rPr>
        <w:t>200</w:t>
      </w:r>
      <w:r>
        <w:rPr>
          <w:rFonts w:hint="default" w:ascii="Times New Roman" w:hAnsi="Times New Roman" w:cs="Times New Roman"/>
          <w:color w:val="auto"/>
          <w:sz w:val="24"/>
          <w:highlight w:val="none"/>
        </w:rPr>
        <w:t>&lt;</w:t>
      </w:r>
      <w:r>
        <w:rPr>
          <w:rFonts w:hint="eastAsia" w:ascii="Times New Roman" w:hAnsi="Times New Roman" w:cs="Times New Roman"/>
          <w:color w:val="auto"/>
          <w:sz w:val="24"/>
          <w:highlight w:val="none"/>
        </w:rPr>
        <w:t>Q</w:t>
      </w:r>
      <w:r>
        <w:rPr>
          <w:rFonts w:hint="default" w:ascii="Times New Roman" w:hAnsi="Times New Roman" w:cs="Times New Roman"/>
          <w:color w:val="auto"/>
          <w:sz w:val="24"/>
          <w:highlight w:val="none"/>
        </w:rPr>
        <w:t>&lt;</w:t>
      </w:r>
      <w:r>
        <w:rPr>
          <w:rFonts w:hint="eastAsia" w:ascii="Times New Roman" w:hAnsi="Times New Roman" w:cs="Times New Roman"/>
          <w:color w:val="auto"/>
          <w:sz w:val="24"/>
          <w:highlight w:val="none"/>
        </w:rPr>
        <w:t>200</w:t>
      </w:r>
      <w:r>
        <w:rPr>
          <w:rFonts w:hint="eastAsia" w:cs="Times New Roman"/>
          <w:color w:val="auto"/>
          <w:sz w:val="24"/>
          <w:highlight w:val="none"/>
          <w:lang w:val="en-US" w:eastAsia="zh-CN"/>
        </w:rPr>
        <w:t>00；COD共计排放量为547500</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1000</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50</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10</w:t>
      </w:r>
      <w:r>
        <w:rPr>
          <w:rFonts w:hint="eastAsia" w:cs="Times New Roman"/>
          <w:color w:val="auto"/>
          <w:sz w:val="24"/>
          <w:highlight w:val="none"/>
          <w:vertAlign w:val="superscript"/>
          <w:lang w:val="en-US" w:eastAsia="zh-CN"/>
        </w:rPr>
        <w:t>-9</w:t>
      </w:r>
      <w:r>
        <w:rPr>
          <w:rFonts w:hint="eastAsia" w:cs="Times New Roman"/>
          <w:color w:val="auto"/>
          <w:sz w:val="24"/>
          <w:highlight w:val="none"/>
          <w:lang w:val="en-US" w:eastAsia="zh-CN"/>
        </w:rPr>
        <w:t>=27.375t/a，经查询《环境影响评价技术导则 地表水环境》（HJ2.3-2018）附录A表A.2第二类水污染物污染当量值表，COD污染当量值为1kg，W（COD）=27375</w:t>
      </w:r>
      <w:r>
        <w:rPr>
          <w:rFonts w:hint="default" w:ascii="Times New Roman" w:hAnsi="Times New Roman" w:cs="Times New Roman"/>
          <w:color w:val="auto"/>
          <w:sz w:val="24"/>
          <w:highlight w:val="none"/>
        </w:rPr>
        <w:t>&lt;</w:t>
      </w:r>
      <w:r>
        <w:rPr>
          <w:rFonts w:hint="eastAsia" w:cs="Times New Roman"/>
          <w:color w:val="auto"/>
          <w:sz w:val="24"/>
          <w:highlight w:val="none"/>
          <w:lang w:val="en-US" w:eastAsia="zh-CN"/>
        </w:rPr>
        <w:t>600000。</w:t>
      </w:r>
    </w:p>
    <w:p w14:paraId="1963676F">
      <w:pPr>
        <w:spacing w:line="360" w:lineRule="auto"/>
        <w:ind w:firstLine="480" w:firstLineChars="200"/>
        <w:rPr>
          <w:color w:val="auto"/>
          <w:sz w:val="24"/>
          <w:highlight w:val="none"/>
        </w:rPr>
      </w:pPr>
      <w:r>
        <w:rPr>
          <w:rFonts w:hint="eastAsia"/>
          <w:color w:val="auto"/>
          <w:sz w:val="24"/>
          <w:highlight w:val="none"/>
          <w:lang w:eastAsia="zh-CN"/>
        </w:rPr>
        <w:t>综上，</w:t>
      </w:r>
      <w:r>
        <w:rPr>
          <w:rFonts w:hint="eastAsia"/>
          <w:color w:val="auto"/>
          <w:sz w:val="24"/>
          <w:highlight w:val="none"/>
        </w:rPr>
        <w:t>确定本次</w:t>
      </w:r>
      <w:r>
        <w:rPr>
          <w:rFonts w:hint="eastAsia"/>
          <w:color w:val="auto"/>
          <w:sz w:val="24"/>
          <w:highlight w:val="none"/>
          <w:lang w:eastAsia="zh-CN"/>
        </w:rPr>
        <w:t>地表水</w:t>
      </w:r>
      <w:r>
        <w:rPr>
          <w:rFonts w:hint="eastAsia"/>
          <w:color w:val="auto"/>
          <w:sz w:val="24"/>
          <w:highlight w:val="none"/>
        </w:rPr>
        <w:t>评价等级为二级。</w:t>
      </w:r>
    </w:p>
    <w:p w14:paraId="057E3EDA">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6" w:name="_Toc9896"/>
      <w:r>
        <w:rPr>
          <w:rFonts w:hint="default" w:ascii="Times New Roman" w:hAnsi="Times New Roman" w:cs="Times New Roman"/>
          <w:color w:val="auto"/>
          <w:sz w:val="24"/>
          <w:szCs w:val="40"/>
          <w:highlight w:val="none"/>
          <w:lang w:val="en-US" w:eastAsia="zh-CN"/>
        </w:rPr>
        <w:t>评价范围</w:t>
      </w:r>
      <w:bookmarkEnd w:id="116"/>
    </w:p>
    <w:p w14:paraId="502416E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项目评价工作等级为二级，评价范围取项目排水可能影响范围，</w:t>
      </w:r>
      <w:r>
        <w:rPr>
          <w:rFonts w:hint="default" w:ascii="Times New Roman" w:hAnsi="Times New Roman" w:eastAsia="宋体" w:cs="Times New Roman"/>
          <w:color w:val="auto"/>
          <w:sz w:val="24"/>
          <w:szCs w:val="24"/>
          <w:highlight w:val="none"/>
          <w:lang w:val="en-US" w:eastAsia="zh-CN"/>
        </w:rPr>
        <w:t>即谢村镇四〇五社区污水处理厂入河排污口</w:t>
      </w:r>
      <w:r>
        <w:rPr>
          <w:rFonts w:hint="eastAsia" w:cs="Times New Roman"/>
          <w:color w:val="auto"/>
          <w:sz w:val="24"/>
          <w:szCs w:val="24"/>
          <w:highlight w:val="none"/>
          <w:lang w:val="en-US" w:eastAsia="zh-CN"/>
        </w:rPr>
        <w:t>上游500m</w:t>
      </w:r>
      <w:r>
        <w:rPr>
          <w:rFonts w:hint="default" w:ascii="Times New Roman" w:hAnsi="Times New Roman" w:eastAsia="宋体" w:cs="Times New Roman"/>
          <w:color w:val="auto"/>
          <w:sz w:val="24"/>
          <w:szCs w:val="24"/>
          <w:highlight w:val="none"/>
          <w:lang w:val="en-US" w:eastAsia="zh-CN"/>
        </w:rPr>
        <w:t>至</w:t>
      </w:r>
      <w:r>
        <w:rPr>
          <w:rFonts w:hint="eastAsia" w:cs="Times New Roman"/>
          <w:color w:val="auto"/>
          <w:sz w:val="24"/>
          <w:szCs w:val="24"/>
          <w:highlight w:val="none"/>
          <w:lang w:val="en-US" w:eastAsia="zh-CN"/>
        </w:rPr>
        <w:t>溢水</w:t>
      </w:r>
      <w:r>
        <w:rPr>
          <w:rFonts w:hint="default" w:ascii="Times New Roman" w:hAnsi="Times New Roman" w:eastAsia="宋体" w:cs="Times New Roman"/>
          <w:color w:val="auto"/>
          <w:sz w:val="24"/>
          <w:szCs w:val="24"/>
          <w:highlight w:val="none"/>
          <w:lang w:val="en-US" w:eastAsia="zh-CN"/>
        </w:rPr>
        <w:t>河入汉江口</w:t>
      </w:r>
      <w:r>
        <w:rPr>
          <w:rFonts w:hint="eastAsia" w:cs="Times New Roman"/>
          <w:color w:val="auto"/>
          <w:sz w:val="24"/>
          <w:szCs w:val="24"/>
          <w:highlight w:val="none"/>
          <w:lang w:val="en-US" w:eastAsia="zh-CN"/>
        </w:rPr>
        <w:t>处</w:t>
      </w:r>
      <w:r>
        <w:rPr>
          <w:rFonts w:hint="default" w:ascii="Times New Roman" w:hAnsi="Times New Roman" w:eastAsia="宋体" w:cs="Times New Roman"/>
          <w:color w:val="auto"/>
          <w:sz w:val="24"/>
          <w:szCs w:val="24"/>
          <w:highlight w:val="none"/>
          <w:lang w:val="en-US" w:eastAsia="zh-CN"/>
        </w:rPr>
        <w:t>，河段长度约为</w:t>
      </w:r>
      <w:r>
        <w:rPr>
          <w:rFonts w:hint="eastAsia" w:cs="Times New Roman"/>
          <w:color w:val="auto"/>
          <w:sz w:val="24"/>
          <w:szCs w:val="24"/>
          <w:highlight w:val="none"/>
          <w:lang w:val="en-US" w:eastAsia="zh-CN"/>
        </w:rPr>
        <w:t>4.7</w:t>
      </w:r>
      <w:r>
        <w:rPr>
          <w:rFonts w:hint="default" w:ascii="Times New Roman" w:hAnsi="Times New Roman" w:eastAsia="宋体" w:cs="Times New Roman"/>
          <w:color w:val="auto"/>
          <w:sz w:val="24"/>
          <w:szCs w:val="24"/>
          <w:highlight w:val="none"/>
          <w:lang w:val="en-US" w:eastAsia="zh-CN"/>
        </w:rPr>
        <w:t>km。</w:t>
      </w:r>
    </w:p>
    <w:p w14:paraId="3C3827A9">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7" w:name="_Toc11881"/>
      <w:r>
        <w:rPr>
          <w:rFonts w:hint="default" w:ascii="Times New Roman" w:hAnsi="Times New Roman" w:cs="Times New Roman"/>
          <w:color w:val="auto"/>
          <w:sz w:val="24"/>
          <w:szCs w:val="40"/>
          <w:highlight w:val="none"/>
          <w:lang w:val="en-US" w:eastAsia="zh-CN"/>
        </w:rPr>
        <w:t>评价</w:t>
      </w:r>
      <w:r>
        <w:rPr>
          <w:rFonts w:hint="eastAsia" w:ascii="Times New Roman" w:hAnsi="Times New Roman" w:cs="Times New Roman"/>
          <w:color w:val="auto"/>
          <w:sz w:val="24"/>
          <w:szCs w:val="40"/>
          <w:highlight w:val="none"/>
          <w:lang w:val="en-US" w:eastAsia="zh-CN"/>
        </w:rPr>
        <w:t>时期</w:t>
      </w:r>
      <w:bookmarkEnd w:id="117"/>
    </w:p>
    <w:p w14:paraId="646F6F6F">
      <w:pPr>
        <w:spacing w:before="208" w:line="359" w:lineRule="auto"/>
        <w:ind w:left="86" w:right="80" w:firstLine="467"/>
        <w:rPr>
          <w:rFonts w:hint="default"/>
          <w:color w:val="auto"/>
          <w:highlight w:val="none"/>
        </w:rPr>
      </w:pPr>
      <w:r>
        <w:rPr>
          <w:rFonts w:ascii="宋体" w:hAnsi="宋体" w:eastAsia="宋体" w:cs="宋体"/>
          <w:color w:val="auto"/>
          <w:sz w:val="24"/>
          <w:szCs w:val="24"/>
          <w:highlight w:val="none"/>
        </w:rPr>
        <w:t>根据《环境影响评价技术导则  地表水环境》（</w:t>
      </w:r>
      <w:r>
        <w:rPr>
          <w:rFonts w:ascii="Times New Roman" w:hAnsi="Times New Roman" w:eastAsia="Times New Roman" w:cs="Times New Roman"/>
          <w:color w:val="auto"/>
          <w:sz w:val="24"/>
          <w:szCs w:val="24"/>
          <w:highlight w:val="none"/>
        </w:rPr>
        <w:t>HJ2.3-2018</w:t>
      </w:r>
      <w:r>
        <w:rPr>
          <w:rFonts w:ascii="宋体" w:hAnsi="宋体" w:eastAsia="宋体" w:cs="宋体"/>
          <w:color w:val="auto"/>
          <w:spacing w:val="6"/>
          <w:sz w:val="24"/>
          <w:szCs w:val="24"/>
          <w:highlight w:val="none"/>
        </w:rPr>
        <w:t>），</w:t>
      </w:r>
      <w:r>
        <w:rPr>
          <w:rFonts w:ascii="宋体" w:hAnsi="宋体" w:eastAsia="宋体" w:cs="宋体"/>
          <w:color w:val="auto"/>
          <w:sz w:val="24"/>
          <w:szCs w:val="24"/>
          <w:highlight w:val="none"/>
        </w:rPr>
        <w:t>本项目为水污染影</w:t>
      </w:r>
      <w:r>
        <w:rPr>
          <w:rFonts w:ascii="宋体" w:hAnsi="宋体" w:eastAsia="宋体" w:cs="宋体"/>
          <w:color w:val="auto"/>
          <w:spacing w:val="-2"/>
          <w:sz w:val="24"/>
          <w:szCs w:val="24"/>
          <w:highlight w:val="none"/>
        </w:rPr>
        <w:t>响型建设项目</w:t>
      </w:r>
      <w:r>
        <w:rPr>
          <w:rFonts w:hint="eastAsia" w:ascii="宋体" w:hAnsi="宋体" w:eastAsia="宋体" w:cs="宋体"/>
          <w:color w:val="auto"/>
          <w:spacing w:val="-2"/>
          <w:sz w:val="24"/>
          <w:szCs w:val="24"/>
          <w:highlight w:val="none"/>
          <w:lang w:eastAsia="zh-CN"/>
        </w:rPr>
        <w:t>，</w:t>
      </w:r>
      <w:r>
        <w:rPr>
          <w:rFonts w:ascii="宋体" w:hAnsi="宋体" w:eastAsia="宋体" w:cs="宋体"/>
          <w:color w:val="auto"/>
          <w:spacing w:val="-2"/>
          <w:sz w:val="24"/>
          <w:szCs w:val="24"/>
          <w:highlight w:val="none"/>
        </w:rPr>
        <w:t>评价等级为二级，受影响地表水体为</w:t>
      </w:r>
      <w:r>
        <w:rPr>
          <w:rFonts w:hint="eastAsia" w:ascii="宋体" w:hAnsi="宋体" w:eastAsia="宋体" w:cs="宋体"/>
          <w:color w:val="auto"/>
          <w:spacing w:val="-2"/>
          <w:sz w:val="24"/>
          <w:szCs w:val="24"/>
          <w:highlight w:val="none"/>
          <w:lang w:eastAsia="zh-CN"/>
        </w:rPr>
        <w:t>溢水</w:t>
      </w:r>
      <w:r>
        <w:rPr>
          <w:rFonts w:ascii="宋体" w:hAnsi="宋体" w:eastAsia="宋体" w:cs="宋体"/>
          <w:color w:val="auto"/>
          <w:spacing w:val="-2"/>
          <w:sz w:val="24"/>
          <w:szCs w:val="24"/>
          <w:highlight w:val="none"/>
        </w:rPr>
        <w:t>河，评价时期为丰水期和枯水期，</w:t>
      </w:r>
      <w:r>
        <w:rPr>
          <w:rFonts w:ascii="宋体" w:hAnsi="宋体" w:eastAsia="宋体" w:cs="宋体"/>
          <w:color w:val="auto"/>
          <w:spacing w:val="-1"/>
          <w:sz w:val="24"/>
          <w:szCs w:val="24"/>
          <w:highlight w:val="none"/>
        </w:rPr>
        <w:t>至少为枯水期，本次选择枯水期。</w:t>
      </w:r>
    </w:p>
    <w:p w14:paraId="35860C7D">
      <w:pPr>
        <w:pStyle w:val="4"/>
        <w:keepNext/>
        <w:keepLines/>
        <w:numPr>
          <w:ilvl w:val="1"/>
          <w:numId w:val="6"/>
        </w:numPr>
        <w:tabs>
          <w:tab w:val="left" w:pos="210"/>
          <w:tab w:val="clear" w:pos="42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18" w:name="_Toc11381"/>
      <w:r>
        <w:rPr>
          <w:rFonts w:hint="default" w:ascii="Times New Roman" w:hAnsi="Times New Roman" w:eastAsia="宋体" w:cs="Times New Roman"/>
          <w:color w:val="auto"/>
          <w:kern w:val="2"/>
          <w:sz w:val="24"/>
          <w:szCs w:val="32"/>
          <w:highlight w:val="none"/>
          <w:lang w:val="en-US" w:eastAsia="zh-CN"/>
        </w:rPr>
        <w:t>环境功能区划及环境敏感目标</w:t>
      </w:r>
      <w:bookmarkEnd w:id="118"/>
    </w:p>
    <w:p w14:paraId="41485469">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19" w:name="_Toc7511"/>
      <w:r>
        <w:rPr>
          <w:rFonts w:hint="default" w:ascii="Times New Roman" w:hAnsi="Times New Roman" w:cs="Times New Roman"/>
          <w:color w:val="auto"/>
          <w:sz w:val="24"/>
          <w:szCs w:val="40"/>
          <w:highlight w:val="none"/>
          <w:lang w:val="en-US" w:eastAsia="zh-CN"/>
        </w:rPr>
        <w:t>环境功能区划</w:t>
      </w:r>
      <w:bookmarkEnd w:id="119"/>
    </w:p>
    <w:p w14:paraId="4F3A0BF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根据《陕西省水功能区划》，区域地表水水域功能按《地表水环境质量标准》（GB3838-2002）中</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 2 \* ROMAN \* MERGEFORMAT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t>II</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类水域标准控制。</w:t>
      </w:r>
    </w:p>
    <w:p w14:paraId="1CF2F203">
      <w:pPr>
        <w:pStyle w:val="6"/>
        <w:numPr>
          <w:ilvl w:val="2"/>
          <w:numId w:val="6"/>
        </w:numPr>
        <w:bidi w:val="0"/>
        <w:ind w:left="0" w:leftChars="0" w:firstLine="0" w:firstLineChars="0"/>
        <w:rPr>
          <w:rFonts w:hint="default" w:ascii="Times New Roman" w:hAnsi="Times New Roman" w:cs="Times New Roman"/>
          <w:color w:val="auto"/>
          <w:sz w:val="24"/>
          <w:szCs w:val="40"/>
          <w:highlight w:val="none"/>
          <w:lang w:val="en-US" w:eastAsia="zh-CN"/>
        </w:rPr>
      </w:pPr>
      <w:bookmarkStart w:id="120" w:name="_Toc18639"/>
      <w:r>
        <w:rPr>
          <w:rFonts w:hint="default" w:ascii="Times New Roman" w:hAnsi="Times New Roman" w:cs="Times New Roman"/>
          <w:color w:val="auto"/>
          <w:sz w:val="24"/>
          <w:szCs w:val="40"/>
          <w:highlight w:val="none"/>
          <w:lang w:val="en-US" w:eastAsia="zh-CN"/>
        </w:rPr>
        <w:t>环境敏感目标</w:t>
      </w:r>
      <w:bookmarkEnd w:id="120"/>
    </w:p>
    <w:p w14:paraId="56BFA10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项目地表水环境保护目标见表1.4-</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w:t>
      </w:r>
    </w:p>
    <w:p w14:paraId="4F80B41C">
      <w:pPr>
        <w:pStyle w:val="12"/>
        <w:keepNext/>
        <w:ind w:firstLine="422"/>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表1.4-</w:t>
      </w:r>
      <w:r>
        <w:rPr>
          <w:rFonts w:hint="eastAsia"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lang w:val="en-US" w:eastAsia="zh-CN"/>
        </w:rPr>
        <w:t xml:space="preserve">  项目地表水环境保护目标表</w:t>
      </w:r>
    </w:p>
    <w:tbl>
      <w:tblPr>
        <w:tblStyle w:val="32"/>
        <w:tblW w:w="87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97"/>
        <w:gridCol w:w="1183"/>
        <w:gridCol w:w="1303"/>
        <w:gridCol w:w="2158"/>
        <w:gridCol w:w="1981"/>
      </w:tblGrid>
      <w:tr w14:paraId="2E7E3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tcBorders>
              <w:tl2br w:val="nil"/>
              <w:tr2bl w:val="nil"/>
            </w:tcBorders>
            <w:noWrap w:val="0"/>
            <w:vAlign w:val="center"/>
          </w:tcPr>
          <w:p w14:paraId="7AD70E1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环境保护目标</w:t>
            </w:r>
          </w:p>
        </w:tc>
        <w:tc>
          <w:tcPr>
            <w:tcW w:w="1183" w:type="dxa"/>
            <w:tcBorders>
              <w:tl2br w:val="nil"/>
              <w:tr2bl w:val="nil"/>
            </w:tcBorders>
            <w:noWrap w:val="0"/>
            <w:vAlign w:val="center"/>
          </w:tcPr>
          <w:p w14:paraId="5167D6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保护对象</w:t>
            </w:r>
          </w:p>
        </w:tc>
        <w:tc>
          <w:tcPr>
            <w:tcW w:w="1303" w:type="dxa"/>
            <w:tcBorders>
              <w:tl2br w:val="nil"/>
              <w:tr2bl w:val="nil"/>
            </w:tcBorders>
            <w:noWrap w:val="0"/>
            <w:vAlign w:val="center"/>
          </w:tcPr>
          <w:p w14:paraId="769836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环境功能区</w:t>
            </w:r>
          </w:p>
        </w:tc>
        <w:tc>
          <w:tcPr>
            <w:tcW w:w="2158" w:type="dxa"/>
            <w:tcBorders>
              <w:tl2br w:val="nil"/>
              <w:tr2bl w:val="nil"/>
            </w:tcBorders>
            <w:noWrap w:val="0"/>
            <w:vAlign w:val="center"/>
          </w:tcPr>
          <w:p w14:paraId="268D70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相对厂址方位</w:t>
            </w:r>
            <w:r>
              <w:rPr>
                <w:rFonts w:hint="default" w:ascii="Times New Roman" w:hAnsi="Times New Roman" w:cs="Times New Roman"/>
                <w:b/>
                <w:color w:val="auto"/>
                <w:sz w:val="21"/>
                <w:szCs w:val="21"/>
                <w:highlight w:val="none"/>
                <w:lang w:eastAsia="zh-CN"/>
              </w:rPr>
              <w:t>及距离</w:t>
            </w:r>
          </w:p>
        </w:tc>
        <w:tc>
          <w:tcPr>
            <w:tcW w:w="1981" w:type="dxa"/>
            <w:tcBorders>
              <w:tl2br w:val="nil"/>
              <w:tr2bl w:val="nil"/>
            </w:tcBorders>
            <w:noWrap w:val="0"/>
            <w:vAlign w:val="center"/>
          </w:tcPr>
          <w:p w14:paraId="05A503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val="en-US"/>
              </w:rPr>
            </w:pPr>
            <w:r>
              <w:rPr>
                <w:rFonts w:hint="default" w:ascii="Times New Roman" w:hAnsi="Times New Roman" w:cs="Times New Roman"/>
                <w:b/>
                <w:color w:val="auto"/>
                <w:sz w:val="21"/>
                <w:szCs w:val="21"/>
                <w:highlight w:val="none"/>
                <w:lang w:eastAsia="zh-CN"/>
              </w:rPr>
              <w:t>与</w:t>
            </w:r>
            <w:r>
              <w:rPr>
                <w:rFonts w:hint="default" w:ascii="Times New Roman" w:hAnsi="Times New Roman" w:eastAsia="宋体" w:cs="Times New Roman"/>
                <w:b/>
                <w:color w:val="auto"/>
                <w:sz w:val="21"/>
                <w:szCs w:val="21"/>
                <w:highlight w:val="none"/>
              </w:rPr>
              <w:t>厂址</w:t>
            </w:r>
            <w:r>
              <w:rPr>
                <w:rFonts w:hint="eastAsia" w:cs="Times New Roman"/>
                <w:b/>
                <w:color w:val="auto"/>
                <w:sz w:val="21"/>
                <w:szCs w:val="21"/>
                <w:highlight w:val="none"/>
                <w:lang w:eastAsia="zh-CN"/>
              </w:rPr>
              <w:t>最近</w:t>
            </w:r>
            <w:r>
              <w:rPr>
                <w:rFonts w:hint="default" w:ascii="Times New Roman" w:hAnsi="Times New Roman" w:cs="Times New Roman"/>
                <w:b/>
                <w:color w:val="auto"/>
                <w:sz w:val="21"/>
                <w:szCs w:val="21"/>
                <w:highlight w:val="none"/>
                <w:lang w:eastAsia="zh-CN"/>
              </w:rPr>
              <w:t>距离</w:t>
            </w:r>
          </w:p>
        </w:tc>
      </w:tr>
      <w:tr w14:paraId="1DCED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2097" w:type="dxa"/>
            <w:tcBorders>
              <w:tl2br w:val="nil"/>
              <w:tr2bl w:val="nil"/>
            </w:tcBorders>
            <w:noWrap w:val="0"/>
            <w:vAlign w:val="center"/>
          </w:tcPr>
          <w:p w14:paraId="6A095B5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溢水</w:t>
            </w:r>
            <w:r>
              <w:rPr>
                <w:rFonts w:hint="default" w:ascii="Times New Roman" w:hAnsi="Times New Roman" w:cs="Times New Roman"/>
                <w:b w:val="0"/>
                <w:bCs w:val="0"/>
                <w:color w:val="auto"/>
                <w:sz w:val="21"/>
                <w:szCs w:val="21"/>
                <w:highlight w:val="none"/>
                <w:vertAlign w:val="baseline"/>
                <w:lang w:val="en-US" w:eastAsia="zh-CN"/>
              </w:rPr>
              <w:t>河</w:t>
            </w:r>
          </w:p>
        </w:tc>
        <w:tc>
          <w:tcPr>
            <w:tcW w:w="1183" w:type="dxa"/>
            <w:tcBorders>
              <w:tl2br w:val="nil"/>
              <w:tr2bl w:val="nil"/>
            </w:tcBorders>
            <w:noWrap w:val="0"/>
            <w:vAlign w:val="center"/>
          </w:tcPr>
          <w:p w14:paraId="075A3E86">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地表水</w:t>
            </w:r>
          </w:p>
        </w:tc>
        <w:tc>
          <w:tcPr>
            <w:tcW w:w="1303" w:type="dxa"/>
            <w:tcBorders>
              <w:tl2br w:val="nil"/>
              <w:tr2bl w:val="nil"/>
            </w:tcBorders>
            <w:noWrap w:val="0"/>
            <w:vAlign w:val="center"/>
          </w:tcPr>
          <w:p w14:paraId="2F8299F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113" w:right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fldChar w:fldCharType="begin"/>
            </w:r>
            <w:r>
              <w:rPr>
                <w:rFonts w:hint="default" w:ascii="Times New Roman" w:hAnsi="Times New Roman" w:cs="Times New Roman"/>
                <w:color w:val="auto"/>
                <w:sz w:val="21"/>
                <w:szCs w:val="21"/>
                <w:highlight w:val="none"/>
                <w:lang w:val="en-US" w:eastAsia="zh-CN"/>
              </w:rPr>
              <w:instrText xml:space="preserve"> = 2 \* ROMAN \* MERGEFORMAT </w:instrText>
            </w:r>
            <w:r>
              <w:rPr>
                <w:rFonts w:hint="default" w:ascii="Times New Roman" w:hAnsi="Times New Roman" w:cs="Times New Roman"/>
                <w:color w:val="auto"/>
                <w:sz w:val="21"/>
                <w:szCs w:val="21"/>
                <w:highlight w:val="none"/>
                <w:lang w:val="en-US" w:eastAsia="zh-CN"/>
              </w:rPr>
              <w:fldChar w:fldCharType="separate"/>
            </w:r>
            <w:r>
              <w:rPr>
                <w:rFonts w:hint="default" w:ascii="Times New Roman" w:hAnsi="Times New Roman" w:cs="Times New Roman"/>
                <w:color w:val="auto"/>
                <w:sz w:val="21"/>
                <w:szCs w:val="21"/>
                <w:highlight w:val="none"/>
              </w:rPr>
              <w:t>II</w:t>
            </w:r>
            <w:r>
              <w:rPr>
                <w:rFonts w:hint="default" w:ascii="Times New Roman" w:hAnsi="Times New Roman" w:cs="Times New Roman"/>
                <w:color w:val="auto"/>
                <w:sz w:val="21"/>
                <w:szCs w:val="21"/>
                <w:highlight w:val="none"/>
                <w:lang w:val="en-US" w:eastAsia="zh-CN"/>
              </w:rPr>
              <w:fldChar w:fldCharType="end"/>
            </w:r>
            <w:r>
              <w:rPr>
                <w:rFonts w:hint="default" w:ascii="Times New Roman" w:hAnsi="Times New Roman" w:cs="Times New Roman"/>
                <w:color w:val="auto"/>
                <w:sz w:val="21"/>
                <w:szCs w:val="21"/>
                <w:highlight w:val="none"/>
                <w:lang w:val="en-US" w:eastAsia="zh-CN"/>
              </w:rPr>
              <w:t>类</w:t>
            </w:r>
          </w:p>
        </w:tc>
        <w:tc>
          <w:tcPr>
            <w:tcW w:w="2158" w:type="dxa"/>
            <w:tcBorders>
              <w:tl2br w:val="nil"/>
              <w:tr2bl w:val="nil"/>
            </w:tcBorders>
            <w:noWrap w:val="0"/>
            <w:vAlign w:val="center"/>
          </w:tcPr>
          <w:p w14:paraId="7A91675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E</w:t>
            </w:r>
          </w:p>
        </w:tc>
        <w:tc>
          <w:tcPr>
            <w:tcW w:w="1981" w:type="dxa"/>
            <w:tcBorders>
              <w:tl2br w:val="nil"/>
              <w:tr2bl w:val="nil"/>
            </w:tcBorders>
            <w:noWrap w:val="0"/>
            <w:vAlign w:val="center"/>
          </w:tcPr>
          <w:p w14:paraId="628FB0D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50</w:t>
            </w:r>
            <w:r>
              <w:rPr>
                <w:rFonts w:hint="default" w:ascii="Times New Roman" w:hAnsi="Times New Roman" w:cs="Times New Roman"/>
                <w:b/>
                <w:color w:val="auto"/>
                <w:sz w:val="21"/>
                <w:szCs w:val="21"/>
                <w:highlight w:val="none"/>
                <w:lang w:val="en-US" w:eastAsia="zh-CN"/>
              </w:rPr>
              <w:t>m</w:t>
            </w:r>
          </w:p>
        </w:tc>
      </w:tr>
      <w:tr w14:paraId="21559D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tcBorders>
              <w:tl2br w:val="nil"/>
              <w:tr2bl w:val="nil"/>
            </w:tcBorders>
            <w:noWrap w:val="0"/>
            <w:vAlign w:val="center"/>
          </w:tcPr>
          <w:p w14:paraId="3544B7C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汉江</w:t>
            </w:r>
          </w:p>
        </w:tc>
        <w:tc>
          <w:tcPr>
            <w:tcW w:w="1183" w:type="dxa"/>
            <w:tcBorders>
              <w:tl2br w:val="nil"/>
              <w:tr2bl w:val="nil"/>
            </w:tcBorders>
            <w:noWrap w:val="0"/>
            <w:vAlign w:val="center"/>
          </w:tcPr>
          <w:p w14:paraId="702EF40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地表水</w:t>
            </w:r>
          </w:p>
        </w:tc>
        <w:tc>
          <w:tcPr>
            <w:tcW w:w="1303" w:type="dxa"/>
            <w:tcBorders>
              <w:tl2br w:val="nil"/>
              <w:tr2bl w:val="nil"/>
            </w:tcBorders>
            <w:noWrap w:val="0"/>
            <w:vAlign w:val="center"/>
          </w:tcPr>
          <w:p w14:paraId="7CA5920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113" w:right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fldChar w:fldCharType="begin"/>
            </w:r>
            <w:r>
              <w:rPr>
                <w:rFonts w:hint="default" w:ascii="Times New Roman" w:hAnsi="Times New Roman" w:cs="Times New Roman"/>
                <w:color w:val="auto"/>
                <w:sz w:val="21"/>
                <w:szCs w:val="21"/>
                <w:highlight w:val="none"/>
                <w:lang w:val="en-US" w:eastAsia="zh-CN"/>
              </w:rPr>
              <w:instrText xml:space="preserve"> = 2 \* ROMAN \* MERGEFORMAT </w:instrText>
            </w:r>
            <w:r>
              <w:rPr>
                <w:rFonts w:hint="default" w:ascii="Times New Roman" w:hAnsi="Times New Roman" w:cs="Times New Roman"/>
                <w:color w:val="auto"/>
                <w:sz w:val="21"/>
                <w:szCs w:val="21"/>
                <w:highlight w:val="none"/>
                <w:lang w:val="en-US" w:eastAsia="zh-CN"/>
              </w:rPr>
              <w:fldChar w:fldCharType="separate"/>
            </w:r>
            <w:r>
              <w:rPr>
                <w:rFonts w:hint="default" w:ascii="Times New Roman" w:hAnsi="Times New Roman" w:cs="Times New Roman"/>
                <w:color w:val="auto"/>
                <w:sz w:val="21"/>
                <w:szCs w:val="21"/>
                <w:highlight w:val="none"/>
              </w:rPr>
              <w:t>II</w:t>
            </w:r>
            <w:r>
              <w:rPr>
                <w:rFonts w:hint="default" w:ascii="Times New Roman" w:hAnsi="Times New Roman" w:cs="Times New Roman"/>
                <w:color w:val="auto"/>
                <w:sz w:val="21"/>
                <w:szCs w:val="21"/>
                <w:highlight w:val="none"/>
                <w:lang w:val="en-US" w:eastAsia="zh-CN"/>
              </w:rPr>
              <w:fldChar w:fldCharType="end"/>
            </w:r>
            <w:r>
              <w:rPr>
                <w:rFonts w:hint="default" w:ascii="Times New Roman" w:hAnsi="Times New Roman" w:cs="Times New Roman"/>
                <w:color w:val="auto"/>
                <w:sz w:val="21"/>
                <w:szCs w:val="21"/>
                <w:highlight w:val="none"/>
                <w:lang w:val="en-US" w:eastAsia="zh-CN"/>
              </w:rPr>
              <w:t>类</w:t>
            </w:r>
          </w:p>
        </w:tc>
        <w:tc>
          <w:tcPr>
            <w:tcW w:w="2158" w:type="dxa"/>
            <w:tcBorders>
              <w:tl2br w:val="nil"/>
              <w:tr2bl w:val="nil"/>
            </w:tcBorders>
            <w:noWrap w:val="0"/>
            <w:vAlign w:val="center"/>
          </w:tcPr>
          <w:p w14:paraId="71324A0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SE</w:t>
            </w:r>
          </w:p>
        </w:tc>
        <w:tc>
          <w:tcPr>
            <w:tcW w:w="1981" w:type="dxa"/>
            <w:tcBorders>
              <w:tl2br w:val="nil"/>
              <w:tr2bl w:val="nil"/>
            </w:tcBorders>
            <w:noWrap w:val="0"/>
            <w:vAlign w:val="center"/>
          </w:tcPr>
          <w:p w14:paraId="482F37B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4.2km</w:t>
            </w:r>
          </w:p>
        </w:tc>
      </w:tr>
      <w:tr w14:paraId="6264F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7" w:type="dxa"/>
            <w:tcBorders>
              <w:tl2br w:val="nil"/>
              <w:tr2bl w:val="nil"/>
            </w:tcBorders>
            <w:noWrap w:val="0"/>
            <w:vAlign w:val="center"/>
          </w:tcPr>
          <w:p w14:paraId="20E66D5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陕西汉江重要湿地</w:t>
            </w:r>
          </w:p>
        </w:tc>
        <w:tc>
          <w:tcPr>
            <w:tcW w:w="1183" w:type="dxa"/>
            <w:tcBorders>
              <w:tl2br w:val="nil"/>
              <w:tr2bl w:val="nil"/>
            </w:tcBorders>
            <w:noWrap w:val="0"/>
            <w:vAlign w:val="center"/>
          </w:tcPr>
          <w:p w14:paraId="224867A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113" w:rightChars="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重要湿地</w:t>
            </w:r>
          </w:p>
        </w:tc>
        <w:tc>
          <w:tcPr>
            <w:tcW w:w="1303" w:type="dxa"/>
            <w:tcBorders>
              <w:tl2br w:val="nil"/>
              <w:tr2bl w:val="nil"/>
            </w:tcBorders>
            <w:noWrap w:val="0"/>
            <w:vAlign w:val="center"/>
          </w:tcPr>
          <w:p w14:paraId="5290D91E">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113" w:rightChars="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fldChar w:fldCharType="begin"/>
            </w:r>
            <w:r>
              <w:rPr>
                <w:rFonts w:hint="default" w:ascii="Times New Roman" w:hAnsi="Times New Roman" w:cs="Times New Roman"/>
                <w:color w:val="auto"/>
                <w:sz w:val="21"/>
                <w:szCs w:val="21"/>
                <w:highlight w:val="none"/>
                <w:lang w:val="en-US" w:eastAsia="zh-CN"/>
              </w:rPr>
              <w:instrText xml:space="preserve"> = 2 \* ROMAN \* MERGEFORMAT </w:instrText>
            </w:r>
            <w:r>
              <w:rPr>
                <w:rFonts w:hint="default" w:ascii="Times New Roman" w:hAnsi="Times New Roman" w:cs="Times New Roman"/>
                <w:color w:val="auto"/>
                <w:sz w:val="21"/>
                <w:szCs w:val="21"/>
                <w:highlight w:val="none"/>
                <w:lang w:val="en-US" w:eastAsia="zh-CN"/>
              </w:rPr>
              <w:fldChar w:fldCharType="separate"/>
            </w:r>
            <w:r>
              <w:rPr>
                <w:rFonts w:hint="default" w:ascii="Times New Roman" w:hAnsi="Times New Roman" w:cs="Times New Roman"/>
                <w:color w:val="auto"/>
                <w:sz w:val="21"/>
                <w:szCs w:val="21"/>
                <w:highlight w:val="none"/>
              </w:rPr>
              <w:t>II</w:t>
            </w:r>
            <w:r>
              <w:rPr>
                <w:rFonts w:hint="default" w:ascii="Times New Roman" w:hAnsi="Times New Roman" w:cs="Times New Roman"/>
                <w:color w:val="auto"/>
                <w:sz w:val="21"/>
                <w:szCs w:val="21"/>
                <w:highlight w:val="none"/>
                <w:lang w:val="en-US" w:eastAsia="zh-CN"/>
              </w:rPr>
              <w:fldChar w:fldCharType="end"/>
            </w:r>
            <w:r>
              <w:rPr>
                <w:rFonts w:hint="default" w:ascii="Times New Roman" w:hAnsi="Times New Roman" w:cs="Times New Roman"/>
                <w:color w:val="auto"/>
                <w:sz w:val="21"/>
                <w:szCs w:val="21"/>
                <w:highlight w:val="none"/>
                <w:lang w:val="en-US" w:eastAsia="zh-CN"/>
              </w:rPr>
              <w:t>类</w:t>
            </w:r>
          </w:p>
        </w:tc>
        <w:tc>
          <w:tcPr>
            <w:tcW w:w="2158" w:type="dxa"/>
            <w:tcBorders>
              <w:tl2br w:val="nil"/>
              <w:tr2bl w:val="nil"/>
            </w:tcBorders>
            <w:noWrap w:val="0"/>
            <w:vAlign w:val="center"/>
          </w:tcPr>
          <w:p w14:paraId="3A901892">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113" w:rightChars="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default" w:ascii="Times New Roman" w:hAnsi="Times New Roman" w:cs="Times New Roman"/>
                <w:b w:val="0"/>
                <w:bCs w:val="0"/>
                <w:color w:val="auto"/>
                <w:sz w:val="21"/>
                <w:szCs w:val="21"/>
                <w:highlight w:val="none"/>
                <w:vertAlign w:val="baseline"/>
                <w:lang w:val="en-US" w:eastAsia="zh-CN"/>
              </w:rPr>
              <w:t>SE</w:t>
            </w:r>
          </w:p>
        </w:tc>
        <w:tc>
          <w:tcPr>
            <w:tcW w:w="1981" w:type="dxa"/>
            <w:tcBorders>
              <w:tl2br w:val="nil"/>
              <w:tr2bl w:val="nil"/>
            </w:tcBorders>
            <w:noWrap w:val="0"/>
            <w:vAlign w:val="center"/>
          </w:tcPr>
          <w:p w14:paraId="6FD346DD">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113" w:rightChars="0"/>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eastAsia" w:cs="Times New Roman"/>
                <w:b w:val="0"/>
                <w:bCs w:val="0"/>
                <w:color w:val="auto"/>
                <w:sz w:val="21"/>
                <w:szCs w:val="21"/>
                <w:highlight w:val="none"/>
                <w:vertAlign w:val="baseline"/>
                <w:lang w:val="en-US" w:eastAsia="zh-CN"/>
              </w:rPr>
              <w:t>4.2km</w:t>
            </w:r>
          </w:p>
        </w:tc>
      </w:tr>
    </w:tbl>
    <w:p w14:paraId="078E2E6A">
      <w:pPr>
        <w:rPr>
          <w:rFonts w:hint="default" w:ascii="Times New Roman" w:hAnsi="Times New Roman" w:cs="Times New Roman"/>
          <w:color w:val="auto"/>
          <w:highlight w:val="none"/>
          <w:lang w:val="en-US" w:eastAsia="zh-CN"/>
        </w:rPr>
      </w:pPr>
    </w:p>
    <w:p w14:paraId="389E05E7">
      <w:pPr>
        <w:spacing w:line="360" w:lineRule="auto"/>
        <w:rPr>
          <w:rFonts w:hint="default" w:ascii="Times New Roman" w:hAnsi="Times New Roman" w:eastAsia="宋体" w:cs="Times New Roman"/>
          <w:color w:val="auto"/>
          <w:sz w:val="24"/>
          <w:szCs w:val="24"/>
          <w:highlight w:val="none"/>
          <w:lang w:val="en-US" w:eastAsia="zh-CN"/>
        </w:rPr>
        <w:sectPr>
          <w:footerReference r:id="rId11" w:type="default"/>
          <w:pgSz w:w="11906" w:h="16838"/>
          <w:pgMar w:top="1304" w:right="1701" w:bottom="1304" w:left="1701" w:header="1304" w:footer="1304" w:gutter="0"/>
          <w:pgBorders>
            <w:top w:val="none" w:sz="0" w:space="0"/>
            <w:left w:val="none" w:sz="0" w:space="0"/>
            <w:bottom w:val="none" w:sz="0" w:space="0"/>
            <w:right w:val="none" w:sz="0" w:space="0"/>
          </w:pgBorders>
          <w:pgNumType w:fmt="decimal" w:start="1"/>
          <w:cols w:space="720" w:num="1"/>
          <w:docGrid w:linePitch="312" w:charSpace="0"/>
        </w:sectPr>
      </w:pPr>
    </w:p>
    <w:p w14:paraId="27A99554">
      <w:pPr>
        <w:pStyle w:val="3"/>
        <w:keepNext/>
        <w:keepLines w:val="0"/>
        <w:pageBreakBefore w:val="0"/>
        <w:widowControl w:val="0"/>
        <w:numPr>
          <w:ilvl w:val="0"/>
          <w:numId w:val="6"/>
        </w:numPr>
        <w:tabs>
          <w:tab w:val="left" w:pos="210"/>
          <w:tab w:val="left" w:pos="420"/>
          <w:tab w:val="clear" w:pos="0"/>
        </w:tabs>
        <w:kinsoku/>
        <w:wordWrap/>
        <w:overflowPunct w:val="0"/>
        <w:topLinePunct w:val="0"/>
        <w:autoSpaceDE/>
        <w:autoSpaceDN/>
        <w:bidi w:val="0"/>
        <w:adjustRightInd/>
        <w:snapToGrid w:val="0"/>
        <w:spacing w:after="120" w:line="260" w:lineRule="auto"/>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 xml:space="preserve"> </w:t>
      </w:r>
      <w:bookmarkStart w:id="121" w:name="_Toc20093"/>
      <w:r>
        <w:rPr>
          <w:rFonts w:hint="default" w:ascii="Times New Roman" w:hAnsi="Times New Roman" w:cs="Times New Roman"/>
          <w:color w:val="auto"/>
          <w:highlight w:val="none"/>
          <w:lang w:val="en-US" w:eastAsia="zh-CN"/>
        </w:rPr>
        <w:t>工程分析</w:t>
      </w:r>
      <w:bookmarkEnd w:id="121"/>
    </w:p>
    <w:p w14:paraId="75D72C1C">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22" w:name="_Toc24033"/>
      <w:r>
        <w:rPr>
          <w:rFonts w:hint="eastAsia" w:ascii="Times New Roman" w:hAnsi="Times New Roman" w:eastAsia="宋体" w:cs="Times New Roman"/>
          <w:color w:val="auto"/>
          <w:kern w:val="2"/>
          <w:sz w:val="24"/>
          <w:szCs w:val="32"/>
          <w:highlight w:val="none"/>
          <w:lang w:val="en-US" w:eastAsia="zh-CN"/>
        </w:rPr>
        <w:t xml:space="preserve">2.1 </w:t>
      </w:r>
      <w:r>
        <w:rPr>
          <w:rFonts w:hint="eastAsia" w:ascii="Times New Roman" w:hAnsi="Times New Roman" w:cs="Times New Roman"/>
          <w:color w:val="auto"/>
          <w:kern w:val="2"/>
          <w:sz w:val="24"/>
          <w:szCs w:val="32"/>
          <w:highlight w:val="none"/>
          <w:lang w:val="en-US" w:eastAsia="zh-CN"/>
        </w:rPr>
        <w:t>工程概况</w:t>
      </w:r>
      <w:bookmarkEnd w:id="122"/>
    </w:p>
    <w:p w14:paraId="5DB0AF0E">
      <w:pPr>
        <w:numPr>
          <w:ilvl w:val="0"/>
          <w:numId w:val="0"/>
        </w:numPr>
        <w:snapToGrid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①</w:t>
      </w:r>
      <w:r>
        <w:rPr>
          <w:rFonts w:hint="eastAsia" w:ascii="宋体" w:hAnsi="宋体" w:cs="宋体"/>
          <w:color w:val="auto"/>
          <w:sz w:val="24"/>
          <w:highlight w:val="none"/>
          <w:lang w:eastAsia="zh-CN"/>
        </w:rPr>
        <w:t>建设地点：</w:t>
      </w:r>
      <w:r>
        <w:rPr>
          <w:rFonts w:hint="default" w:ascii="Times New Roman" w:hAnsi="Times New Roman" w:cs="Times New Roman"/>
          <w:color w:val="auto"/>
          <w:sz w:val="24"/>
          <w:highlight w:val="none"/>
          <w:lang w:val="en-US" w:eastAsia="zh-CN"/>
        </w:rPr>
        <w:t>汉中市</w:t>
      </w:r>
      <w:r>
        <w:rPr>
          <w:rFonts w:hint="eastAsia" w:cs="Times New Roman"/>
          <w:color w:val="auto"/>
          <w:sz w:val="24"/>
          <w:highlight w:val="none"/>
          <w:lang w:val="en-US" w:eastAsia="zh-CN"/>
        </w:rPr>
        <w:t>洋</w:t>
      </w:r>
      <w:r>
        <w:rPr>
          <w:rFonts w:hint="default" w:ascii="Times New Roman" w:hAnsi="Times New Roman" w:cs="Times New Roman"/>
          <w:color w:val="auto"/>
          <w:sz w:val="24"/>
          <w:highlight w:val="none"/>
          <w:lang w:val="en-US" w:eastAsia="zh-CN"/>
        </w:rPr>
        <w:t>县</w:t>
      </w:r>
      <w:r>
        <w:rPr>
          <w:rFonts w:hint="eastAsia" w:cs="Times New Roman"/>
          <w:color w:val="auto"/>
          <w:sz w:val="24"/>
          <w:highlight w:val="none"/>
          <w:lang w:val="en-US" w:eastAsia="zh-CN"/>
        </w:rPr>
        <w:t>谢村镇四</w:t>
      </w:r>
      <w:r>
        <w:rPr>
          <w:rFonts w:hint="default" w:ascii="Times New Roman" w:hAnsi="Times New Roman" w:cs="Times New Roman"/>
          <w:color w:val="auto"/>
          <w:sz w:val="24"/>
          <w:highlight w:val="none"/>
          <w:lang w:val="en-US" w:eastAsia="zh-CN"/>
        </w:rPr>
        <w:t>〇</w:t>
      </w:r>
      <w:r>
        <w:rPr>
          <w:rFonts w:hint="eastAsia" w:cs="Times New Roman"/>
          <w:color w:val="auto"/>
          <w:sz w:val="24"/>
          <w:highlight w:val="none"/>
          <w:lang w:val="en-US" w:eastAsia="zh-CN"/>
        </w:rPr>
        <w:t>五社区</w:t>
      </w:r>
    </w:p>
    <w:p w14:paraId="5EE1C2D1">
      <w:pPr>
        <w:numPr>
          <w:ilvl w:val="0"/>
          <w:numId w:val="0"/>
        </w:numPr>
        <w:snapToGrid w:val="0"/>
        <w:spacing w:line="360" w:lineRule="auto"/>
        <w:ind w:firstLine="480" w:firstLineChars="200"/>
        <w:rPr>
          <w:rFonts w:hint="default" w:cs="Times New Roman"/>
          <w:color w:val="auto"/>
          <w:sz w:val="24"/>
          <w:highlight w:val="none"/>
          <w:lang w:val="en-US" w:eastAsia="zh-CN"/>
        </w:rPr>
      </w:pPr>
      <w:r>
        <w:rPr>
          <w:rFonts w:hint="eastAsia" w:ascii="宋体" w:hAnsi="宋体" w:eastAsia="宋体" w:cs="宋体"/>
          <w:color w:val="auto"/>
          <w:sz w:val="24"/>
          <w:highlight w:val="none"/>
          <w:lang w:eastAsia="zh-CN"/>
        </w:rPr>
        <w:t>②</w:t>
      </w:r>
      <w:r>
        <w:rPr>
          <w:rFonts w:hint="eastAsia" w:cs="Times New Roman"/>
          <w:color w:val="auto"/>
          <w:sz w:val="24"/>
          <w:highlight w:val="none"/>
          <w:lang w:eastAsia="zh-CN"/>
        </w:rPr>
        <w:t>服务范围及人口：服务范围为405社区内居住小区、社区医院、社区办公楼、陕铀办公楼等以及污水管网沿线谢村镇下溢水村，收集污水为生活污水，服务人口为</w:t>
      </w:r>
      <w:r>
        <w:rPr>
          <w:rFonts w:hint="eastAsia" w:cs="Times New Roman"/>
          <w:color w:val="auto"/>
          <w:sz w:val="24"/>
          <w:highlight w:val="none"/>
          <w:lang w:val="en-US" w:eastAsia="zh-CN"/>
        </w:rPr>
        <w:t>15900（常住人口）。</w:t>
      </w:r>
    </w:p>
    <w:p w14:paraId="25A5428A">
      <w:pPr>
        <w:numPr>
          <w:ilvl w:val="0"/>
          <w:numId w:val="0"/>
        </w:numPr>
        <w:snapToGrid w:val="0"/>
        <w:spacing w:line="360" w:lineRule="auto"/>
        <w:ind w:firstLine="480" w:firstLineChars="200"/>
        <w:rPr>
          <w:rFonts w:hint="eastAsia" w:ascii="Times New Roman" w:hAnsi="Times New Roman" w:cs="Times New Roman"/>
          <w:color w:val="auto"/>
          <w:sz w:val="24"/>
          <w:highlight w:val="none"/>
          <w:lang w:eastAsia="zh-CN"/>
        </w:rPr>
      </w:pPr>
      <w:r>
        <w:rPr>
          <w:rFonts w:hint="eastAsia" w:ascii="宋体" w:hAnsi="宋体" w:eastAsia="宋体" w:cs="宋体"/>
          <w:color w:val="auto"/>
          <w:sz w:val="24"/>
          <w:highlight w:val="none"/>
          <w:lang w:eastAsia="zh-CN"/>
        </w:rPr>
        <w:t>③</w:t>
      </w:r>
      <w:r>
        <w:rPr>
          <w:rFonts w:hint="eastAsia" w:cs="Times New Roman"/>
          <w:color w:val="auto"/>
          <w:sz w:val="24"/>
          <w:highlight w:val="none"/>
          <w:lang w:eastAsia="zh-CN"/>
        </w:rPr>
        <w:t>处理规模：</w:t>
      </w:r>
      <w:r>
        <w:rPr>
          <w:rFonts w:hint="default"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lang w:val="en-US" w:eastAsia="zh-CN"/>
        </w:rPr>
        <w:t>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eastAsia" w:ascii="Times New Roman" w:hAnsi="Times New Roman" w:cs="Times New Roman"/>
          <w:color w:val="auto"/>
          <w:sz w:val="24"/>
          <w:highlight w:val="none"/>
          <w:lang w:eastAsia="zh-CN"/>
        </w:rPr>
        <w:t>。</w:t>
      </w:r>
    </w:p>
    <w:p w14:paraId="151C4BEC">
      <w:pPr>
        <w:snapToGrid w:val="0"/>
        <w:spacing w:line="360" w:lineRule="auto"/>
        <w:ind w:firstLine="480" w:firstLineChars="200"/>
        <w:rPr>
          <w:rFonts w:hint="default" w:ascii="Times New Roman" w:hAnsi="Times New Roman" w:eastAsia="宋体" w:cs="Times New Roman"/>
          <w:color w:val="auto"/>
          <w:sz w:val="24"/>
          <w:highlight w:val="none"/>
          <w:lang w:eastAsia="zh-CN"/>
        </w:rPr>
      </w:pPr>
      <w:r>
        <w:rPr>
          <w:rFonts w:hint="eastAsia" w:ascii="宋体" w:hAnsi="宋体" w:eastAsia="宋体" w:cs="宋体"/>
          <w:color w:val="auto"/>
          <w:sz w:val="24"/>
          <w:highlight w:val="none"/>
        </w:rPr>
        <w:t>④</w:t>
      </w:r>
      <w:r>
        <w:rPr>
          <w:rFonts w:hint="eastAsia" w:ascii="Times New Roman" w:hAnsi="Times New Roman" w:cs="Times New Roman"/>
          <w:color w:val="auto"/>
          <w:sz w:val="24"/>
          <w:highlight w:val="none"/>
          <w:lang w:eastAsia="zh-CN"/>
        </w:rPr>
        <w:t>处理工艺：“格栅渠+集水池+旋流沉砂池+调节池+AAO+二沉池+高密度沉淀池+滤布滤池+接触消毒池”。</w:t>
      </w:r>
    </w:p>
    <w:p w14:paraId="00EBC4BB">
      <w:pPr>
        <w:snapToGrid w:val="0"/>
        <w:spacing w:line="360" w:lineRule="auto"/>
        <w:ind w:firstLine="480" w:firstLineChars="200"/>
        <w:rPr>
          <w:rFonts w:hint="default" w:ascii="Times New Roman" w:hAnsi="Times New Roman" w:eastAsia="宋体" w:cs="Times New Roman"/>
          <w:color w:val="auto"/>
          <w:sz w:val="24"/>
          <w:highlight w:val="none"/>
        </w:rPr>
      </w:pPr>
      <w:r>
        <w:rPr>
          <w:rFonts w:hint="eastAsia" w:ascii="宋体" w:hAnsi="宋体" w:eastAsia="宋体" w:cs="宋体"/>
          <w:color w:val="auto"/>
          <w:sz w:val="24"/>
          <w:highlight w:val="none"/>
        </w:rPr>
        <w:t>⑤</w:t>
      </w:r>
      <w:r>
        <w:rPr>
          <w:rFonts w:hint="default" w:ascii="Times New Roman" w:hAnsi="Times New Roman" w:eastAsia="宋体" w:cs="Times New Roman"/>
          <w:color w:val="auto"/>
          <w:sz w:val="24"/>
          <w:highlight w:val="none"/>
        </w:rPr>
        <w:t>排污口情况</w:t>
      </w:r>
    </w:p>
    <w:p w14:paraId="3D6A3018">
      <w:pPr>
        <w:keepNext w:val="0"/>
        <w:keepLines w:val="0"/>
        <w:pageBreakBefore w:val="0"/>
        <w:widowControl w:val="0"/>
        <w:kinsoku/>
        <w:wordWrap/>
        <w:overflowPunct/>
        <w:topLinePunct w:val="0"/>
        <w:autoSpaceDE/>
        <w:autoSpaceDN/>
        <w:bidi w:val="0"/>
        <w:adjustRightInd w:val="0"/>
        <w:snapToGrid w:val="0"/>
        <w:spacing w:line="360" w:lineRule="auto"/>
        <w:ind w:firstLine="482"/>
        <w:jc w:val="both"/>
        <w:textAlignment w:val="auto"/>
        <w:rPr>
          <w:rFonts w:hint="default" w:ascii="Times New Roman" w:hAnsi="Times New Roman" w:eastAsia="宋体" w:cs="Times New Roman"/>
          <w:color w:val="auto"/>
          <w:sz w:val="24"/>
          <w:highlight w:val="none"/>
        </w:rPr>
      </w:pPr>
      <w:r>
        <w:rPr>
          <w:rFonts w:hint="eastAsia" w:cs="Times New Roman"/>
          <w:b w:val="0"/>
          <w:bCs w:val="0"/>
          <w:color w:val="auto"/>
          <w:sz w:val="24"/>
          <w:highlight w:val="none"/>
          <w:lang w:val="en-US" w:eastAsia="zh-CN"/>
        </w:rPr>
        <w:t>本项目入河排污口名称为洋县谢村镇（四〇五社区）污水处理厂入河排污口，位置为东经107.449434°，北纬33.221306°。</w:t>
      </w:r>
      <w:r>
        <w:rPr>
          <w:rFonts w:hint="eastAsia" w:cs="Times New Roman"/>
          <w:color w:val="auto"/>
          <w:sz w:val="24"/>
          <w:highlight w:val="none"/>
          <w:lang w:val="en-US" w:eastAsia="zh-CN"/>
        </w:rPr>
        <w:t>污水处理厂</w:t>
      </w:r>
      <w:r>
        <w:rPr>
          <w:rFonts w:hint="default" w:ascii="Times New Roman" w:hAnsi="Times New Roman" w:eastAsia="宋体" w:cs="Times New Roman"/>
          <w:color w:val="auto"/>
          <w:sz w:val="24"/>
          <w:highlight w:val="none"/>
        </w:rPr>
        <w:t>尾水</w:t>
      </w:r>
      <w:r>
        <w:rPr>
          <w:rFonts w:hint="default" w:ascii="Times New Roman" w:hAnsi="Times New Roman" w:eastAsia="宋体" w:cs="Times New Roman"/>
          <w:color w:val="auto"/>
          <w:sz w:val="24"/>
          <w:highlight w:val="none"/>
          <w:lang w:val="en-US" w:eastAsia="zh-CN"/>
        </w:rPr>
        <w:t>经</w:t>
      </w:r>
      <w:r>
        <w:rPr>
          <w:rFonts w:hint="eastAsia" w:cs="Times New Roman"/>
          <w:color w:val="auto"/>
          <w:sz w:val="24"/>
          <w:highlight w:val="none"/>
          <w:lang w:val="en-US" w:eastAsia="zh-CN"/>
        </w:rPr>
        <w:t>钢管（DN400）</w:t>
      </w:r>
      <w:r>
        <w:rPr>
          <w:rFonts w:hint="default" w:ascii="Times New Roman" w:hAnsi="Times New Roman" w:eastAsia="宋体" w:cs="Times New Roman"/>
          <w:color w:val="auto"/>
          <w:sz w:val="24"/>
          <w:highlight w:val="none"/>
          <w:lang w:val="en-US" w:eastAsia="zh-CN"/>
        </w:rPr>
        <w:t>排入</w:t>
      </w:r>
      <w:r>
        <w:rPr>
          <w:rFonts w:hint="eastAsia" w:cs="Times New Roman"/>
          <w:color w:val="auto"/>
          <w:sz w:val="24"/>
          <w:highlight w:val="none"/>
          <w:lang w:val="en-US" w:eastAsia="zh-CN"/>
        </w:rPr>
        <w:t>溢水河</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往东南方向</w:t>
      </w:r>
      <w:r>
        <w:rPr>
          <w:rFonts w:hint="default" w:ascii="Times New Roman" w:hAnsi="Times New Roman" w:eastAsia="宋体" w:cs="Times New Roman"/>
          <w:color w:val="auto"/>
          <w:sz w:val="24"/>
          <w:highlight w:val="none"/>
          <w:lang w:eastAsia="zh-CN"/>
        </w:rPr>
        <w:t>流经</w:t>
      </w:r>
      <w:r>
        <w:rPr>
          <w:rFonts w:hint="eastAsia" w:cs="Times New Roman"/>
          <w:color w:val="auto"/>
          <w:sz w:val="24"/>
          <w:highlight w:val="none"/>
          <w:lang w:eastAsia="zh-CN"/>
        </w:rPr>
        <w:t>约</w:t>
      </w:r>
      <w:r>
        <w:rPr>
          <w:rFonts w:hint="eastAsia" w:cs="Times New Roman"/>
          <w:color w:val="auto"/>
          <w:sz w:val="24"/>
          <w:highlight w:val="none"/>
          <w:lang w:val="en-US" w:eastAsia="zh-CN"/>
        </w:rPr>
        <w:t>4.2</w:t>
      </w:r>
      <w:r>
        <w:rPr>
          <w:rFonts w:hint="default" w:ascii="Times New Roman" w:hAnsi="Times New Roman" w:eastAsia="宋体" w:cs="Times New Roman"/>
          <w:color w:val="auto"/>
          <w:sz w:val="24"/>
          <w:highlight w:val="none"/>
        </w:rPr>
        <w:t>km</w:t>
      </w:r>
      <w:r>
        <w:rPr>
          <w:rFonts w:hint="default" w:ascii="Times New Roman" w:hAnsi="Times New Roman" w:eastAsia="宋体" w:cs="Times New Roman"/>
          <w:color w:val="auto"/>
          <w:sz w:val="24"/>
          <w:highlight w:val="none"/>
          <w:lang w:eastAsia="zh-CN"/>
        </w:rPr>
        <w:t>后</w:t>
      </w:r>
      <w:r>
        <w:rPr>
          <w:rFonts w:hint="default" w:ascii="Times New Roman" w:hAnsi="Times New Roman" w:eastAsia="宋体" w:cs="Times New Roman"/>
          <w:color w:val="auto"/>
          <w:sz w:val="24"/>
          <w:highlight w:val="none"/>
        </w:rPr>
        <w:t>汇入汉江</w:t>
      </w:r>
      <w:r>
        <w:rPr>
          <w:rFonts w:hint="eastAsia" w:cs="Times New Roman"/>
          <w:color w:val="auto"/>
          <w:sz w:val="24"/>
          <w:highlight w:val="none"/>
          <w:lang w:eastAsia="zh-CN"/>
        </w:rPr>
        <w:t>；排放方式为连续排放</w:t>
      </w:r>
      <w:r>
        <w:rPr>
          <w:rFonts w:hint="eastAsia" w:ascii="Times New Roman" w:hAnsi="Times New Roman" w:eastAsia="宋体" w:cs="Times New Roman"/>
          <w:color w:val="auto"/>
          <w:sz w:val="24"/>
          <w:highlight w:val="none"/>
          <w:lang w:val="en-US" w:eastAsia="zh-CN"/>
        </w:rPr>
        <w:t>，所在水功能区为：</w:t>
      </w:r>
      <w:r>
        <w:rPr>
          <w:rFonts w:hint="default" w:ascii="Times New Roman" w:hAnsi="Times New Roman" w:eastAsia="宋体" w:cs="Times New Roman"/>
          <w:color w:val="auto"/>
          <w:sz w:val="24"/>
          <w:highlight w:val="none"/>
          <w:lang w:val="en-US" w:eastAsia="zh-CN"/>
        </w:rPr>
        <w:t>一级水功能区</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溢水河洋县保留区</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，目标水质为</w:t>
      </w:r>
      <w:r>
        <w:rPr>
          <w:rFonts w:hint="default" w:ascii="Times New Roman" w:hAnsi="Times New Roman" w:eastAsia="宋体" w:cs="Times New Roman"/>
          <w:color w:val="auto"/>
          <w:sz w:val="24"/>
          <w:highlight w:val="none"/>
          <w:lang w:val="en-US" w:eastAsia="zh-CN"/>
        </w:rPr>
        <w:fldChar w:fldCharType="begin"/>
      </w:r>
      <w:r>
        <w:rPr>
          <w:rFonts w:hint="default" w:ascii="Times New Roman" w:hAnsi="Times New Roman" w:eastAsia="宋体" w:cs="Times New Roman"/>
          <w:color w:val="auto"/>
          <w:sz w:val="24"/>
          <w:highlight w:val="none"/>
          <w:lang w:val="en-US" w:eastAsia="zh-CN"/>
        </w:rPr>
        <w:instrText xml:space="preserve"> = 2 \* ROMAN \* MERGEFORMAT </w:instrText>
      </w:r>
      <w:r>
        <w:rPr>
          <w:rFonts w:hint="default" w:ascii="Times New Roman" w:hAnsi="Times New Roman" w:eastAsia="宋体" w:cs="Times New Roman"/>
          <w:color w:val="auto"/>
          <w:sz w:val="24"/>
          <w:highlight w:val="none"/>
          <w:lang w:val="en-US" w:eastAsia="zh-CN"/>
        </w:rPr>
        <w:fldChar w:fldCharType="separate"/>
      </w:r>
      <w:r>
        <w:rPr>
          <w:rFonts w:hint="default" w:ascii="Times New Roman" w:hAnsi="Times New Roman" w:eastAsia="宋体" w:cs="Times New Roman"/>
          <w:color w:val="auto"/>
          <w:sz w:val="24"/>
          <w:highlight w:val="none"/>
          <w:lang w:val="en-US" w:eastAsia="zh-CN"/>
        </w:rPr>
        <w:t>II</w:t>
      </w:r>
      <w:r>
        <w:rPr>
          <w:rFonts w:hint="default" w:ascii="Times New Roman" w:hAnsi="Times New Roman" w:eastAsia="宋体" w:cs="Times New Roman"/>
          <w:color w:val="auto"/>
          <w:sz w:val="24"/>
          <w:highlight w:val="none"/>
          <w:lang w:val="en-US" w:eastAsia="zh-CN"/>
        </w:rPr>
        <w:fldChar w:fldCharType="end"/>
      </w:r>
      <w:r>
        <w:rPr>
          <w:rFonts w:hint="default" w:ascii="Times New Roman" w:hAnsi="Times New Roman" w:eastAsia="宋体" w:cs="Times New Roman"/>
          <w:color w:val="auto"/>
          <w:sz w:val="24"/>
          <w:highlight w:val="none"/>
          <w:lang w:val="en-US" w:eastAsia="zh-CN"/>
        </w:rPr>
        <w:t>类。</w:t>
      </w:r>
    </w:p>
    <w:p w14:paraId="1042EEEA">
      <w:pPr>
        <w:pStyle w:val="4"/>
        <w:keepNext/>
        <w:keepLines/>
        <w:tabs>
          <w:tab w:val="left" w:pos="210"/>
        </w:tabs>
        <w:spacing w:before="200" w:beforeAutospacing="0" w:after="200" w:afterAutospacing="0" w:line="360" w:lineRule="auto"/>
        <w:jc w:val="both"/>
        <w:rPr>
          <w:rFonts w:hint="eastAsia" w:ascii="Times New Roman" w:hAnsi="Times New Roman" w:cs="Times New Roman"/>
          <w:color w:val="auto"/>
          <w:kern w:val="2"/>
          <w:sz w:val="24"/>
          <w:szCs w:val="32"/>
          <w:highlight w:val="none"/>
          <w:lang w:val="en-US" w:eastAsia="zh-CN"/>
        </w:rPr>
      </w:pPr>
      <w:bookmarkStart w:id="123" w:name="_Toc25693"/>
      <w:r>
        <w:rPr>
          <w:rFonts w:hint="eastAsia" w:ascii="Times New Roman" w:hAnsi="Times New Roman" w:eastAsia="宋体" w:cs="Times New Roman"/>
          <w:color w:val="auto"/>
          <w:kern w:val="2"/>
          <w:sz w:val="24"/>
          <w:szCs w:val="32"/>
          <w:highlight w:val="none"/>
          <w:lang w:val="en-US" w:eastAsia="zh-CN"/>
        </w:rPr>
        <w:t xml:space="preserve">2.2 </w:t>
      </w:r>
      <w:r>
        <w:rPr>
          <w:rFonts w:hint="eastAsia" w:ascii="Times New Roman" w:hAnsi="Times New Roman" w:cs="Times New Roman"/>
          <w:color w:val="auto"/>
          <w:kern w:val="2"/>
          <w:sz w:val="24"/>
          <w:szCs w:val="32"/>
          <w:highlight w:val="none"/>
          <w:lang w:val="en-US" w:eastAsia="zh-CN"/>
        </w:rPr>
        <w:t>工程组成</w:t>
      </w:r>
      <w:bookmarkEnd w:id="123"/>
    </w:p>
    <w:p w14:paraId="46AB537A">
      <w:pPr>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olor w:val="auto"/>
          <w:sz w:val="24"/>
          <w:szCs w:val="24"/>
          <w:highlight w:val="none"/>
          <w:lang w:val="en-US" w:eastAsia="zh-CN"/>
        </w:rPr>
        <w:t>项目主要建设内容包</w:t>
      </w:r>
      <w:r>
        <w:rPr>
          <w:rFonts w:hint="eastAsia" w:ascii="Times New Roman" w:hAnsi="Times New Roman" w:eastAsia="宋体" w:cs="Times New Roman"/>
          <w:bCs w:val="0"/>
          <w:color w:val="auto"/>
          <w:kern w:val="2"/>
          <w:sz w:val="24"/>
          <w:szCs w:val="24"/>
          <w:highlight w:val="none"/>
          <w:lang w:val="en-US" w:eastAsia="zh-CN" w:bidi="ar-SA"/>
        </w:rPr>
        <w:t>括：</w:t>
      </w:r>
      <w:r>
        <w:rPr>
          <w:rFonts w:hint="eastAsia" w:ascii="Times New Roman" w:hAnsi="Times New Roman" w:eastAsia="宋体" w:cs="Times New Roman"/>
          <w:color w:val="auto"/>
          <w:sz w:val="24"/>
          <w:szCs w:val="24"/>
          <w:highlight w:val="none"/>
          <w:lang w:val="en-US" w:eastAsia="zh-CN"/>
        </w:rPr>
        <w:t>预</w:t>
      </w:r>
      <w:r>
        <w:rPr>
          <w:rFonts w:hint="eastAsia" w:ascii="Times New Roman" w:hAnsi="Times New Roman" w:eastAsia="宋体" w:cs="Times New Roman"/>
          <w:color w:val="auto"/>
          <w:sz w:val="24"/>
          <w:highlight w:val="none"/>
          <w:lang w:val="en-US" w:eastAsia="zh-CN"/>
        </w:rPr>
        <w:t>处理单元、生物处理单元、深度处理单元、污泥处理单元以及其他附属设施，具体组成见下表：</w:t>
      </w:r>
    </w:p>
    <w:p w14:paraId="3409F0A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表2</w:t>
      </w:r>
      <w:r>
        <w:rPr>
          <w:rFonts w:hint="eastAsia" w:ascii="Times New Roman" w:hAnsi="Times New Roman" w:cs="Times New Roman"/>
          <w:b/>
          <w:bCs w:val="0"/>
          <w:color w:val="auto"/>
          <w:sz w:val="21"/>
          <w:szCs w:val="21"/>
          <w:highlight w:val="none"/>
          <w:lang w:val="en-US" w:eastAsia="zh-CN"/>
        </w:rPr>
        <w:t>.2</w:t>
      </w:r>
      <w:r>
        <w:rPr>
          <w:rFonts w:hint="default" w:ascii="Times New Roman" w:hAnsi="Times New Roman" w:cs="Times New Roman"/>
          <w:b/>
          <w:bCs w:val="0"/>
          <w:color w:val="auto"/>
          <w:sz w:val="21"/>
          <w:szCs w:val="21"/>
          <w:highlight w:val="none"/>
          <w:lang w:val="en-US" w:eastAsia="zh-CN"/>
        </w:rPr>
        <w:t>-1  项目工程组成表</w:t>
      </w:r>
    </w:p>
    <w:tbl>
      <w:tblPr>
        <w:tblStyle w:val="31"/>
        <w:tblW w:w="809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44"/>
        <w:gridCol w:w="650"/>
        <w:gridCol w:w="937"/>
        <w:gridCol w:w="5961"/>
      </w:tblGrid>
      <w:tr w14:paraId="244CC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24" w:hRule="atLeast"/>
          <w:jc w:val="center"/>
        </w:trPr>
        <w:tc>
          <w:tcPr>
            <w:tcW w:w="2131" w:type="dxa"/>
            <w:gridSpan w:val="3"/>
            <w:tcBorders>
              <w:tl2br w:val="nil"/>
              <w:tr2bl w:val="nil"/>
            </w:tcBorders>
            <w:noWrap w:val="0"/>
            <w:vAlign w:val="center"/>
          </w:tcPr>
          <w:p w14:paraId="05609CAE">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工程分类及</w:t>
            </w:r>
          </w:p>
          <w:p w14:paraId="3C798F59">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项目名称</w:t>
            </w:r>
          </w:p>
        </w:tc>
        <w:tc>
          <w:tcPr>
            <w:tcW w:w="5961" w:type="dxa"/>
            <w:tcBorders>
              <w:tl2br w:val="nil"/>
              <w:tr2bl w:val="nil"/>
            </w:tcBorders>
            <w:noWrap w:val="0"/>
            <w:vAlign w:val="center"/>
          </w:tcPr>
          <w:p w14:paraId="5576229C">
            <w:pPr>
              <w:kinsoku w:val="0"/>
              <w:overflowPunct w:val="0"/>
              <w:autoSpaceDE w:val="0"/>
              <w:autoSpaceDN w:val="0"/>
              <w:snapToGrid w:val="0"/>
              <w:ind w:firstLine="10" w:firstLineChars="5"/>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建设内容及规模</w:t>
            </w:r>
          </w:p>
        </w:tc>
      </w:tr>
      <w:tr w14:paraId="011339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031" w:hRule="atLeast"/>
          <w:jc w:val="center"/>
        </w:trPr>
        <w:tc>
          <w:tcPr>
            <w:tcW w:w="544" w:type="dxa"/>
            <w:vMerge w:val="restart"/>
            <w:tcBorders>
              <w:tl2br w:val="nil"/>
              <w:tr2bl w:val="nil"/>
            </w:tcBorders>
            <w:noWrap w:val="0"/>
            <w:vAlign w:val="center"/>
          </w:tcPr>
          <w:p w14:paraId="0B7875DC">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650" w:type="dxa"/>
            <w:vMerge w:val="restart"/>
            <w:tcBorders>
              <w:tl2br w:val="nil"/>
              <w:tr2bl w:val="nil"/>
            </w:tcBorders>
            <w:noWrap w:val="0"/>
            <w:vAlign w:val="center"/>
          </w:tcPr>
          <w:p w14:paraId="3483FD4E">
            <w:pPr>
              <w:kinsoku w:val="0"/>
              <w:overflowPunct w:val="0"/>
              <w:autoSpaceDE w:val="0"/>
              <w:autoSpaceDN w:val="0"/>
              <w:snapToGrid w:val="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污水</w:t>
            </w:r>
            <w:r>
              <w:rPr>
                <w:rFonts w:hint="default" w:ascii="Times New Roman" w:hAnsi="Times New Roman" w:cs="Times New Roman"/>
                <w:color w:val="auto"/>
                <w:highlight w:val="none"/>
                <w:lang w:eastAsia="zh-CN"/>
              </w:rPr>
              <w:t>处理</w:t>
            </w:r>
            <w:r>
              <w:rPr>
                <w:rFonts w:hint="eastAsia" w:cs="Times New Roman"/>
                <w:color w:val="auto"/>
                <w:highlight w:val="none"/>
                <w:lang w:eastAsia="zh-CN"/>
              </w:rPr>
              <w:t>厂</w:t>
            </w:r>
          </w:p>
        </w:tc>
        <w:tc>
          <w:tcPr>
            <w:tcW w:w="937" w:type="dxa"/>
            <w:tcBorders>
              <w:tl2br w:val="nil"/>
              <w:tr2bl w:val="nil"/>
            </w:tcBorders>
            <w:noWrap w:val="0"/>
            <w:vAlign w:val="center"/>
          </w:tcPr>
          <w:p w14:paraId="3253DE7A">
            <w:pPr>
              <w:kinsoku w:val="0"/>
              <w:overflowPunct w:val="0"/>
              <w:autoSpaceDE w:val="0"/>
              <w:autoSpaceDN w:val="0"/>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预处理</w:t>
            </w:r>
          </w:p>
          <w:p w14:paraId="09B22FD8">
            <w:pPr>
              <w:kinsoku w:val="0"/>
              <w:overflowPunct w:val="0"/>
              <w:autoSpaceDE w:val="0"/>
              <w:autoSpaceDN w:val="0"/>
              <w:snapToGrid w:val="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单元</w:t>
            </w:r>
          </w:p>
        </w:tc>
        <w:tc>
          <w:tcPr>
            <w:tcW w:w="5961" w:type="dxa"/>
            <w:tcBorders>
              <w:tl2br w:val="nil"/>
              <w:tr2bl w:val="nil"/>
            </w:tcBorders>
            <w:noWrap w:val="0"/>
            <w:vAlign w:val="center"/>
          </w:tcPr>
          <w:p w14:paraId="76B87B9D">
            <w:pPr>
              <w:keepNext w:val="0"/>
              <w:keepLines w:val="0"/>
              <w:widowControl/>
              <w:suppressLineNumbers w:val="0"/>
              <w:jc w:val="both"/>
              <w:rPr>
                <w:rFonts w:hint="default" w:cs="Times New Roman"/>
                <w:b w:val="0"/>
                <w:bCs w:val="0"/>
                <w:color w:val="auto"/>
                <w:highlight w:val="none"/>
                <w:lang w:val="en-US" w:eastAsia="zh-CN"/>
              </w:rPr>
            </w:pPr>
            <w:r>
              <w:rPr>
                <w:rFonts w:hint="default" w:ascii="Times New Roman" w:hAnsi="Times New Roman" w:eastAsia="宋体" w:cs="Times New Roman"/>
                <w:b w:val="0"/>
                <w:bCs w:val="0"/>
                <w:color w:val="auto"/>
                <w:kern w:val="2"/>
                <w:sz w:val="21"/>
                <w:szCs w:val="24"/>
                <w:highlight w:val="none"/>
                <w:lang w:val="en-US" w:eastAsia="zh-CN" w:bidi="ar-SA"/>
              </w:rPr>
              <w:t>预处理间1座</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尺寸：L×B×H＝16.0m×9.3m×6.2m</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框架结构</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eastAsia" w:cs="Times New Roman"/>
                <w:b w:val="0"/>
                <w:bCs w:val="0"/>
                <w:color w:val="auto"/>
                <w:highlight w:val="none"/>
                <w:lang w:val="en-US" w:eastAsia="zh-CN"/>
              </w:rPr>
              <w:t>格栅渠2座、集水池1座、调节池1座，全为地下式钢砼结构；</w:t>
            </w:r>
          </w:p>
          <w:p w14:paraId="589AA7F7">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eastAsia" w:cs="Times New Roman"/>
                <w:b w:val="0"/>
                <w:bCs w:val="0"/>
                <w:color w:val="auto"/>
                <w:highlight w:val="none"/>
                <w:lang w:val="en-US" w:eastAsia="zh-CN"/>
              </w:rPr>
              <w:t>其中格栅渠尺寸：L×B×H＝10.0m×0.6m×4.0m，去除进水中的漂浮物和悬浮物；</w:t>
            </w:r>
            <w:r>
              <w:rPr>
                <w:rFonts w:hint="eastAsia" w:ascii="Times New Roman" w:hAnsi="Times New Roman" w:eastAsia="宋体" w:cs="Times New Roman"/>
                <w:b w:val="0"/>
                <w:bCs w:val="0"/>
                <w:color w:val="auto"/>
                <w:kern w:val="2"/>
                <w:sz w:val="21"/>
                <w:szCs w:val="24"/>
                <w:highlight w:val="none"/>
                <w:lang w:val="en-US" w:eastAsia="zh-CN" w:bidi="ar-SA"/>
              </w:rPr>
              <w:t>集水池尺寸：L×B×H＝5.0m×3.0m×5.5m；调节池尺寸L×B×H＝16.0m×6.3m×5.5m，停留时间7h，</w:t>
            </w:r>
            <w:r>
              <w:rPr>
                <w:rFonts w:hint="default" w:ascii="Times New Roman" w:hAnsi="Times New Roman" w:eastAsia="宋体" w:cs="Times New Roman"/>
                <w:color w:val="auto"/>
                <w:highlight w:val="none"/>
                <w:lang w:val="en-US" w:eastAsia="zh-CN"/>
              </w:rPr>
              <w:t>主要用于调节水量，均</w:t>
            </w:r>
            <w:r>
              <w:rPr>
                <w:rFonts w:hint="eastAsia" w:eastAsia="宋体" w:cs="Times New Roman"/>
                <w:color w:val="auto"/>
                <w:highlight w:val="none"/>
                <w:lang w:val="en-US" w:eastAsia="zh-CN"/>
              </w:rPr>
              <w:t>化</w:t>
            </w:r>
            <w:r>
              <w:rPr>
                <w:rFonts w:hint="default" w:ascii="Times New Roman" w:hAnsi="Times New Roman" w:eastAsia="宋体" w:cs="Times New Roman"/>
                <w:color w:val="auto"/>
                <w:highlight w:val="none"/>
                <w:lang w:val="en-US" w:eastAsia="zh-CN"/>
              </w:rPr>
              <w:t>水质</w:t>
            </w:r>
            <w:r>
              <w:rPr>
                <w:rFonts w:hint="eastAsia" w:ascii="Times New Roman" w:hAnsi="Times New Roman" w:eastAsia="宋体" w:cs="Times New Roman"/>
                <w:color w:val="auto"/>
                <w:highlight w:val="none"/>
                <w:lang w:val="en-US" w:eastAsia="zh-CN"/>
              </w:rPr>
              <w:t>。</w:t>
            </w:r>
          </w:p>
        </w:tc>
      </w:tr>
      <w:tr w14:paraId="68CB10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09" w:hRule="atLeast"/>
          <w:jc w:val="center"/>
        </w:trPr>
        <w:tc>
          <w:tcPr>
            <w:tcW w:w="544" w:type="dxa"/>
            <w:vMerge w:val="continue"/>
            <w:tcBorders>
              <w:tl2br w:val="nil"/>
              <w:tr2bl w:val="nil"/>
            </w:tcBorders>
            <w:noWrap w:val="0"/>
            <w:vAlign w:val="center"/>
          </w:tcPr>
          <w:p w14:paraId="10FED52F">
            <w:pPr>
              <w:kinsoku w:val="0"/>
              <w:overflowPunct w:val="0"/>
              <w:autoSpaceDE w:val="0"/>
              <w:autoSpaceDN w:val="0"/>
              <w:snapToGrid w:val="0"/>
              <w:jc w:val="center"/>
              <w:rPr>
                <w:rFonts w:hint="default" w:ascii="Times New Roman" w:hAnsi="Times New Roman" w:cs="Times New Roman"/>
                <w:color w:val="auto"/>
                <w:highlight w:val="none"/>
              </w:rPr>
            </w:pPr>
          </w:p>
        </w:tc>
        <w:tc>
          <w:tcPr>
            <w:tcW w:w="650" w:type="dxa"/>
            <w:vMerge w:val="continue"/>
            <w:tcBorders>
              <w:tl2br w:val="nil"/>
              <w:tr2bl w:val="nil"/>
            </w:tcBorders>
            <w:noWrap w:val="0"/>
            <w:vAlign w:val="center"/>
          </w:tcPr>
          <w:p w14:paraId="1EC8E5DA">
            <w:pPr>
              <w:kinsoku w:val="0"/>
              <w:overflowPunct w:val="0"/>
              <w:autoSpaceDE w:val="0"/>
              <w:autoSpaceDN w:val="0"/>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1199EE65">
            <w:pPr>
              <w:kinsoku w:val="0"/>
              <w:overflowPunct w:val="0"/>
              <w:autoSpaceDE w:val="0"/>
              <w:autoSpaceDN w:val="0"/>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生物处理单元</w:t>
            </w:r>
          </w:p>
        </w:tc>
        <w:tc>
          <w:tcPr>
            <w:tcW w:w="5961" w:type="dxa"/>
            <w:tcBorders>
              <w:tl2br w:val="nil"/>
              <w:tr2bl w:val="nil"/>
            </w:tcBorders>
            <w:noWrap w:val="0"/>
            <w:vAlign w:val="center"/>
          </w:tcPr>
          <w:p w14:paraId="0D57D6D8">
            <w:pPr>
              <w:keepNext w:val="0"/>
              <w:keepLines w:val="0"/>
              <w:widowControl/>
              <w:suppressLineNumbers w:val="0"/>
              <w:jc w:val="both"/>
              <w:rPr>
                <w:rFonts w:hint="eastAsia" w:cs="Times New Roman"/>
                <w:b w:val="0"/>
                <w:bCs w:val="0"/>
                <w:color w:val="auto"/>
                <w:highlight w:val="none"/>
                <w:lang w:val="en-US" w:eastAsia="zh-CN"/>
              </w:rPr>
            </w:pPr>
            <w:r>
              <w:rPr>
                <w:rFonts w:hint="eastAsia" w:ascii="宋体" w:hAnsi="宋体" w:eastAsia="宋体" w:cs="宋体"/>
                <w:b w:val="0"/>
                <w:bCs w:val="0"/>
                <w:color w:val="auto"/>
                <w:highlight w:val="none"/>
                <w:lang w:val="en-US" w:eastAsia="zh-CN"/>
              </w:rPr>
              <w:t>①</w:t>
            </w:r>
            <w:r>
              <w:rPr>
                <w:rFonts w:hint="default" w:ascii="Times New Roman" w:hAnsi="Times New Roman" w:cs="Times New Roman"/>
                <w:b w:val="0"/>
                <w:bCs w:val="0"/>
                <w:color w:val="auto"/>
                <w:highlight w:val="none"/>
                <w:lang w:val="en-US" w:eastAsia="zh-CN"/>
              </w:rPr>
              <w:t>AAO生化池1座两组，并联运行</w:t>
            </w:r>
            <w:r>
              <w:rPr>
                <w:rFonts w:hint="eastAsia" w:cs="Times New Roman"/>
                <w:b w:val="0"/>
                <w:bCs w:val="0"/>
                <w:color w:val="auto"/>
                <w:highlight w:val="none"/>
                <w:lang w:val="en-US" w:eastAsia="zh-CN"/>
              </w:rPr>
              <w:t>，半地上式钢砼结构，尺寸：L×B×H＝17.7m×13.5m×6.0m，去除COD、氨氮、TN、TP等污染物。</w:t>
            </w:r>
          </w:p>
          <w:p w14:paraId="1A34D074">
            <w:pPr>
              <w:keepNext w:val="0"/>
              <w:keepLines w:val="0"/>
              <w:widowControl/>
              <w:suppressLineNumbers w:val="0"/>
              <w:jc w:val="both"/>
              <w:rPr>
                <w:rFonts w:hint="eastAsia" w:cs="Times New Roman"/>
                <w:b w:val="0"/>
                <w:bCs w:val="0"/>
                <w:color w:val="auto"/>
                <w:highlight w:val="none"/>
                <w:lang w:val="en-US" w:eastAsia="zh-CN"/>
              </w:rPr>
            </w:pPr>
            <w:r>
              <w:rPr>
                <w:rFonts w:hint="eastAsia" w:ascii="宋体" w:hAnsi="宋体" w:eastAsia="宋体" w:cs="宋体"/>
                <w:b w:val="0"/>
                <w:bCs w:val="0"/>
                <w:color w:val="auto"/>
                <w:highlight w:val="none"/>
                <w:lang w:val="en-US" w:eastAsia="zh-CN"/>
              </w:rPr>
              <w:t>②</w:t>
            </w:r>
            <w:r>
              <w:rPr>
                <w:rFonts w:hint="eastAsia" w:cs="Times New Roman"/>
                <w:b w:val="0"/>
                <w:bCs w:val="0"/>
                <w:color w:val="auto"/>
                <w:highlight w:val="none"/>
                <w:lang w:val="en-US" w:eastAsia="zh-CN"/>
              </w:rPr>
              <w:t>二沉池1座，尺寸：D×H＝</w:t>
            </w:r>
            <w:r>
              <w:rPr>
                <w:rFonts w:hint="default" w:ascii="Times New Roman" w:hAnsi="Times New Roman" w:cs="Times New Roman"/>
                <w:b w:val="0"/>
                <w:bCs w:val="0"/>
                <w:color w:val="auto"/>
                <w:highlight w:val="none"/>
                <w:lang w:val="en-US" w:eastAsia="zh-CN"/>
              </w:rPr>
              <w:t>φ</w:t>
            </w:r>
            <w:r>
              <w:rPr>
                <w:rFonts w:hint="eastAsia" w:cs="Times New Roman"/>
                <w:b w:val="0"/>
                <w:bCs w:val="0"/>
                <w:color w:val="auto"/>
                <w:highlight w:val="none"/>
                <w:lang w:val="en-US" w:eastAsia="zh-CN"/>
              </w:rPr>
              <w:t>10.0m×4.5m，半地上式钢砼结构，有效水深：h=4.0m，主要功能为泥水分离。</w:t>
            </w:r>
          </w:p>
          <w:p w14:paraId="433CCAA5">
            <w:pPr>
              <w:keepNext w:val="0"/>
              <w:keepLines w:val="0"/>
              <w:widowControl/>
              <w:suppressLineNumbers w:val="0"/>
              <w:jc w:val="both"/>
              <w:rPr>
                <w:rFonts w:hint="eastAsia" w:cs="Times New Roman"/>
                <w:b w:val="0"/>
                <w:bCs w:val="0"/>
                <w:color w:val="auto"/>
                <w:highlight w:val="none"/>
                <w:lang w:val="en-US" w:eastAsia="zh-CN"/>
              </w:rPr>
            </w:pPr>
            <w:r>
              <w:rPr>
                <w:rFonts w:hint="eastAsia" w:ascii="宋体" w:hAnsi="宋体" w:eastAsia="宋体" w:cs="宋体"/>
                <w:b w:val="0"/>
                <w:bCs w:val="0"/>
                <w:color w:val="auto"/>
                <w:highlight w:val="none"/>
                <w:lang w:val="en-US" w:eastAsia="zh-CN"/>
              </w:rPr>
              <w:t>③</w:t>
            </w:r>
            <w:r>
              <w:rPr>
                <w:rFonts w:hint="eastAsia" w:cs="Times New Roman"/>
                <w:b w:val="0"/>
                <w:bCs w:val="0"/>
                <w:color w:val="auto"/>
                <w:highlight w:val="none"/>
                <w:lang w:val="en-US" w:eastAsia="zh-CN"/>
              </w:rPr>
              <w:t>高密沉淀池1座，尺寸：L×B×H＝7.5m×4.3m×5.2m，半地上式钢砼结构，进一步去除TP、SS等污染物。</w:t>
            </w:r>
          </w:p>
          <w:p w14:paraId="3BCBC8A8">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eastAsia" w:ascii="宋体" w:hAnsi="宋体" w:eastAsia="宋体" w:cs="宋体"/>
                <w:b w:val="0"/>
                <w:bCs w:val="0"/>
                <w:color w:val="auto"/>
                <w:highlight w:val="none"/>
                <w:lang w:val="en-US" w:eastAsia="zh-CN"/>
              </w:rPr>
              <w:t>④</w:t>
            </w:r>
            <w:r>
              <w:rPr>
                <w:rFonts w:hint="eastAsia" w:ascii="Times New Roman" w:hAnsi="Times New Roman" w:eastAsia="宋体" w:cs="Times New Roman"/>
                <w:b w:val="0"/>
                <w:bCs w:val="0"/>
                <w:color w:val="auto"/>
                <w:highlight w:val="none"/>
                <w:lang w:val="en-US" w:eastAsia="zh-CN"/>
              </w:rPr>
              <w:t>滤布滤池1座，尺寸：L×B×H＝4.0m×4.3m×5.2m，半地下式钢砼结构，去除污水中细小的悬浮物、颗粒物。</w:t>
            </w:r>
          </w:p>
        </w:tc>
      </w:tr>
      <w:tr w14:paraId="6DB6B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6" w:hRule="atLeast"/>
          <w:jc w:val="center"/>
        </w:trPr>
        <w:tc>
          <w:tcPr>
            <w:tcW w:w="544" w:type="dxa"/>
            <w:vMerge w:val="continue"/>
            <w:tcBorders>
              <w:tl2br w:val="nil"/>
              <w:tr2bl w:val="nil"/>
            </w:tcBorders>
            <w:noWrap w:val="0"/>
            <w:vAlign w:val="center"/>
          </w:tcPr>
          <w:p w14:paraId="67BA9D5A">
            <w:pPr>
              <w:widowControl/>
              <w:snapToGrid w:val="0"/>
              <w:jc w:val="center"/>
              <w:rPr>
                <w:rFonts w:hint="default" w:ascii="Times New Roman" w:hAnsi="Times New Roman" w:cs="Times New Roman"/>
                <w:color w:val="auto"/>
                <w:highlight w:val="none"/>
              </w:rPr>
            </w:pPr>
          </w:p>
        </w:tc>
        <w:tc>
          <w:tcPr>
            <w:tcW w:w="650" w:type="dxa"/>
            <w:vMerge w:val="continue"/>
            <w:tcBorders>
              <w:tl2br w:val="nil"/>
              <w:tr2bl w:val="nil"/>
            </w:tcBorders>
            <w:noWrap w:val="0"/>
            <w:vAlign w:val="center"/>
          </w:tcPr>
          <w:p w14:paraId="292E120C">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5BF61517">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深度处理单元</w:t>
            </w:r>
          </w:p>
        </w:tc>
        <w:tc>
          <w:tcPr>
            <w:tcW w:w="5961" w:type="dxa"/>
            <w:tcBorders>
              <w:tl2br w:val="nil"/>
              <w:tr2bl w:val="nil"/>
            </w:tcBorders>
            <w:noWrap w:val="0"/>
            <w:vAlign w:val="center"/>
          </w:tcPr>
          <w:p w14:paraId="1D28EEB7">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b w:val="0"/>
                <w:bCs w:val="0"/>
                <w:color w:val="auto"/>
                <w:highlight w:val="none"/>
                <w:lang w:eastAsia="zh-CN"/>
              </w:rPr>
              <w:t>接触消毒池</w:t>
            </w:r>
            <w:r>
              <w:rPr>
                <w:rFonts w:hint="eastAsia" w:cs="Times New Roman"/>
                <w:b w:val="0"/>
                <w:bCs w:val="0"/>
                <w:color w:val="auto"/>
                <w:highlight w:val="none"/>
                <w:lang w:val="en-US" w:eastAsia="zh-CN"/>
              </w:rPr>
              <w:t>1座</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地下</w:t>
            </w:r>
            <w:r>
              <w:rPr>
                <w:rFonts w:hint="eastAsia" w:cs="Times New Roman"/>
                <w:color w:val="auto"/>
                <w:highlight w:val="none"/>
                <w:lang w:val="en-US" w:eastAsia="zh-CN"/>
              </w:rPr>
              <w:t>钢砼</w:t>
            </w:r>
            <w:r>
              <w:rPr>
                <w:rFonts w:hint="default" w:ascii="Times New Roman" w:hAnsi="Times New Roman" w:eastAsia="宋体" w:cs="Times New Roman"/>
                <w:color w:val="auto"/>
                <w:highlight w:val="none"/>
                <w:lang w:val="en-US" w:eastAsia="zh-CN"/>
              </w:rPr>
              <w:t>结构，尺寸：L×B×H＝9.5m×7.0m×2.5m，用于杀灭细菌；消毒接触时间：大于30 min</w:t>
            </w:r>
            <w:r>
              <w:rPr>
                <w:rFonts w:hint="eastAsia" w:cs="Times New Roman"/>
                <w:color w:val="auto"/>
                <w:highlight w:val="none"/>
                <w:lang w:val="en-US" w:eastAsia="zh-CN"/>
              </w:rPr>
              <w:t>，</w:t>
            </w:r>
            <w:r>
              <w:rPr>
                <w:rFonts w:hint="eastAsia" w:eastAsia="宋体" w:cs="Times New Roman"/>
                <w:color w:val="auto"/>
                <w:highlight w:val="none"/>
                <w:lang w:val="en-US" w:eastAsia="zh-CN"/>
              </w:rPr>
              <w:t>消毒剂为次氯酸钠</w:t>
            </w:r>
            <w:r>
              <w:rPr>
                <w:rFonts w:hint="eastAsia" w:cs="Times New Roman"/>
                <w:color w:val="auto"/>
                <w:highlight w:val="none"/>
                <w:lang w:val="en-US" w:eastAsia="zh-CN"/>
              </w:rPr>
              <w:t>。</w:t>
            </w:r>
          </w:p>
        </w:tc>
      </w:tr>
      <w:tr w14:paraId="741C37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544" w:type="dxa"/>
            <w:vMerge w:val="continue"/>
            <w:tcBorders>
              <w:tl2br w:val="nil"/>
              <w:tr2bl w:val="nil"/>
            </w:tcBorders>
            <w:noWrap w:val="0"/>
            <w:vAlign w:val="center"/>
          </w:tcPr>
          <w:p w14:paraId="37D8410C">
            <w:pPr>
              <w:widowControl/>
              <w:snapToGrid w:val="0"/>
              <w:jc w:val="center"/>
              <w:rPr>
                <w:rFonts w:hint="default" w:ascii="Times New Roman" w:hAnsi="Times New Roman" w:cs="Times New Roman"/>
                <w:color w:val="auto"/>
                <w:highlight w:val="none"/>
              </w:rPr>
            </w:pPr>
          </w:p>
        </w:tc>
        <w:tc>
          <w:tcPr>
            <w:tcW w:w="650" w:type="dxa"/>
            <w:vMerge w:val="continue"/>
            <w:tcBorders>
              <w:tl2br w:val="nil"/>
              <w:tr2bl w:val="nil"/>
            </w:tcBorders>
            <w:noWrap w:val="0"/>
            <w:vAlign w:val="center"/>
          </w:tcPr>
          <w:p w14:paraId="72A9B33E">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62917D37">
            <w:pPr>
              <w:kinsoku w:val="0"/>
              <w:overflowPunct w:val="0"/>
              <w:autoSpaceDE w:val="0"/>
              <w:autoSpaceDN w:val="0"/>
              <w:snapToGrid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eastAsia="zh-CN"/>
              </w:rPr>
              <w:t>污泥</w:t>
            </w:r>
            <w:r>
              <w:rPr>
                <w:rFonts w:hint="eastAsia" w:cs="Times New Roman"/>
                <w:color w:val="auto"/>
                <w:highlight w:val="none"/>
                <w:lang w:val="en-US" w:eastAsia="zh-CN"/>
              </w:rPr>
              <w:t>处理单元</w:t>
            </w:r>
          </w:p>
        </w:tc>
        <w:tc>
          <w:tcPr>
            <w:tcW w:w="5961" w:type="dxa"/>
            <w:tcBorders>
              <w:tl2br w:val="nil"/>
              <w:tr2bl w:val="nil"/>
            </w:tcBorders>
            <w:noWrap w:val="0"/>
            <w:vAlign w:val="center"/>
          </w:tcPr>
          <w:p w14:paraId="0CED129F">
            <w:pPr>
              <w:kinsoku w:val="0"/>
              <w:overflowPunct w:val="0"/>
              <w:autoSpaceDE w:val="0"/>
              <w:autoSpaceDN w:val="0"/>
              <w:snapToGrid w:val="0"/>
              <w:jc w:val="both"/>
              <w:rPr>
                <w:rFonts w:hint="eastAsia"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污泥脱水间1座</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尺寸：L×B×H＝15.9m×10.5m×13.6m</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地上两层框架结构</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污泥浓缩池1座</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尺寸：D×H＝φ7.0m×5.0m</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半地上式钢砼结构</w:t>
            </w:r>
            <w:r>
              <w:rPr>
                <w:rFonts w:hint="eastAsia" w:cs="Times New Roman"/>
                <w:b w:val="0"/>
                <w:bCs w:val="0"/>
                <w:color w:val="auto"/>
                <w:highlight w:val="none"/>
                <w:lang w:val="en-US" w:eastAsia="zh-CN"/>
              </w:rPr>
              <w:t>；此外，还配备污泥浓缩刮泥机、低压污泥泵、叠螺浓缩机、高压板框脱水机、空压机等设备。</w:t>
            </w:r>
          </w:p>
          <w:p w14:paraId="54001D3D">
            <w:pPr>
              <w:kinsoku w:val="0"/>
              <w:overflowPunct w:val="0"/>
              <w:autoSpaceDE w:val="0"/>
              <w:autoSpaceDN w:val="0"/>
              <w:snapToGrid w:val="0"/>
              <w:jc w:val="both"/>
              <w:rPr>
                <w:rFonts w:hint="default"/>
                <w:color w:val="auto"/>
                <w:highlight w:val="none"/>
                <w:lang w:val="en-US" w:eastAsia="zh-CN"/>
              </w:rPr>
            </w:pPr>
            <w:r>
              <w:rPr>
                <w:rFonts w:hint="default" w:ascii="Times New Roman" w:hAnsi="Times New Roman" w:eastAsia="宋体" w:cs="Times New Roman"/>
                <w:b w:val="0"/>
                <w:bCs w:val="0"/>
                <w:color w:val="auto"/>
                <w:kern w:val="2"/>
                <w:sz w:val="21"/>
                <w:szCs w:val="24"/>
                <w:highlight w:val="none"/>
                <w:lang w:val="en-US" w:eastAsia="zh-CN" w:bidi="ar-SA"/>
              </w:rPr>
              <w:t>污泥采用“污泥浓缩池+叠螺脱水机+高压板框脱水机”进行处理后</w:t>
            </w:r>
            <w:r>
              <w:rPr>
                <w:rFonts w:hint="eastAsia"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泥饼含水率在60%以下。</w:t>
            </w:r>
          </w:p>
        </w:tc>
      </w:tr>
      <w:tr w14:paraId="4D203A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restart"/>
            <w:tcBorders>
              <w:tl2br w:val="nil"/>
              <w:tr2bl w:val="nil"/>
            </w:tcBorders>
            <w:noWrap w:val="0"/>
            <w:vAlign w:val="center"/>
          </w:tcPr>
          <w:p w14:paraId="5A4C2E8B">
            <w:pPr>
              <w:widowControl/>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辅助</w:t>
            </w:r>
          </w:p>
          <w:p w14:paraId="17B3F413">
            <w:pPr>
              <w:widowControl/>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工程</w:t>
            </w:r>
          </w:p>
        </w:tc>
        <w:tc>
          <w:tcPr>
            <w:tcW w:w="937" w:type="dxa"/>
            <w:tcBorders>
              <w:tl2br w:val="nil"/>
              <w:tr2bl w:val="nil"/>
            </w:tcBorders>
            <w:noWrap w:val="0"/>
            <w:vAlign w:val="center"/>
          </w:tcPr>
          <w:p w14:paraId="31E574C1">
            <w:pPr>
              <w:kinsoku w:val="0"/>
              <w:overflowPunct w:val="0"/>
              <w:autoSpaceDE w:val="0"/>
              <w:autoSpaceDN w:val="0"/>
              <w:snapToGrid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配电</w:t>
            </w:r>
            <w:r>
              <w:rPr>
                <w:rFonts w:hint="eastAsia" w:cs="Times New Roman"/>
                <w:color w:val="auto"/>
                <w:highlight w:val="none"/>
                <w:lang w:val="en-US" w:eastAsia="zh-CN"/>
              </w:rPr>
              <w:t>室</w:t>
            </w:r>
          </w:p>
        </w:tc>
        <w:tc>
          <w:tcPr>
            <w:tcW w:w="5961" w:type="dxa"/>
            <w:tcBorders>
              <w:tl2br w:val="nil"/>
              <w:tr2bl w:val="nil"/>
            </w:tcBorders>
            <w:noWrap w:val="0"/>
            <w:vAlign w:val="center"/>
          </w:tcPr>
          <w:p w14:paraId="62290C7F">
            <w:pPr>
              <w:kinsoku w:val="0"/>
              <w:overflowPunct w:val="0"/>
              <w:autoSpaceDE w:val="0"/>
              <w:autoSpaceDN w:val="0"/>
              <w:snapToGrid w:val="0"/>
              <w:jc w:val="both"/>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高压配电室：</w:t>
            </w:r>
            <w:r>
              <w:rPr>
                <w:rFonts w:hint="default" w:ascii="Times New Roman" w:hAnsi="Times New Roman" w:eastAsia="宋体" w:cs="Times New Roman"/>
                <w:b w:val="0"/>
                <w:bCs w:val="0"/>
                <w:color w:val="auto"/>
                <w:highlight w:val="none"/>
                <w:lang w:val="en-US" w:eastAsia="zh-CN"/>
              </w:rPr>
              <w:t>1层，</w:t>
            </w:r>
            <w:r>
              <w:rPr>
                <w:rFonts w:hint="eastAsia" w:ascii="Times New Roman" w:hAnsi="Times New Roman" w:eastAsia="宋体" w:cs="Times New Roman"/>
                <w:b w:val="0"/>
                <w:bCs w:val="0"/>
                <w:color w:val="auto"/>
                <w:highlight w:val="none"/>
                <w:lang w:val="en-US" w:eastAsia="zh-CN"/>
              </w:rPr>
              <w:t>地上框架结构，</w:t>
            </w:r>
            <w:r>
              <w:rPr>
                <w:rFonts w:hint="default" w:ascii="Times New Roman" w:hAnsi="Times New Roman" w:eastAsia="宋体" w:cs="Times New Roman"/>
                <w:b w:val="0"/>
                <w:bCs w:val="0"/>
                <w:color w:val="auto"/>
                <w:highlight w:val="none"/>
                <w:lang w:val="en-US" w:eastAsia="zh-CN"/>
              </w:rPr>
              <w:t>尺寸：L×B×H=10.8m×8.1m×4.5m</w:t>
            </w:r>
            <w:r>
              <w:rPr>
                <w:rFonts w:hint="eastAsia" w:ascii="Times New Roman" w:hAnsi="Times New Roman" w:eastAsia="宋体" w:cs="Times New Roman"/>
                <w:b w:val="0"/>
                <w:bCs w:val="0"/>
                <w:color w:val="auto"/>
                <w:highlight w:val="none"/>
                <w:lang w:val="en-US" w:eastAsia="zh-CN"/>
              </w:rPr>
              <w:t>；</w:t>
            </w:r>
          </w:p>
          <w:p w14:paraId="5945D48D">
            <w:pPr>
              <w:kinsoku w:val="0"/>
              <w:overflowPunct w:val="0"/>
              <w:autoSpaceDE w:val="0"/>
              <w:autoSpaceDN w:val="0"/>
              <w:snapToGrid w:val="0"/>
              <w:jc w:val="both"/>
              <w:rPr>
                <w:rFonts w:hint="default"/>
                <w:color w:val="auto"/>
                <w:highlight w:val="none"/>
                <w:lang w:val="en-US" w:eastAsia="zh-CN"/>
              </w:rPr>
            </w:pPr>
            <w:r>
              <w:rPr>
                <w:rFonts w:hint="eastAsia" w:ascii="Times New Roman" w:hAnsi="Times New Roman" w:eastAsia="宋体" w:cs="Times New Roman"/>
                <w:b w:val="0"/>
                <w:bCs w:val="0"/>
                <w:color w:val="auto"/>
                <w:highlight w:val="none"/>
                <w:lang w:val="en-US" w:eastAsia="zh-CN"/>
              </w:rPr>
              <w:t>低压配电室：</w:t>
            </w:r>
            <w:r>
              <w:rPr>
                <w:rFonts w:hint="default" w:ascii="Times New Roman" w:hAnsi="Times New Roman" w:eastAsia="宋体" w:cs="Times New Roman"/>
                <w:b w:val="0"/>
                <w:bCs w:val="0"/>
                <w:color w:val="auto"/>
                <w:highlight w:val="none"/>
                <w:lang w:val="en-US" w:eastAsia="zh-CN"/>
              </w:rPr>
              <w:t>1层，</w:t>
            </w:r>
            <w:r>
              <w:rPr>
                <w:rFonts w:hint="eastAsia" w:ascii="Times New Roman" w:hAnsi="Times New Roman" w:eastAsia="宋体" w:cs="Times New Roman"/>
                <w:b w:val="0"/>
                <w:bCs w:val="0"/>
                <w:color w:val="auto"/>
                <w:highlight w:val="none"/>
                <w:lang w:val="en-US" w:eastAsia="zh-CN"/>
              </w:rPr>
              <w:t>地上框架结构，</w:t>
            </w:r>
            <w:r>
              <w:rPr>
                <w:rFonts w:hint="default" w:ascii="Times New Roman" w:hAnsi="Times New Roman" w:eastAsia="宋体" w:cs="Times New Roman"/>
                <w:b w:val="0"/>
                <w:bCs w:val="0"/>
                <w:color w:val="auto"/>
                <w:highlight w:val="none"/>
                <w:lang w:val="en-US" w:eastAsia="zh-CN"/>
              </w:rPr>
              <w:t>尺寸：L×B×H=12.0m×8.1m×4.5m</w:t>
            </w:r>
            <w:r>
              <w:rPr>
                <w:rFonts w:hint="eastAsia" w:ascii="Times New Roman" w:hAnsi="Times New Roman" w:eastAsia="宋体" w:cs="Times New Roman"/>
                <w:b w:val="0"/>
                <w:bCs w:val="0"/>
                <w:color w:val="auto"/>
                <w:highlight w:val="none"/>
                <w:lang w:val="en-US" w:eastAsia="zh-CN"/>
              </w:rPr>
              <w:t>。</w:t>
            </w:r>
          </w:p>
        </w:tc>
      </w:tr>
      <w:tr w14:paraId="72792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7E634AA2">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62EDADC1">
            <w:pPr>
              <w:kinsoku w:val="0"/>
              <w:overflowPunct w:val="0"/>
              <w:autoSpaceDE w:val="0"/>
              <w:autoSpaceDN w:val="0"/>
              <w:snapToGrid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危废间</w:t>
            </w:r>
          </w:p>
        </w:tc>
        <w:tc>
          <w:tcPr>
            <w:tcW w:w="5961" w:type="dxa"/>
            <w:tcBorders>
              <w:tl2br w:val="nil"/>
              <w:tr2bl w:val="nil"/>
            </w:tcBorders>
            <w:noWrap w:val="0"/>
            <w:vAlign w:val="center"/>
          </w:tcPr>
          <w:p w14:paraId="2D5CA65F">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1层，</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尺寸：L×B×H=3.0m×8.1m×4.5m</w:t>
            </w:r>
            <w:r>
              <w:rPr>
                <w:rFonts w:hint="eastAsia" w:ascii="Times New Roman" w:hAnsi="Times New Roman" w:eastAsia="宋体" w:cs="Times New Roman"/>
                <w:color w:val="auto"/>
                <w:highlight w:val="none"/>
                <w:lang w:val="en-US" w:eastAsia="zh-CN"/>
              </w:rPr>
              <w:t>。</w:t>
            </w:r>
          </w:p>
        </w:tc>
      </w:tr>
      <w:tr w14:paraId="2471C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411F8A9D">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1891DBA5">
            <w:pPr>
              <w:kinsoku w:val="0"/>
              <w:overflowPunct w:val="0"/>
              <w:autoSpaceDE w:val="0"/>
              <w:autoSpaceDN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柴油发电机房</w:t>
            </w:r>
          </w:p>
        </w:tc>
        <w:tc>
          <w:tcPr>
            <w:tcW w:w="5961" w:type="dxa"/>
            <w:tcBorders>
              <w:tl2br w:val="nil"/>
              <w:tr2bl w:val="nil"/>
            </w:tcBorders>
            <w:noWrap w:val="0"/>
            <w:vAlign w:val="center"/>
          </w:tcPr>
          <w:p w14:paraId="39F48BB9">
            <w:pPr>
              <w:keepNext w:val="0"/>
              <w:keepLines w:val="0"/>
              <w:widowControl/>
              <w:suppressLineNumbers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1层，</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尺寸：L×B×H=5.1m×8.1m×4.5m</w:t>
            </w:r>
            <w:r>
              <w:rPr>
                <w:rFonts w:hint="eastAsia" w:ascii="Times New Roman" w:hAnsi="Times New Roman" w:eastAsia="宋体" w:cs="Times New Roman"/>
                <w:color w:val="auto"/>
                <w:highlight w:val="none"/>
                <w:lang w:val="en-US" w:eastAsia="zh-CN"/>
              </w:rPr>
              <w:t>。</w:t>
            </w:r>
          </w:p>
        </w:tc>
      </w:tr>
      <w:tr w14:paraId="15F83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0F783D08">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1AAA8CDA">
            <w:pPr>
              <w:keepNext w:val="0"/>
              <w:keepLines w:val="0"/>
              <w:widowControl/>
              <w:suppressLineNumbers w:val="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鼓</w:t>
            </w:r>
            <w:r>
              <w:rPr>
                <w:rFonts w:hint="default" w:ascii="Times New Roman" w:hAnsi="Times New Roman" w:eastAsia="宋体" w:cs="Times New Roman"/>
                <w:color w:val="auto"/>
                <w:highlight w:val="none"/>
                <w:lang w:val="en-US" w:eastAsia="zh-CN"/>
              </w:rPr>
              <w:t>风</w:t>
            </w:r>
          </w:p>
          <w:p w14:paraId="7F06890E">
            <w:pPr>
              <w:keepNext w:val="0"/>
              <w:keepLines w:val="0"/>
              <w:widowControl/>
              <w:suppressLineNumbers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机房</w:t>
            </w:r>
          </w:p>
        </w:tc>
        <w:tc>
          <w:tcPr>
            <w:tcW w:w="5961" w:type="dxa"/>
            <w:tcBorders>
              <w:tl2br w:val="nil"/>
              <w:tr2bl w:val="nil"/>
            </w:tcBorders>
            <w:noWrap w:val="0"/>
            <w:vAlign w:val="center"/>
          </w:tcPr>
          <w:p w14:paraId="4A2E0B53">
            <w:pPr>
              <w:keepNext w:val="0"/>
              <w:keepLines w:val="0"/>
              <w:widowControl/>
              <w:suppressLineNumbers w:val="0"/>
              <w:jc w:val="both"/>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1层，</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，尺寸：L×B×H＝6.0m×8.1m×4.5m，为曝气池提供曝气量，提供好氧微生物在进行有机污染物分解所需氧气量。</w:t>
            </w:r>
          </w:p>
        </w:tc>
      </w:tr>
      <w:tr w14:paraId="6D027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07" w:hRule="atLeast"/>
          <w:jc w:val="center"/>
        </w:trPr>
        <w:tc>
          <w:tcPr>
            <w:tcW w:w="1194" w:type="dxa"/>
            <w:gridSpan w:val="2"/>
            <w:vMerge w:val="continue"/>
            <w:tcBorders>
              <w:tl2br w:val="nil"/>
              <w:tr2bl w:val="nil"/>
            </w:tcBorders>
            <w:noWrap w:val="0"/>
            <w:vAlign w:val="center"/>
          </w:tcPr>
          <w:p w14:paraId="2CF92F04">
            <w:pPr>
              <w:widowControl/>
              <w:snapToGrid w:val="0"/>
              <w:jc w:val="center"/>
              <w:rPr>
                <w:rFonts w:hint="default" w:ascii="Times New Roman" w:hAnsi="Times New Roman" w:cs="Times New Roman"/>
                <w:color w:val="auto"/>
                <w:highlight w:val="none"/>
                <w:lang w:eastAsia="zh-CN"/>
              </w:rPr>
            </w:pPr>
          </w:p>
        </w:tc>
        <w:tc>
          <w:tcPr>
            <w:tcW w:w="937" w:type="dxa"/>
            <w:tcBorders>
              <w:tl2br w:val="nil"/>
              <w:tr2bl w:val="nil"/>
            </w:tcBorders>
            <w:noWrap w:val="0"/>
            <w:vAlign w:val="center"/>
          </w:tcPr>
          <w:p w14:paraId="20D5531C">
            <w:pPr>
              <w:kinsoku w:val="0"/>
              <w:overflowPunct w:val="0"/>
              <w:autoSpaceDE w:val="0"/>
              <w:autoSpaceDN w:val="0"/>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加药间</w:t>
            </w:r>
          </w:p>
        </w:tc>
        <w:tc>
          <w:tcPr>
            <w:tcW w:w="5961" w:type="dxa"/>
            <w:tcBorders>
              <w:tl2br w:val="nil"/>
              <w:tr2bl w:val="nil"/>
            </w:tcBorders>
            <w:noWrap w:val="0"/>
            <w:vAlign w:val="center"/>
          </w:tcPr>
          <w:p w14:paraId="03D0E048">
            <w:pPr>
              <w:keepNext w:val="0"/>
              <w:keepLines w:val="0"/>
              <w:widowControl/>
              <w:suppressLineNumbers w:val="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层</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地上框架结构</w:t>
            </w:r>
            <w:r>
              <w:rPr>
                <w:rFonts w:hint="default" w:ascii="Times New Roman" w:hAnsi="Times New Roman" w:eastAsia="宋体" w:cs="Times New Roman"/>
                <w:color w:val="auto"/>
                <w:highlight w:val="none"/>
                <w:lang w:val="en-US" w:eastAsia="zh-CN"/>
              </w:rPr>
              <w:t>，尺寸：L×B×H＝5.1m×8.1m×4.5m。加药间内设置次氯酸钠消毒装置、PAM加药装置、PAC加药装置，分别为接触消毒池提供次氯酸钠、高密池提供除磷药剂和助凝剂，保证污水的深度处理和消毒效果</w:t>
            </w:r>
            <w:r>
              <w:rPr>
                <w:rFonts w:hint="eastAsia" w:cs="Times New Roman"/>
                <w:color w:val="auto"/>
                <w:highlight w:val="none"/>
                <w:lang w:val="en-US" w:eastAsia="zh-CN"/>
              </w:rPr>
              <w:t>。</w:t>
            </w:r>
          </w:p>
        </w:tc>
      </w:tr>
      <w:tr w14:paraId="75F9A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restart"/>
            <w:tcBorders>
              <w:tl2br w:val="nil"/>
              <w:tr2bl w:val="nil"/>
            </w:tcBorders>
            <w:noWrap w:val="0"/>
            <w:vAlign w:val="center"/>
          </w:tcPr>
          <w:p w14:paraId="0BD7E211">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公用</w:t>
            </w:r>
          </w:p>
          <w:p w14:paraId="437FB4AA">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工程</w:t>
            </w:r>
          </w:p>
        </w:tc>
        <w:tc>
          <w:tcPr>
            <w:tcW w:w="937" w:type="dxa"/>
            <w:tcBorders>
              <w:tl2br w:val="nil"/>
              <w:tr2bl w:val="nil"/>
            </w:tcBorders>
            <w:noWrap w:val="0"/>
            <w:vAlign w:val="center"/>
          </w:tcPr>
          <w:p w14:paraId="4741BE58">
            <w:pPr>
              <w:kinsoku w:val="0"/>
              <w:overflowPunct w:val="0"/>
              <w:autoSpaceDE w:val="0"/>
              <w:autoSpaceDN w:val="0"/>
              <w:snapToGrid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供电</w:t>
            </w:r>
          </w:p>
        </w:tc>
        <w:tc>
          <w:tcPr>
            <w:tcW w:w="5961" w:type="dxa"/>
            <w:tcBorders>
              <w:tl2br w:val="nil"/>
              <w:tr2bl w:val="nil"/>
            </w:tcBorders>
            <w:noWrap w:val="0"/>
            <w:vAlign w:val="center"/>
          </w:tcPr>
          <w:p w14:paraId="665B20F0">
            <w:pPr>
              <w:kinsoku w:val="0"/>
              <w:overflowPunct w:val="0"/>
              <w:autoSpaceDE w:val="0"/>
              <w:autoSpaceDN w:val="0"/>
              <w:snapToGrid w:val="0"/>
              <w:jc w:val="both"/>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kern w:val="2"/>
                <w:sz w:val="21"/>
                <w:szCs w:val="24"/>
                <w:highlight w:val="none"/>
                <w:lang w:val="en-US" w:eastAsia="zh-CN" w:bidi="ar-SA"/>
              </w:rPr>
              <w:t>接自</w:t>
            </w:r>
            <w:r>
              <w:rPr>
                <w:rFonts w:hint="eastAsia" w:cs="Times New Roman"/>
                <w:color w:val="auto"/>
                <w:kern w:val="2"/>
                <w:sz w:val="21"/>
                <w:szCs w:val="24"/>
                <w:highlight w:val="none"/>
                <w:lang w:val="en-US" w:eastAsia="zh-CN" w:bidi="ar-SA"/>
              </w:rPr>
              <w:t>当地供电系统。</w:t>
            </w:r>
          </w:p>
        </w:tc>
      </w:tr>
      <w:tr w14:paraId="6DA9A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54" w:hRule="atLeast"/>
          <w:jc w:val="center"/>
        </w:trPr>
        <w:tc>
          <w:tcPr>
            <w:tcW w:w="1194" w:type="dxa"/>
            <w:gridSpan w:val="2"/>
            <w:vMerge w:val="continue"/>
            <w:tcBorders>
              <w:tl2br w:val="nil"/>
              <w:tr2bl w:val="nil"/>
            </w:tcBorders>
            <w:noWrap w:val="0"/>
            <w:vAlign w:val="center"/>
          </w:tcPr>
          <w:p w14:paraId="1DF6ABA1">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7C2698B7">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给水</w:t>
            </w:r>
          </w:p>
        </w:tc>
        <w:tc>
          <w:tcPr>
            <w:tcW w:w="5961" w:type="dxa"/>
            <w:tcBorders>
              <w:tl2br w:val="nil"/>
              <w:tr2bl w:val="nil"/>
            </w:tcBorders>
            <w:noWrap w:val="0"/>
            <w:vAlign w:val="center"/>
          </w:tcPr>
          <w:p w14:paraId="695120D3">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接当地自来水管网</w:t>
            </w:r>
            <w:r>
              <w:rPr>
                <w:rFonts w:hint="eastAsia" w:cs="Times New Roman"/>
                <w:color w:val="auto"/>
                <w:highlight w:val="none"/>
                <w:lang w:eastAsia="zh-CN"/>
              </w:rPr>
              <w:t>。</w:t>
            </w:r>
          </w:p>
        </w:tc>
      </w:tr>
      <w:tr w14:paraId="6DE99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194" w:type="dxa"/>
            <w:gridSpan w:val="2"/>
            <w:vMerge w:val="continue"/>
            <w:tcBorders>
              <w:tl2br w:val="nil"/>
              <w:tr2bl w:val="nil"/>
            </w:tcBorders>
            <w:noWrap w:val="0"/>
            <w:vAlign w:val="center"/>
          </w:tcPr>
          <w:p w14:paraId="24C03662">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70F8E4EE">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排水</w:t>
            </w:r>
          </w:p>
        </w:tc>
        <w:tc>
          <w:tcPr>
            <w:tcW w:w="5961" w:type="dxa"/>
            <w:tcBorders>
              <w:tl2br w:val="nil"/>
              <w:tr2bl w:val="nil"/>
            </w:tcBorders>
            <w:noWrap w:val="0"/>
            <w:vAlign w:val="center"/>
          </w:tcPr>
          <w:p w14:paraId="0E7D43A2">
            <w:pPr>
              <w:kinsoku w:val="0"/>
              <w:overflowPunct w:val="0"/>
              <w:autoSpaceDE w:val="0"/>
              <w:autoSpaceDN w:val="0"/>
              <w:snapToGrid w:val="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雨污分流制</w:t>
            </w:r>
            <w:r>
              <w:rPr>
                <w:rFonts w:hint="eastAsia" w:cs="Times New Roman"/>
                <w:color w:val="auto"/>
                <w:highlight w:val="none"/>
                <w:lang w:eastAsia="zh-CN"/>
              </w:rPr>
              <w:t>；</w:t>
            </w:r>
            <w:r>
              <w:rPr>
                <w:rFonts w:hint="eastAsia" w:cs="Times New Roman"/>
                <w:color w:val="auto"/>
                <w:highlight w:val="none"/>
                <w:lang w:val="en-US" w:eastAsia="zh-CN"/>
              </w:rPr>
              <w:t>生活污水经化粪池（2m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）处理后接入厂区污水处理系统中预处理段处理。</w:t>
            </w:r>
          </w:p>
        </w:tc>
      </w:tr>
      <w:tr w14:paraId="6A368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194" w:type="dxa"/>
            <w:gridSpan w:val="2"/>
            <w:vMerge w:val="restart"/>
            <w:tcBorders>
              <w:tl2br w:val="nil"/>
              <w:tr2bl w:val="nil"/>
            </w:tcBorders>
            <w:noWrap w:val="0"/>
            <w:vAlign w:val="center"/>
          </w:tcPr>
          <w:p w14:paraId="53069DFF">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环保</w:t>
            </w:r>
          </w:p>
          <w:p w14:paraId="72ED0C64">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工程</w:t>
            </w:r>
          </w:p>
        </w:tc>
        <w:tc>
          <w:tcPr>
            <w:tcW w:w="937" w:type="dxa"/>
            <w:tcBorders>
              <w:tl2br w:val="nil"/>
              <w:tr2bl w:val="nil"/>
            </w:tcBorders>
            <w:noWrap w:val="0"/>
            <w:vAlign w:val="center"/>
          </w:tcPr>
          <w:p w14:paraId="437DF933">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p w14:paraId="536A827F">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防治</w:t>
            </w:r>
          </w:p>
        </w:tc>
        <w:tc>
          <w:tcPr>
            <w:tcW w:w="5961" w:type="dxa"/>
            <w:tcBorders>
              <w:tl2br w:val="nil"/>
              <w:tr2bl w:val="nil"/>
            </w:tcBorders>
            <w:noWrap w:val="0"/>
            <w:vAlign w:val="center"/>
          </w:tcPr>
          <w:p w14:paraId="10D97135">
            <w:pPr>
              <w:keepNext w:val="0"/>
              <w:keepLines w:val="0"/>
              <w:widowControl/>
              <w:suppressLineNumbers w:val="0"/>
              <w:jc w:val="both"/>
              <w:rPr>
                <w:rFonts w:hint="eastAsia" w:cs="Times New Roman"/>
                <w:color w:val="auto"/>
                <w:highlight w:val="none"/>
                <w:lang w:eastAsia="zh-CN"/>
              </w:rPr>
            </w:pPr>
            <w:r>
              <w:rPr>
                <w:rFonts w:hint="eastAsia" w:ascii="宋体" w:hAnsi="宋体" w:eastAsia="宋体" w:cs="宋体"/>
                <w:color w:val="auto"/>
                <w:highlight w:val="none"/>
                <w:lang w:eastAsia="zh-CN"/>
              </w:rPr>
              <w:t>①</w:t>
            </w:r>
            <w:r>
              <w:rPr>
                <w:rFonts w:hint="eastAsia" w:cs="Times New Roman"/>
                <w:color w:val="auto"/>
                <w:highlight w:val="none"/>
                <w:lang w:eastAsia="zh-CN"/>
              </w:rPr>
              <w:t>恶臭采取</w:t>
            </w:r>
            <w:r>
              <w:rPr>
                <w:rFonts w:hint="eastAsia" w:cs="Times New Roman"/>
                <w:color w:val="auto"/>
                <w:highlight w:val="none"/>
                <w:lang w:val="en-US" w:eastAsia="zh-CN"/>
              </w:rPr>
              <w:t>管道负压收集+活性氧离子法处理达标后，通过15m高排气筒排放；此外，</w:t>
            </w:r>
            <w:r>
              <w:rPr>
                <w:rFonts w:hint="default" w:ascii="Times New Roman" w:hAnsi="Times New Roman" w:eastAsia="宋体" w:cs="Times New Roman"/>
                <w:color w:val="auto"/>
                <w:highlight w:val="none"/>
                <w:lang w:eastAsia="zh-CN"/>
              </w:rPr>
              <w:t>污水处理</w:t>
            </w:r>
            <w:r>
              <w:rPr>
                <w:rFonts w:hint="eastAsia" w:cs="Times New Roman"/>
                <w:color w:val="auto"/>
                <w:highlight w:val="none"/>
                <w:lang w:val="en-US" w:eastAsia="zh-CN"/>
              </w:rPr>
              <w:t>厂</w:t>
            </w:r>
            <w:r>
              <w:rPr>
                <w:rFonts w:hint="default" w:ascii="Times New Roman" w:hAnsi="Times New Roman" w:eastAsia="宋体" w:cs="Times New Roman"/>
                <w:color w:val="auto"/>
                <w:highlight w:val="none"/>
              </w:rPr>
              <w:t>四周建设围墙，</w:t>
            </w:r>
            <w:r>
              <w:rPr>
                <w:rFonts w:hint="default" w:ascii="Times New Roman" w:hAnsi="Times New Roman" w:eastAsia="宋体" w:cs="Times New Roman"/>
                <w:color w:val="auto"/>
                <w:highlight w:val="none"/>
                <w:lang w:val="en-US" w:eastAsia="zh-CN"/>
              </w:rPr>
              <w:t>格栅</w:t>
            </w:r>
            <w:r>
              <w:rPr>
                <w:rFonts w:hint="eastAsia" w:cs="Times New Roman"/>
                <w:color w:val="auto"/>
                <w:highlight w:val="none"/>
                <w:lang w:val="en-US" w:eastAsia="zh-CN"/>
              </w:rPr>
              <w:t>渠</w:t>
            </w:r>
            <w:r>
              <w:rPr>
                <w:rFonts w:hint="default" w:ascii="Times New Roman" w:hAnsi="Times New Roman" w:eastAsia="宋体" w:cs="Times New Roman"/>
                <w:color w:val="auto"/>
                <w:highlight w:val="none"/>
                <w:lang w:val="en-US" w:eastAsia="zh-CN"/>
              </w:rPr>
              <w:t>、调节池、污泥</w:t>
            </w:r>
            <w:r>
              <w:rPr>
                <w:rFonts w:hint="eastAsia" w:cs="Times New Roman"/>
                <w:color w:val="auto"/>
                <w:highlight w:val="none"/>
                <w:lang w:val="en-US" w:eastAsia="zh-CN"/>
              </w:rPr>
              <w:t>浓缩</w:t>
            </w:r>
            <w:r>
              <w:rPr>
                <w:rFonts w:hint="default" w:ascii="Times New Roman" w:hAnsi="Times New Roman" w:eastAsia="宋体" w:cs="Times New Roman"/>
                <w:color w:val="auto"/>
                <w:highlight w:val="none"/>
                <w:lang w:val="en-US" w:eastAsia="zh-CN"/>
              </w:rPr>
              <w:t>池等均为地下</w:t>
            </w:r>
            <w:r>
              <w:rPr>
                <w:rFonts w:hint="eastAsia" w:cs="Times New Roman"/>
                <w:b w:val="0"/>
                <w:bCs w:val="0"/>
                <w:color w:val="auto"/>
                <w:highlight w:val="none"/>
                <w:lang w:val="en-US" w:eastAsia="zh-CN"/>
              </w:rPr>
              <w:t>钢砼</w:t>
            </w:r>
            <w:r>
              <w:rPr>
                <w:rFonts w:hint="default" w:ascii="Times New Roman" w:hAnsi="Times New Roman" w:eastAsia="宋体" w:cs="Times New Roman"/>
                <w:color w:val="auto"/>
                <w:highlight w:val="none"/>
                <w:lang w:val="en-US" w:eastAsia="zh-CN"/>
              </w:rPr>
              <w:t>结构，且加盖</w:t>
            </w:r>
            <w:r>
              <w:rPr>
                <w:rFonts w:hint="eastAsia" w:cs="Times New Roman"/>
                <w:color w:val="auto"/>
                <w:highlight w:val="none"/>
                <w:lang w:val="en-US" w:eastAsia="zh-CN"/>
              </w:rPr>
              <w:t>处理</w:t>
            </w:r>
            <w:r>
              <w:rPr>
                <w:rFonts w:hint="default" w:ascii="Times New Roman" w:hAnsi="Times New Roman" w:eastAsia="宋体" w:cs="Times New Roman"/>
                <w:color w:val="auto"/>
                <w:highlight w:val="none"/>
                <w:lang w:eastAsia="zh-CN"/>
              </w:rPr>
              <w:t>；</w:t>
            </w:r>
            <w:r>
              <w:rPr>
                <w:rFonts w:hint="default" w:ascii="Times New Roman" w:hAnsi="Times New Roman" w:cs="Times New Roman"/>
                <w:color w:val="auto"/>
                <w:highlight w:val="none"/>
              </w:rPr>
              <w:t>同时加强厂区绿化可减小臭气影响</w:t>
            </w:r>
            <w:r>
              <w:rPr>
                <w:rFonts w:hint="eastAsia" w:cs="Times New Roman"/>
                <w:color w:val="auto"/>
                <w:highlight w:val="none"/>
                <w:lang w:eastAsia="zh-CN"/>
              </w:rPr>
              <w:t>。</w:t>
            </w:r>
          </w:p>
          <w:p w14:paraId="66054B32">
            <w:pPr>
              <w:keepNext w:val="0"/>
              <w:keepLines w:val="0"/>
              <w:widowControl/>
              <w:suppressLineNumbers w:val="0"/>
              <w:jc w:val="both"/>
              <w:rPr>
                <w:rFonts w:hint="eastAsia" w:cs="Times New Roman"/>
                <w:color w:val="auto"/>
                <w:highlight w:val="none"/>
                <w:lang w:eastAsia="zh-CN"/>
              </w:rPr>
            </w:pPr>
            <w:r>
              <w:rPr>
                <w:rFonts w:hint="eastAsia" w:ascii="宋体" w:hAnsi="宋体" w:eastAsia="宋体" w:cs="宋体"/>
                <w:color w:val="auto"/>
                <w:highlight w:val="none"/>
                <w:lang w:eastAsia="zh-CN"/>
              </w:rPr>
              <w:t>②食堂油烟经抽油烟机收集后通过管道引至厂房顶部排放。</w:t>
            </w:r>
          </w:p>
        </w:tc>
      </w:tr>
      <w:tr w14:paraId="40ABE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6" w:hRule="atLeast"/>
          <w:jc w:val="center"/>
        </w:trPr>
        <w:tc>
          <w:tcPr>
            <w:tcW w:w="1194" w:type="dxa"/>
            <w:gridSpan w:val="2"/>
            <w:vMerge w:val="continue"/>
            <w:tcBorders>
              <w:tl2br w:val="nil"/>
              <w:tr2bl w:val="nil"/>
            </w:tcBorders>
            <w:noWrap w:val="0"/>
            <w:vAlign w:val="center"/>
          </w:tcPr>
          <w:p w14:paraId="66EABCF7">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20771793">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p w14:paraId="1BCDF7B9">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防治</w:t>
            </w:r>
          </w:p>
        </w:tc>
        <w:tc>
          <w:tcPr>
            <w:tcW w:w="5961" w:type="dxa"/>
            <w:tcBorders>
              <w:tl2br w:val="nil"/>
              <w:tr2bl w:val="nil"/>
            </w:tcBorders>
            <w:noWrap w:val="0"/>
            <w:vAlign w:val="center"/>
          </w:tcPr>
          <w:p w14:paraId="1C388297">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本</w:t>
            </w:r>
            <w:r>
              <w:rPr>
                <w:rFonts w:hint="default" w:ascii="Times New Roman" w:hAnsi="Times New Roman" w:cs="Times New Roman"/>
                <w:color w:val="auto"/>
                <w:highlight w:val="none"/>
                <w:lang w:eastAsia="zh-CN"/>
              </w:rPr>
              <w:t>工程</w:t>
            </w:r>
            <w:r>
              <w:rPr>
                <w:rFonts w:hint="eastAsia" w:cs="Times New Roman"/>
                <w:color w:val="auto"/>
                <w:highlight w:val="none"/>
                <w:lang w:eastAsia="zh-CN"/>
              </w:rPr>
              <w:t>无生产</w:t>
            </w:r>
            <w:r>
              <w:rPr>
                <w:rFonts w:hint="default" w:ascii="Times New Roman" w:hAnsi="Times New Roman" w:cs="Times New Roman"/>
                <w:color w:val="auto"/>
                <w:highlight w:val="none"/>
                <w:lang w:eastAsia="zh-CN"/>
              </w:rPr>
              <w:t>废水，</w:t>
            </w:r>
            <w:r>
              <w:rPr>
                <w:rFonts w:hint="default" w:ascii="Times New Roman" w:hAnsi="Times New Roman" w:cs="Times New Roman"/>
                <w:color w:val="auto"/>
                <w:highlight w:val="none"/>
                <w:lang w:val="en-US" w:eastAsia="zh-CN"/>
              </w:rPr>
              <w:t>员工生活污水经化粪池处理后接入厂区污水处理系统中预处理段处理，处理达标后排入溢水河</w:t>
            </w:r>
            <w:r>
              <w:rPr>
                <w:rFonts w:hint="eastAsia" w:cs="Times New Roman"/>
                <w:color w:val="auto"/>
                <w:highlight w:val="none"/>
                <w:lang w:eastAsia="zh-CN"/>
              </w:rPr>
              <w:t>。</w:t>
            </w:r>
          </w:p>
        </w:tc>
      </w:tr>
      <w:tr w14:paraId="25FB52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44" w:hRule="atLeast"/>
          <w:jc w:val="center"/>
        </w:trPr>
        <w:tc>
          <w:tcPr>
            <w:tcW w:w="1194" w:type="dxa"/>
            <w:gridSpan w:val="2"/>
            <w:vMerge w:val="continue"/>
            <w:tcBorders>
              <w:tl2br w:val="nil"/>
              <w:tr2bl w:val="nil"/>
            </w:tcBorders>
            <w:noWrap w:val="0"/>
            <w:vAlign w:val="center"/>
          </w:tcPr>
          <w:p w14:paraId="7D3D0625">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6AF784C9">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w:t>
            </w:r>
          </w:p>
        </w:tc>
        <w:tc>
          <w:tcPr>
            <w:tcW w:w="5961" w:type="dxa"/>
            <w:tcBorders>
              <w:tl2br w:val="nil"/>
              <w:tr2bl w:val="nil"/>
            </w:tcBorders>
            <w:noWrap w:val="0"/>
            <w:vAlign w:val="center"/>
          </w:tcPr>
          <w:p w14:paraId="6BBACFBF">
            <w:pPr>
              <w:kinsoku w:val="0"/>
              <w:overflowPunct w:val="0"/>
              <w:autoSpaceDE w:val="0"/>
              <w:autoSpaceDN w:val="0"/>
              <w:snapToGrid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各</w:t>
            </w:r>
            <w:r>
              <w:rPr>
                <w:rFonts w:hint="eastAsia" w:cs="Times New Roman"/>
                <w:color w:val="auto"/>
                <w:highlight w:val="none"/>
                <w:lang w:eastAsia="zh-CN"/>
              </w:rPr>
              <w:t>建</w:t>
            </w:r>
            <w:r>
              <w:rPr>
                <w:rFonts w:hint="default" w:ascii="Times New Roman" w:hAnsi="Times New Roman" w:cs="Times New Roman"/>
                <w:color w:val="auto"/>
                <w:highlight w:val="none"/>
              </w:rPr>
              <w:t>构筑物、管线</w:t>
            </w:r>
            <w:r>
              <w:rPr>
                <w:rFonts w:hint="default" w:ascii="Times New Roman" w:hAnsi="Times New Roman" w:cs="Times New Roman"/>
                <w:color w:val="auto"/>
                <w:highlight w:val="none"/>
                <w:lang w:eastAsia="zh-CN"/>
              </w:rPr>
              <w:t>均</w:t>
            </w:r>
            <w:r>
              <w:rPr>
                <w:rFonts w:hint="default" w:ascii="Times New Roman" w:hAnsi="Times New Roman" w:cs="Times New Roman"/>
                <w:color w:val="auto"/>
                <w:highlight w:val="none"/>
              </w:rPr>
              <w:t>采取防渗措施</w:t>
            </w:r>
          </w:p>
        </w:tc>
      </w:tr>
      <w:tr w14:paraId="319EC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77" w:hRule="atLeast"/>
          <w:jc w:val="center"/>
        </w:trPr>
        <w:tc>
          <w:tcPr>
            <w:tcW w:w="1194" w:type="dxa"/>
            <w:gridSpan w:val="2"/>
            <w:vMerge w:val="continue"/>
            <w:tcBorders>
              <w:tl2br w:val="nil"/>
              <w:tr2bl w:val="nil"/>
            </w:tcBorders>
            <w:noWrap w:val="0"/>
            <w:vAlign w:val="center"/>
          </w:tcPr>
          <w:p w14:paraId="381B1540">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461DAF6A">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5961" w:type="dxa"/>
            <w:tcBorders>
              <w:tl2br w:val="nil"/>
              <w:tr2bl w:val="nil"/>
            </w:tcBorders>
            <w:noWrap w:val="0"/>
            <w:vAlign w:val="center"/>
          </w:tcPr>
          <w:p w14:paraId="6D3A119E">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采用</w:t>
            </w:r>
            <w:r>
              <w:rPr>
                <w:rFonts w:hint="eastAsia" w:cs="Times New Roman"/>
                <w:color w:val="auto"/>
                <w:highlight w:val="none"/>
                <w:lang w:eastAsia="zh-CN"/>
              </w:rPr>
              <w:t>厂房封闭、低噪声设备、合理布局、设置绿化带等</w:t>
            </w:r>
            <w:r>
              <w:rPr>
                <w:rFonts w:hint="default" w:ascii="Times New Roman" w:hAnsi="Times New Roman" w:cs="Times New Roman"/>
                <w:color w:val="auto"/>
                <w:highlight w:val="none"/>
              </w:rPr>
              <w:t>措施</w:t>
            </w:r>
            <w:r>
              <w:rPr>
                <w:rFonts w:hint="eastAsia" w:cs="Times New Roman"/>
                <w:color w:val="auto"/>
                <w:highlight w:val="none"/>
                <w:lang w:eastAsia="zh-CN"/>
              </w:rPr>
              <w:t>。</w:t>
            </w:r>
          </w:p>
        </w:tc>
      </w:tr>
      <w:tr w14:paraId="60F617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78" w:hRule="atLeast"/>
          <w:jc w:val="center"/>
        </w:trPr>
        <w:tc>
          <w:tcPr>
            <w:tcW w:w="1194" w:type="dxa"/>
            <w:gridSpan w:val="2"/>
            <w:vMerge w:val="continue"/>
            <w:tcBorders>
              <w:tl2br w:val="nil"/>
              <w:tr2bl w:val="nil"/>
            </w:tcBorders>
            <w:noWrap w:val="0"/>
            <w:vAlign w:val="center"/>
          </w:tcPr>
          <w:p w14:paraId="01640933">
            <w:pPr>
              <w:widowControl/>
              <w:snapToGrid w:val="0"/>
              <w:jc w:val="center"/>
              <w:rPr>
                <w:rFonts w:hint="default" w:ascii="Times New Roman" w:hAnsi="Times New Roman" w:cs="Times New Roman"/>
                <w:color w:val="auto"/>
                <w:highlight w:val="none"/>
              </w:rPr>
            </w:pPr>
          </w:p>
        </w:tc>
        <w:tc>
          <w:tcPr>
            <w:tcW w:w="937" w:type="dxa"/>
            <w:tcBorders>
              <w:tl2br w:val="nil"/>
              <w:tr2bl w:val="nil"/>
            </w:tcBorders>
            <w:noWrap w:val="0"/>
            <w:vAlign w:val="center"/>
          </w:tcPr>
          <w:p w14:paraId="2051EBB9">
            <w:pPr>
              <w:kinsoku w:val="0"/>
              <w:overflowPunct w:val="0"/>
              <w:autoSpaceDE w:val="0"/>
              <w:autoSpaceDN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5961" w:type="dxa"/>
            <w:tcBorders>
              <w:tl2br w:val="nil"/>
              <w:tr2bl w:val="nil"/>
            </w:tcBorders>
            <w:noWrap w:val="0"/>
            <w:vAlign w:val="center"/>
          </w:tcPr>
          <w:p w14:paraId="37666FD7">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①生活垃圾经垃圾桶集中收集后送至就近垃圾收集点，交由环卫部门处理</w:t>
            </w:r>
            <w:r>
              <w:rPr>
                <w:rFonts w:hint="eastAsia" w:ascii="宋体" w:hAnsi="宋体" w:cs="宋体"/>
                <w:color w:val="auto"/>
                <w:highlight w:val="none"/>
                <w:lang w:eastAsia="zh-CN"/>
              </w:rPr>
              <w:t>；</w:t>
            </w:r>
          </w:p>
          <w:p w14:paraId="663EA9B0">
            <w:pPr>
              <w:kinsoku w:val="0"/>
              <w:overflowPunct w:val="0"/>
              <w:autoSpaceDE w:val="0"/>
              <w:autoSpaceDN w:val="0"/>
              <w:snapToGrid w:val="0"/>
              <w:jc w:val="both"/>
              <w:rPr>
                <w:rFonts w:hint="default" w:ascii="Times New Roman" w:hAnsi="Times New Roman" w:cs="Times New Roman"/>
                <w:color w:val="auto"/>
                <w:highlight w:val="none"/>
              </w:rPr>
            </w:pPr>
            <w:r>
              <w:rPr>
                <w:rFonts w:hint="eastAsia" w:ascii="宋体" w:hAnsi="宋体" w:eastAsia="宋体" w:cs="宋体"/>
                <w:color w:val="auto"/>
                <w:highlight w:val="none"/>
              </w:rPr>
              <w:t>②</w:t>
            </w:r>
            <w:r>
              <w:rPr>
                <w:rFonts w:hint="default" w:ascii="Times New Roman" w:hAnsi="Times New Roman" w:cs="Times New Roman"/>
                <w:color w:val="auto"/>
                <w:highlight w:val="none"/>
              </w:rPr>
              <w:t>格栅渣日产日清，及时装车外运至</w:t>
            </w:r>
            <w:r>
              <w:rPr>
                <w:rFonts w:hint="eastAsia" w:cs="Times New Roman"/>
                <w:color w:val="auto"/>
                <w:highlight w:val="none"/>
                <w:lang w:eastAsia="zh-CN"/>
              </w:rPr>
              <w:t>洋县生活垃圾填埋场</w:t>
            </w:r>
            <w:r>
              <w:rPr>
                <w:rFonts w:hint="default" w:ascii="Times New Roman" w:hAnsi="Times New Roman" w:cs="Times New Roman"/>
                <w:color w:val="auto"/>
                <w:highlight w:val="none"/>
              </w:rPr>
              <w:t>处理；</w:t>
            </w:r>
          </w:p>
          <w:p w14:paraId="4F901359">
            <w:pPr>
              <w:kinsoku w:val="0"/>
              <w:overflowPunct w:val="0"/>
              <w:autoSpaceDE w:val="0"/>
              <w:autoSpaceDN w:val="0"/>
              <w:snapToGrid w:val="0"/>
              <w:jc w:val="both"/>
              <w:rPr>
                <w:rFonts w:hint="default" w:ascii="Times New Roman" w:hAnsi="Times New Roman" w:cs="Times New Roman"/>
                <w:color w:val="auto"/>
                <w:highlight w:val="none"/>
              </w:rPr>
            </w:pPr>
            <w:r>
              <w:rPr>
                <w:rFonts w:hint="eastAsia" w:ascii="宋体" w:hAnsi="宋体" w:eastAsia="宋体" w:cs="宋体"/>
                <w:color w:val="auto"/>
                <w:highlight w:val="none"/>
              </w:rPr>
              <w:t>③</w:t>
            </w:r>
            <w:r>
              <w:rPr>
                <w:rFonts w:hint="eastAsia" w:ascii="宋体" w:hAnsi="宋体" w:eastAsia="宋体" w:cs="宋体"/>
                <w:color w:val="auto"/>
                <w:highlight w:val="none"/>
                <w:lang w:val="en-US" w:eastAsia="zh-CN"/>
              </w:rPr>
              <w:t>污泥经浓缩+脱水后暂存于污泥斗内，定期外运至洋县</w:t>
            </w:r>
            <w:r>
              <w:rPr>
                <w:rFonts w:hint="eastAsia" w:ascii="宋体" w:hAnsi="宋体" w:cs="宋体"/>
                <w:color w:val="auto"/>
                <w:highlight w:val="none"/>
                <w:lang w:val="en-US" w:eastAsia="zh-CN"/>
              </w:rPr>
              <w:t>生活</w:t>
            </w:r>
            <w:r>
              <w:rPr>
                <w:rFonts w:hint="eastAsia" w:ascii="宋体" w:hAnsi="宋体" w:eastAsia="宋体" w:cs="宋体"/>
                <w:color w:val="auto"/>
                <w:highlight w:val="none"/>
                <w:lang w:val="en-US" w:eastAsia="zh-CN"/>
              </w:rPr>
              <w:t>垃圾填埋场处置</w:t>
            </w:r>
            <w:r>
              <w:rPr>
                <w:rFonts w:hint="default" w:ascii="Times New Roman" w:hAnsi="Times New Roman" w:cs="Times New Roman"/>
                <w:color w:val="auto"/>
                <w:highlight w:val="none"/>
              </w:rPr>
              <w:t>；</w:t>
            </w:r>
          </w:p>
          <w:p w14:paraId="2A78E0E4">
            <w:pPr>
              <w:kinsoku w:val="0"/>
              <w:overflowPunct w:val="0"/>
              <w:autoSpaceDE w:val="0"/>
              <w:autoSpaceDN w:val="0"/>
              <w:snapToGrid w:val="0"/>
              <w:jc w:val="both"/>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④</w:t>
            </w:r>
            <w:r>
              <w:rPr>
                <w:rFonts w:hint="default" w:ascii="Times New Roman" w:hAnsi="Times New Roman" w:cs="Times New Roman"/>
                <w:color w:val="auto"/>
                <w:highlight w:val="none"/>
              </w:rPr>
              <w:t>危险废物</w:t>
            </w:r>
            <w:r>
              <w:rPr>
                <w:rFonts w:hint="eastAsia" w:cs="Times New Roman"/>
                <w:color w:val="auto"/>
                <w:highlight w:val="none"/>
                <w:lang w:eastAsia="zh-CN"/>
              </w:rPr>
              <w:t>在</w:t>
            </w:r>
            <w:r>
              <w:rPr>
                <w:rFonts w:hint="default" w:ascii="Times New Roman" w:hAnsi="Times New Roman" w:cs="Times New Roman"/>
                <w:color w:val="auto"/>
                <w:highlight w:val="none"/>
              </w:rPr>
              <w:t>危废</w:t>
            </w:r>
            <w:r>
              <w:rPr>
                <w:rFonts w:hint="default" w:ascii="Times New Roman" w:hAnsi="Times New Roman" w:cs="Times New Roman"/>
                <w:color w:val="auto"/>
                <w:highlight w:val="none"/>
                <w:lang w:val="en-US" w:eastAsia="zh-CN"/>
              </w:rPr>
              <w:t>间暂存后定期</w:t>
            </w:r>
            <w:r>
              <w:rPr>
                <w:rFonts w:hint="default" w:ascii="Times New Roman" w:hAnsi="Times New Roman" w:cs="Times New Roman"/>
                <w:color w:val="auto"/>
                <w:highlight w:val="none"/>
              </w:rPr>
              <w:t>交</w:t>
            </w:r>
            <w:r>
              <w:rPr>
                <w:rFonts w:hint="eastAsia" w:cs="Times New Roman"/>
                <w:color w:val="auto"/>
                <w:highlight w:val="none"/>
                <w:lang w:eastAsia="zh-CN"/>
              </w:rPr>
              <w:t>由</w:t>
            </w:r>
            <w:r>
              <w:rPr>
                <w:rFonts w:hint="default" w:ascii="Times New Roman" w:hAnsi="Times New Roman" w:cs="Times New Roman"/>
                <w:color w:val="auto"/>
                <w:highlight w:val="none"/>
              </w:rPr>
              <w:t>有资质单位处置</w:t>
            </w:r>
            <w:r>
              <w:rPr>
                <w:rFonts w:hint="eastAsia" w:cs="Times New Roman"/>
                <w:color w:val="auto"/>
                <w:highlight w:val="none"/>
                <w:lang w:eastAsia="zh-CN"/>
              </w:rPr>
              <w:t>。</w:t>
            </w:r>
          </w:p>
        </w:tc>
      </w:tr>
    </w:tbl>
    <w:p w14:paraId="135D1B01">
      <w:pPr>
        <w:pStyle w:val="4"/>
        <w:keepNext/>
        <w:keepLines/>
        <w:tabs>
          <w:tab w:val="left" w:pos="210"/>
        </w:tabs>
        <w:spacing w:before="200" w:beforeAutospacing="0" w:after="200" w:afterAutospacing="0" w:line="360" w:lineRule="auto"/>
        <w:jc w:val="both"/>
        <w:rPr>
          <w:rFonts w:hint="eastAsia" w:ascii="Times New Roman" w:hAnsi="Times New Roman" w:cs="Times New Roman"/>
          <w:color w:val="auto"/>
          <w:kern w:val="2"/>
          <w:sz w:val="24"/>
          <w:szCs w:val="32"/>
          <w:highlight w:val="none"/>
          <w:lang w:val="en-US" w:eastAsia="zh-CN"/>
        </w:rPr>
      </w:pPr>
      <w:bookmarkStart w:id="124" w:name="_Toc12572"/>
      <w:r>
        <w:rPr>
          <w:rFonts w:hint="eastAsia" w:ascii="Times New Roman" w:hAnsi="Times New Roman" w:eastAsia="宋体" w:cs="Times New Roman"/>
          <w:color w:val="auto"/>
          <w:kern w:val="2"/>
          <w:sz w:val="24"/>
          <w:szCs w:val="32"/>
          <w:highlight w:val="none"/>
          <w:lang w:val="en-US" w:eastAsia="zh-CN"/>
        </w:rPr>
        <w:t xml:space="preserve">2.3 </w:t>
      </w:r>
      <w:r>
        <w:rPr>
          <w:rFonts w:hint="eastAsia" w:ascii="Times New Roman" w:hAnsi="Times New Roman" w:cs="Times New Roman"/>
          <w:color w:val="auto"/>
          <w:kern w:val="2"/>
          <w:sz w:val="24"/>
          <w:szCs w:val="32"/>
          <w:highlight w:val="none"/>
          <w:lang w:val="en-US" w:eastAsia="zh-CN"/>
        </w:rPr>
        <w:t>工程运行方式</w:t>
      </w:r>
      <w:bookmarkEnd w:id="124"/>
    </w:p>
    <w:p w14:paraId="6272A620">
      <w:pPr>
        <w:adjustRightInd w:val="0"/>
        <w:snapToGrid w:val="0"/>
        <w:spacing w:line="360" w:lineRule="auto"/>
        <w:ind w:firstLine="480" w:firstLineChars="200"/>
        <w:rPr>
          <w:rFonts w:hint="default"/>
          <w:color w:val="auto"/>
          <w:highlight w:val="none"/>
          <w:lang w:val="en-US" w:eastAsia="zh-CN"/>
        </w:rPr>
      </w:pPr>
      <w:r>
        <w:rPr>
          <w:rFonts w:hint="default" w:ascii="Times New Roman" w:hAnsi="Times New Roman" w:cs="Times New Roman"/>
          <w:color w:val="auto"/>
          <w:sz w:val="24"/>
          <w:highlight w:val="none"/>
        </w:rPr>
        <w:t>项目污水处理</w:t>
      </w:r>
      <w:r>
        <w:rPr>
          <w:rFonts w:hint="eastAsia" w:ascii="Times New Roman" w:hAnsi="Times New Roman" w:cs="Times New Roman"/>
          <w:color w:val="auto"/>
          <w:sz w:val="24"/>
          <w:highlight w:val="none"/>
          <w:lang w:val="en-US" w:eastAsia="zh-CN"/>
        </w:rPr>
        <w:t>厂</w:t>
      </w:r>
      <w:r>
        <w:rPr>
          <w:rFonts w:hint="default" w:ascii="Times New Roman" w:hAnsi="Times New Roman" w:cs="Times New Roman"/>
          <w:color w:val="auto"/>
          <w:sz w:val="24"/>
          <w:highlight w:val="none"/>
        </w:rPr>
        <w:t>运营期工艺流程及产污环节如下图</w:t>
      </w:r>
      <w:r>
        <w:rPr>
          <w:rFonts w:hint="default" w:ascii="Times New Roman" w:hAnsi="Times New Roman" w:cs="Times New Roman"/>
          <w:color w:val="auto"/>
          <w:sz w:val="24"/>
          <w:highlight w:val="none"/>
          <w:lang w:val="en-US" w:eastAsia="zh-CN"/>
        </w:rPr>
        <w:t>所</w:t>
      </w:r>
      <w:r>
        <w:rPr>
          <w:rFonts w:hint="default" w:ascii="Times New Roman" w:hAnsi="Times New Roman" w:cs="Times New Roman"/>
          <w:color w:val="auto"/>
          <w:sz w:val="24"/>
          <w:highlight w:val="none"/>
        </w:rPr>
        <w:t>示：</w:t>
      </w:r>
    </w:p>
    <w:p w14:paraId="5B98F3D4">
      <w:pPr>
        <w:tabs>
          <w:tab w:val="left" w:pos="286"/>
          <w:tab w:val="center" w:pos="4300"/>
        </w:tabs>
        <w:adjustRightInd w:val="0"/>
        <w:snapToGrid w:val="0"/>
        <w:spacing w:before="156" w:beforeLines="50" w:line="360" w:lineRule="auto"/>
        <w:jc w:val="both"/>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object>
          <v:shape id="_x0000_i1029" o:spt="75" type="#_x0000_t75" style="height:153.9pt;width:396.5pt;" o:ole="t" filled="f" o:preferrelative="t" stroked="f" coordsize="21600,21600">
            <v:path/>
            <v:fill on="f" focussize="0,0"/>
            <v:stroke on="f"/>
            <v:imagedata r:id="rId17" o:title=""/>
            <o:lock v:ext="edit" aspectratio="f"/>
            <w10:wrap type="none"/>
            <w10:anchorlock/>
          </v:shape>
          <o:OLEObject Type="Embed" ProgID="Visio.Drawing.11" ShapeID="_x0000_i1029" DrawAspect="Content" ObjectID="_1468075729" r:id="rId28">
            <o:LockedField>false</o:LockedField>
          </o:OLEObject>
        </w:object>
      </w:r>
    </w:p>
    <w:p w14:paraId="260BE3F5">
      <w:pPr>
        <w:tabs>
          <w:tab w:val="left" w:pos="286"/>
          <w:tab w:val="center" w:pos="4300"/>
        </w:tabs>
        <w:adjustRightInd w:val="0"/>
        <w:snapToGrid w:val="0"/>
        <w:spacing w:before="156" w:beforeLines="50" w:line="360"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图</w:t>
      </w:r>
      <w:r>
        <w:rPr>
          <w:rFonts w:hint="default" w:ascii="Times New Roman" w:hAnsi="Times New Roman" w:cs="Times New Roman"/>
          <w:b/>
          <w:color w:val="auto"/>
          <w:szCs w:val="21"/>
          <w:highlight w:val="none"/>
          <w:lang w:val="en-US" w:eastAsia="zh-CN"/>
        </w:rPr>
        <w:t>2-</w:t>
      </w:r>
      <w:r>
        <w:rPr>
          <w:rFonts w:hint="eastAsia" w:cs="Times New Roman"/>
          <w:b/>
          <w:color w:val="auto"/>
          <w:szCs w:val="21"/>
          <w:highlight w:val="none"/>
          <w:lang w:val="en-US" w:eastAsia="zh-CN"/>
        </w:rPr>
        <w:t>1</w:t>
      </w:r>
      <w:r>
        <w:rPr>
          <w:rFonts w:hint="default" w:ascii="Times New Roman" w:hAnsi="Times New Roman" w:cs="Times New Roman"/>
          <w:b/>
          <w:color w:val="auto"/>
          <w:szCs w:val="21"/>
          <w:highlight w:val="none"/>
        </w:rPr>
        <w:t xml:space="preserve">  污水</w:t>
      </w:r>
      <w:r>
        <w:rPr>
          <w:rFonts w:hint="default" w:ascii="Times New Roman" w:hAnsi="Times New Roman" w:cs="Times New Roman"/>
          <w:b/>
          <w:color w:val="auto"/>
          <w:szCs w:val="21"/>
          <w:highlight w:val="none"/>
          <w:lang w:eastAsia="zh-CN"/>
        </w:rPr>
        <w:t>处理</w:t>
      </w:r>
      <w:r>
        <w:rPr>
          <w:rFonts w:hint="eastAsia" w:ascii="Times New Roman" w:hAnsi="Times New Roman" w:cs="Times New Roman"/>
          <w:b/>
          <w:color w:val="auto"/>
          <w:szCs w:val="21"/>
          <w:highlight w:val="none"/>
          <w:lang w:eastAsia="zh-CN"/>
        </w:rPr>
        <w:t>厂</w:t>
      </w:r>
      <w:r>
        <w:rPr>
          <w:rFonts w:hint="default" w:ascii="Times New Roman" w:hAnsi="Times New Roman" w:cs="Times New Roman"/>
          <w:b/>
          <w:color w:val="auto"/>
          <w:szCs w:val="21"/>
          <w:highlight w:val="none"/>
        </w:rPr>
        <w:t>运营期工艺流程及产污环节图</w:t>
      </w:r>
    </w:p>
    <w:p w14:paraId="1DBA4362">
      <w:pPr>
        <w:adjustRightInd w:val="0"/>
        <w:snapToGrid w:val="0"/>
        <w:spacing w:line="360" w:lineRule="auto"/>
        <w:ind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污水处理工艺：</w:t>
      </w:r>
    </w:p>
    <w:p w14:paraId="14CF8B8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lang w:val="en-US" w:eastAsia="zh-CN"/>
        </w:rPr>
        <w:t>生活污水</w:t>
      </w:r>
      <w:r>
        <w:rPr>
          <w:rFonts w:hint="default" w:ascii="Times New Roman" w:hAnsi="Times New Roman" w:eastAsia="宋体" w:cs="Times New Roman"/>
          <w:color w:val="auto"/>
          <w:sz w:val="24"/>
          <w:highlight w:val="none"/>
        </w:rPr>
        <w:t>采用格栅</w:t>
      </w:r>
      <w:r>
        <w:rPr>
          <w:rFonts w:hint="default" w:ascii="Times New Roman" w:hAnsi="Times New Roman" w:eastAsia="宋体" w:cs="Times New Roman"/>
          <w:color w:val="auto"/>
          <w:sz w:val="24"/>
          <w:highlight w:val="none"/>
          <w:lang w:val="en-US" w:eastAsia="zh-CN"/>
        </w:rPr>
        <w:t>池</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沉砂池</w:t>
      </w:r>
      <w:r>
        <w:rPr>
          <w:rFonts w:hint="default" w:ascii="Times New Roman" w:hAnsi="Times New Roman" w:eastAsia="宋体" w:cs="Times New Roman"/>
          <w:color w:val="auto"/>
          <w:sz w:val="24"/>
          <w:highlight w:val="none"/>
        </w:rPr>
        <w:t>→调节池→</w:t>
      </w:r>
      <w:r>
        <w:rPr>
          <w:rFonts w:hint="default" w:ascii="Times New Roman" w:hAnsi="Times New Roman" w:eastAsia="宋体" w:cs="Times New Roman"/>
          <w:color w:val="auto"/>
          <w:sz w:val="24"/>
          <w:highlight w:val="none"/>
          <w:lang w:val="en-US" w:eastAsia="zh-CN"/>
        </w:rPr>
        <w:t>厌氧池</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缺氧池</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好氧池</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二沉</w:t>
      </w:r>
      <w:r>
        <w:rPr>
          <w:rFonts w:hint="default" w:ascii="Times New Roman" w:hAnsi="Times New Roman" w:eastAsia="宋体" w:cs="Times New Roman"/>
          <w:color w:val="auto"/>
          <w:sz w:val="24"/>
          <w:highlight w:val="none"/>
        </w:rPr>
        <w:t>池→</w:t>
      </w:r>
      <w:r>
        <w:rPr>
          <w:rFonts w:hint="eastAsia" w:cs="Times New Roman"/>
          <w:color w:val="auto"/>
          <w:sz w:val="24"/>
          <w:highlight w:val="none"/>
          <w:lang w:eastAsia="zh-CN"/>
        </w:rPr>
        <w:t>高密度沉淀池</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滤布滤池</w:t>
      </w:r>
      <w:r>
        <w:rPr>
          <w:rFonts w:hint="default" w:ascii="Times New Roman" w:hAnsi="Times New Roman" w:eastAsia="宋体" w:cs="Times New Roman"/>
          <w:color w:val="auto"/>
          <w:sz w:val="24"/>
          <w:highlight w:val="none"/>
        </w:rPr>
        <w:t>→消毒池→达标排入受纳水体</w:t>
      </w:r>
      <w:r>
        <w:rPr>
          <w:rFonts w:hint="default" w:ascii="Times New Roman" w:hAnsi="Times New Roman" w:eastAsia="宋体" w:cs="Times New Roman"/>
          <w:color w:val="auto"/>
          <w:sz w:val="24"/>
          <w:highlight w:val="none"/>
          <w:lang w:val="en-US" w:eastAsia="zh-CN"/>
        </w:rPr>
        <w:t>。除磷采用聚合氯化铝</w:t>
      </w:r>
      <w:r>
        <w:rPr>
          <w:rFonts w:hint="eastAsia" w:cs="Times New Roman"/>
          <w:color w:val="auto"/>
          <w:sz w:val="24"/>
          <w:highlight w:val="none"/>
          <w:lang w:val="en-US" w:eastAsia="zh-CN"/>
        </w:rPr>
        <w:t>（PAC）</w:t>
      </w:r>
      <w:r>
        <w:rPr>
          <w:rFonts w:hint="default" w:ascii="Times New Roman" w:hAnsi="Times New Roman" w:eastAsia="宋体" w:cs="Times New Roman"/>
          <w:color w:val="auto"/>
          <w:sz w:val="24"/>
          <w:highlight w:val="none"/>
          <w:lang w:val="en-US" w:eastAsia="zh-CN"/>
        </w:rPr>
        <w:t>；消毒采用次氯酸钠</w:t>
      </w:r>
      <w:r>
        <w:rPr>
          <w:rFonts w:hint="eastAsia" w:cs="Times New Roman"/>
          <w:color w:val="auto"/>
          <w:sz w:val="24"/>
          <w:highlight w:val="none"/>
          <w:lang w:val="en-US" w:eastAsia="zh-CN"/>
        </w:rPr>
        <w:t>；絮凝沉淀采用</w:t>
      </w:r>
      <w:r>
        <w:rPr>
          <w:rFonts w:hint="default" w:ascii="Times New Roman" w:hAnsi="Times New Roman" w:eastAsia="宋体" w:cs="Times New Roman"/>
          <w:bCs/>
          <w:color w:val="auto"/>
          <w:sz w:val="24"/>
          <w:szCs w:val="24"/>
          <w:highlight w:val="none"/>
          <w:lang w:val="en-US" w:eastAsia="zh-CN"/>
        </w:rPr>
        <w:t>聚丙烯酰胺</w:t>
      </w:r>
      <w:r>
        <w:rPr>
          <w:rFonts w:hint="eastAsia" w:cs="Times New Roman"/>
          <w:bCs/>
          <w:color w:val="auto"/>
          <w:sz w:val="24"/>
          <w:szCs w:val="24"/>
          <w:highlight w:val="none"/>
          <w:lang w:val="en-US" w:eastAsia="zh-CN"/>
        </w:rPr>
        <w:t>（</w:t>
      </w:r>
      <w:r>
        <w:rPr>
          <w:rFonts w:hint="eastAsia" w:cs="Times New Roman"/>
          <w:color w:val="auto"/>
          <w:sz w:val="24"/>
          <w:highlight w:val="none"/>
          <w:lang w:val="en-US" w:eastAsia="zh-CN"/>
        </w:rPr>
        <w:t>PAM</w:t>
      </w:r>
      <w:r>
        <w:rPr>
          <w:rFonts w:hint="eastAsia" w:cs="Times New Roman"/>
          <w:bCs/>
          <w:color w:val="auto"/>
          <w:sz w:val="24"/>
          <w:szCs w:val="24"/>
          <w:highlight w:val="none"/>
          <w:lang w:val="en-US" w:eastAsia="zh-CN"/>
        </w:rPr>
        <w:t>）</w:t>
      </w:r>
      <w:r>
        <w:rPr>
          <w:rFonts w:hint="eastAsia" w:cs="Times New Roman"/>
          <w:color w:val="auto"/>
          <w:sz w:val="24"/>
          <w:highlight w:val="none"/>
          <w:lang w:val="en-US" w:eastAsia="zh-CN"/>
        </w:rPr>
        <w:t>和三氯化铁</w:t>
      </w:r>
      <w:r>
        <w:rPr>
          <w:rFonts w:hint="default" w:ascii="Times New Roman" w:hAnsi="Times New Roman" w:eastAsia="宋体" w:cs="Times New Roman"/>
          <w:color w:val="auto"/>
          <w:sz w:val="24"/>
          <w:highlight w:val="none"/>
          <w:lang w:val="en-US" w:eastAsia="zh-CN"/>
        </w:rPr>
        <w:t>。</w:t>
      </w:r>
    </w:p>
    <w:p w14:paraId="058452C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主要工艺流程简述：</w:t>
      </w:r>
    </w:p>
    <w:p w14:paraId="6CD2F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市政管网收集的生活污水</w:t>
      </w:r>
      <w:r>
        <w:rPr>
          <w:rFonts w:hint="eastAsia" w:cs="Times New Roman"/>
          <w:color w:val="auto"/>
          <w:sz w:val="24"/>
          <w:highlight w:val="none"/>
          <w:lang w:eastAsia="zh-CN"/>
        </w:rPr>
        <w:t>以及经化粪池处理后的员工生活污水一同</w:t>
      </w:r>
      <w:r>
        <w:rPr>
          <w:rFonts w:hint="default" w:ascii="Times New Roman" w:hAnsi="Times New Roman" w:cs="Times New Roman"/>
          <w:color w:val="auto"/>
          <w:sz w:val="24"/>
          <w:highlight w:val="none"/>
          <w:lang w:eastAsia="zh-CN"/>
        </w:rPr>
        <w:t>进入污水处理厂的粗格栅、细格栅去除污水中</w:t>
      </w:r>
      <w:r>
        <w:rPr>
          <w:rFonts w:hint="eastAsia" w:cs="Times New Roman"/>
          <w:color w:val="auto"/>
          <w:sz w:val="24"/>
          <w:highlight w:val="none"/>
          <w:lang w:eastAsia="zh-CN"/>
        </w:rPr>
        <w:t>的</w:t>
      </w:r>
      <w:r>
        <w:rPr>
          <w:rFonts w:hint="default" w:ascii="Times New Roman" w:hAnsi="Times New Roman" w:cs="Times New Roman"/>
          <w:color w:val="auto"/>
          <w:sz w:val="24"/>
          <w:highlight w:val="none"/>
          <w:lang w:eastAsia="zh-CN"/>
        </w:rPr>
        <w:t>漂浮物</w:t>
      </w:r>
      <w:r>
        <w:rPr>
          <w:rFonts w:hint="eastAsia" w:cs="Times New Roman"/>
          <w:color w:val="auto"/>
          <w:sz w:val="24"/>
          <w:highlight w:val="none"/>
          <w:lang w:eastAsia="zh-CN"/>
        </w:rPr>
        <w:t>（格栅渣）</w:t>
      </w:r>
      <w:r>
        <w:rPr>
          <w:rFonts w:hint="default" w:ascii="Times New Roman" w:hAnsi="Times New Roman" w:cs="Times New Roman"/>
          <w:color w:val="auto"/>
          <w:sz w:val="24"/>
          <w:highlight w:val="none"/>
          <w:lang w:eastAsia="zh-CN"/>
        </w:rPr>
        <w:t>后，经集水池提升进入旋流沉砂池进行初步预处理，旋流沉砂池出水自流进入调节池进行水质水量调节，调节池设提升泵将污水提升至生化处理系统进行生物处理（去除有机污染物并脱氮除磷），生化系统的出水进入二沉池进行泥水分离，二沉池上清液</w:t>
      </w:r>
      <w:r>
        <w:rPr>
          <w:rFonts w:hint="eastAsia" w:cs="Times New Roman"/>
          <w:color w:val="auto"/>
          <w:sz w:val="24"/>
          <w:highlight w:val="none"/>
          <w:lang w:eastAsia="zh-CN"/>
        </w:rPr>
        <w:t>进入</w:t>
      </w:r>
      <w:r>
        <w:rPr>
          <w:rFonts w:hint="default" w:ascii="Times New Roman" w:hAnsi="Times New Roman" w:cs="Times New Roman"/>
          <w:color w:val="auto"/>
          <w:sz w:val="24"/>
          <w:highlight w:val="none"/>
          <w:lang w:eastAsia="zh-CN"/>
        </w:rPr>
        <w:t>深度处理阶段，产生的剩余污泥一部分回流至生化池前端，一部分进入污泥处理系统。</w:t>
      </w:r>
    </w:p>
    <w:p w14:paraId="3142A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深度处理单元主要进行深度除磷及残留SS的处理，二沉池出水自流进入高密度沉淀池去除污水中的总磷，高密度沉淀池出水进入滤布滤池进行处理，滤池出水经接触消毒池消毒处理后即可达标外排。</w:t>
      </w:r>
    </w:p>
    <w:p w14:paraId="3057B4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highlight w:val="none"/>
          <w:lang w:eastAsia="zh-CN"/>
        </w:rPr>
        <w:t>本项目产生污泥的处理工艺有二沉池、高密度沉淀池，主要为活性污泥，污泥含水率在99.2%～99.6%之间。污泥排入污泥浓缩池进行初步浓缩，经泵提升进入污泥脱水车间进行深度处理，处理工艺采用“污泥浓缩池+板框脱水机”，处理后的污泥含水率在60%以下，外运</w:t>
      </w:r>
      <w:r>
        <w:rPr>
          <w:rFonts w:hint="eastAsia" w:cs="Times New Roman"/>
          <w:color w:val="auto"/>
          <w:sz w:val="24"/>
          <w:highlight w:val="none"/>
          <w:lang w:eastAsia="zh-CN"/>
        </w:rPr>
        <w:t>至砖厂制砖</w:t>
      </w:r>
      <w:r>
        <w:rPr>
          <w:rFonts w:hint="eastAsia" w:ascii="Times New Roman" w:hAnsi="Times New Roman" w:cs="Times New Roman"/>
          <w:color w:val="auto"/>
          <w:sz w:val="24"/>
          <w:highlight w:val="none"/>
          <w:lang w:eastAsia="zh-CN"/>
        </w:rPr>
        <w:t>。</w:t>
      </w:r>
    </w:p>
    <w:p w14:paraId="5EB22477">
      <w:pPr>
        <w:pStyle w:val="4"/>
        <w:keepNext/>
        <w:keepLines/>
        <w:tabs>
          <w:tab w:val="left" w:pos="210"/>
        </w:tabs>
        <w:spacing w:before="200" w:beforeAutospacing="0" w:after="200" w:afterAutospacing="0" w:line="360" w:lineRule="auto"/>
        <w:jc w:val="both"/>
        <w:rPr>
          <w:rFonts w:hint="eastAsia" w:ascii="Times New Roman" w:hAnsi="Times New Roman" w:cs="Times New Roman"/>
          <w:color w:val="auto"/>
          <w:kern w:val="2"/>
          <w:sz w:val="24"/>
          <w:szCs w:val="32"/>
          <w:highlight w:val="none"/>
          <w:lang w:val="en-US" w:eastAsia="zh-CN"/>
        </w:rPr>
      </w:pPr>
      <w:bookmarkStart w:id="125" w:name="_Toc28599"/>
      <w:r>
        <w:rPr>
          <w:rFonts w:hint="eastAsia" w:ascii="Times New Roman" w:hAnsi="Times New Roman" w:eastAsia="宋体" w:cs="Times New Roman"/>
          <w:color w:val="auto"/>
          <w:kern w:val="2"/>
          <w:sz w:val="24"/>
          <w:szCs w:val="32"/>
          <w:highlight w:val="none"/>
          <w:lang w:val="en-US" w:eastAsia="zh-CN"/>
        </w:rPr>
        <w:t xml:space="preserve">2.4 </w:t>
      </w:r>
      <w:r>
        <w:rPr>
          <w:rFonts w:hint="eastAsia" w:ascii="Times New Roman" w:hAnsi="Times New Roman" w:cs="Times New Roman"/>
          <w:color w:val="auto"/>
          <w:kern w:val="2"/>
          <w:sz w:val="24"/>
          <w:szCs w:val="32"/>
          <w:highlight w:val="none"/>
          <w:lang w:val="en-US" w:eastAsia="zh-CN"/>
        </w:rPr>
        <w:t>废水产排情况</w:t>
      </w:r>
      <w:bookmarkEnd w:id="125"/>
    </w:p>
    <w:p w14:paraId="5AE4D1A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sz w:val="24"/>
          <w:highlight w:val="none"/>
        </w:rPr>
      </w:pPr>
    </w:p>
    <w:p w14:paraId="0754B7DF">
      <w:pPr>
        <w:adjustRightInd w:val="0"/>
        <w:snapToGrid w:val="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表</w:t>
      </w:r>
      <w:r>
        <w:rPr>
          <w:rFonts w:hint="default" w:ascii="Times New Roman" w:hAnsi="Times New Roman" w:eastAsia="宋体" w:cs="Times New Roman"/>
          <w:b/>
          <w:color w:val="auto"/>
          <w:szCs w:val="21"/>
          <w:highlight w:val="none"/>
          <w:lang w:val="en-US" w:eastAsia="zh-CN"/>
        </w:rPr>
        <w:t>2</w:t>
      </w:r>
      <w:r>
        <w:rPr>
          <w:rFonts w:hint="eastAsia" w:cs="Times New Roman"/>
          <w:b/>
          <w:color w:val="auto"/>
          <w:szCs w:val="21"/>
          <w:highlight w:val="none"/>
          <w:lang w:val="en-US" w:eastAsia="zh-CN"/>
        </w:rPr>
        <w:t>.4</w:t>
      </w:r>
      <w:r>
        <w:rPr>
          <w:rFonts w:hint="default" w:ascii="Times New Roman" w:hAnsi="Times New Roman" w:eastAsia="宋体" w:cs="Times New Roman"/>
          <w:b/>
          <w:color w:val="auto"/>
          <w:szCs w:val="21"/>
          <w:highlight w:val="none"/>
          <w:lang w:val="en-US" w:eastAsia="zh-CN"/>
        </w:rPr>
        <w:t>-1</w:t>
      </w:r>
      <w:r>
        <w:rPr>
          <w:rFonts w:hint="default" w:ascii="Times New Roman" w:hAnsi="Times New Roman" w:eastAsia="宋体" w:cs="Times New Roman"/>
          <w:b/>
          <w:color w:val="auto"/>
          <w:szCs w:val="21"/>
          <w:highlight w:val="none"/>
        </w:rPr>
        <w:t xml:space="preserve">  </w:t>
      </w:r>
      <w:r>
        <w:rPr>
          <w:rFonts w:hint="default" w:ascii="Times New Roman" w:hAnsi="Times New Roman" w:cs="Times New Roman"/>
          <w:b/>
          <w:color w:val="auto"/>
          <w:szCs w:val="21"/>
          <w:highlight w:val="none"/>
          <w:lang w:eastAsia="zh-CN"/>
        </w:rPr>
        <w:t>污水处理</w:t>
      </w:r>
      <w:r>
        <w:rPr>
          <w:rFonts w:hint="eastAsia" w:ascii="Times New Roman" w:hAnsi="Times New Roman" w:cs="Times New Roman"/>
          <w:b/>
          <w:color w:val="auto"/>
          <w:szCs w:val="21"/>
          <w:highlight w:val="none"/>
          <w:lang w:eastAsia="zh-CN"/>
        </w:rPr>
        <w:t>厂各</w:t>
      </w:r>
      <w:r>
        <w:rPr>
          <w:rFonts w:hint="default" w:ascii="Times New Roman" w:hAnsi="Times New Roman" w:cs="Times New Roman"/>
          <w:b/>
          <w:color w:val="auto"/>
          <w:szCs w:val="21"/>
          <w:highlight w:val="none"/>
          <w:lang w:eastAsia="zh-CN"/>
        </w:rPr>
        <w:t>污染物产排</w:t>
      </w:r>
      <w:r>
        <w:rPr>
          <w:rFonts w:hint="eastAsia" w:ascii="Times New Roman" w:hAnsi="Times New Roman" w:cs="Times New Roman"/>
          <w:b/>
          <w:color w:val="auto"/>
          <w:szCs w:val="21"/>
          <w:highlight w:val="none"/>
          <w:lang w:eastAsia="zh-CN"/>
        </w:rPr>
        <w:t>情况</w:t>
      </w:r>
      <w:r>
        <w:rPr>
          <w:rFonts w:hint="default" w:ascii="Times New Roman" w:hAnsi="Times New Roman" w:eastAsia="宋体" w:cs="Times New Roman"/>
          <w:b/>
          <w:color w:val="auto"/>
          <w:szCs w:val="21"/>
          <w:highlight w:val="none"/>
        </w:rPr>
        <w:t>一览表</w:t>
      </w:r>
    </w:p>
    <w:tbl>
      <w:tblPr>
        <w:tblStyle w:val="31"/>
        <w:tblW w:w="8501"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897"/>
        <w:gridCol w:w="419"/>
        <w:gridCol w:w="743"/>
        <w:gridCol w:w="797"/>
        <w:gridCol w:w="826"/>
        <w:gridCol w:w="972"/>
        <w:gridCol w:w="694"/>
        <w:gridCol w:w="765"/>
        <w:gridCol w:w="892"/>
        <w:gridCol w:w="879"/>
        <w:gridCol w:w="617"/>
      </w:tblGrid>
      <w:tr w14:paraId="5E38770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61" w:hRule="atLeast"/>
          <w:jc w:val="center"/>
        </w:trPr>
        <w:tc>
          <w:tcPr>
            <w:tcW w:w="897" w:type="dxa"/>
            <w:vMerge w:val="restart"/>
            <w:tcBorders>
              <w:tl2br w:val="nil"/>
              <w:tr2bl w:val="nil"/>
            </w:tcBorders>
            <w:noWrap w:val="0"/>
            <w:vAlign w:val="center"/>
          </w:tcPr>
          <w:p w14:paraId="41CC82F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污染物</w:t>
            </w:r>
          </w:p>
        </w:tc>
        <w:tc>
          <w:tcPr>
            <w:tcW w:w="2785" w:type="dxa"/>
            <w:gridSpan w:val="4"/>
            <w:tcBorders>
              <w:tl2br w:val="nil"/>
              <w:tr2bl w:val="nil"/>
            </w:tcBorders>
            <w:noWrap w:val="0"/>
            <w:vAlign w:val="center"/>
          </w:tcPr>
          <w:p w14:paraId="4D8A4F1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污染物产生</w:t>
            </w:r>
          </w:p>
        </w:tc>
        <w:tc>
          <w:tcPr>
            <w:tcW w:w="1666" w:type="dxa"/>
            <w:gridSpan w:val="2"/>
            <w:tcBorders>
              <w:right w:val="single" w:color="auto" w:sz="4" w:space="0"/>
              <w:tl2br w:val="nil"/>
              <w:tr2bl w:val="nil"/>
            </w:tcBorders>
            <w:noWrap w:val="0"/>
            <w:vAlign w:val="center"/>
          </w:tcPr>
          <w:p w14:paraId="47B3807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治理措施</w:t>
            </w:r>
          </w:p>
        </w:tc>
        <w:tc>
          <w:tcPr>
            <w:tcW w:w="2536" w:type="dxa"/>
            <w:gridSpan w:val="3"/>
            <w:tcBorders>
              <w:left w:val="single" w:color="auto" w:sz="4" w:space="0"/>
              <w:tl2br w:val="nil"/>
              <w:tr2bl w:val="nil"/>
            </w:tcBorders>
            <w:noWrap w:val="0"/>
            <w:vAlign w:val="center"/>
          </w:tcPr>
          <w:p w14:paraId="373DB13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污染物排放</w:t>
            </w:r>
          </w:p>
        </w:tc>
        <w:tc>
          <w:tcPr>
            <w:tcW w:w="617" w:type="dxa"/>
            <w:vMerge w:val="restart"/>
            <w:tcBorders>
              <w:tl2br w:val="nil"/>
              <w:tr2bl w:val="nil"/>
            </w:tcBorders>
            <w:noWrap w:val="0"/>
            <w:vAlign w:val="center"/>
          </w:tcPr>
          <w:p w14:paraId="058BEE0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排放</w:t>
            </w:r>
          </w:p>
          <w:p w14:paraId="093C2B5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时间（h）</w:t>
            </w:r>
          </w:p>
        </w:tc>
      </w:tr>
      <w:tr w14:paraId="71378B7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8" w:hRule="atLeast"/>
          <w:jc w:val="center"/>
        </w:trPr>
        <w:tc>
          <w:tcPr>
            <w:tcW w:w="897" w:type="dxa"/>
            <w:vMerge w:val="continue"/>
            <w:tcBorders>
              <w:tl2br w:val="nil"/>
              <w:tr2bl w:val="nil"/>
            </w:tcBorders>
            <w:noWrap w:val="0"/>
            <w:vAlign w:val="center"/>
          </w:tcPr>
          <w:p w14:paraId="06F165D0">
            <w:pPr>
              <w:jc w:val="center"/>
              <w:rPr>
                <w:rFonts w:hint="default" w:ascii="Times New Roman" w:hAnsi="Times New Roman" w:eastAsia="宋体" w:cs="Times New Roman"/>
                <w:b w:val="0"/>
                <w:bCs w:val="0"/>
                <w:i w:val="0"/>
                <w:iCs w:val="0"/>
                <w:color w:val="auto"/>
                <w:sz w:val="18"/>
                <w:szCs w:val="18"/>
                <w:highlight w:val="none"/>
                <w:u w:val="none"/>
              </w:rPr>
            </w:pPr>
          </w:p>
        </w:tc>
        <w:tc>
          <w:tcPr>
            <w:tcW w:w="419" w:type="dxa"/>
            <w:tcBorders>
              <w:tl2br w:val="nil"/>
              <w:tr2bl w:val="nil"/>
            </w:tcBorders>
            <w:noWrap w:val="0"/>
            <w:vAlign w:val="center"/>
          </w:tcPr>
          <w:p w14:paraId="6EC3E2E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核算方法</w:t>
            </w:r>
          </w:p>
        </w:tc>
        <w:tc>
          <w:tcPr>
            <w:tcW w:w="743" w:type="dxa"/>
            <w:tcBorders>
              <w:tl2br w:val="nil"/>
              <w:tr2bl w:val="nil"/>
            </w:tcBorders>
            <w:noWrap w:val="0"/>
            <w:vAlign w:val="center"/>
          </w:tcPr>
          <w:p w14:paraId="2B55217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产生</w:t>
            </w:r>
          </w:p>
          <w:p w14:paraId="72E65B9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废水量/（m</w:t>
            </w:r>
            <w:r>
              <w:rPr>
                <w:rFonts w:hint="default" w:ascii="Times New Roman" w:hAnsi="Times New Roman" w:eastAsia="宋体" w:cs="Times New Roman"/>
                <w:b w:val="0"/>
                <w:bCs w:val="0"/>
                <w:i w:val="0"/>
                <w:iCs w:val="0"/>
                <w:color w:val="auto"/>
                <w:kern w:val="0"/>
                <w:sz w:val="18"/>
                <w:szCs w:val="18"/>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/a）</w:t>
            </w:r>
          </w:p>
        </w:tc>
        <w:tc>
          <w:tcPr>
            <w:tcW w:w="797" w:type="dxa"/>
            <w:tcBorders>
              <w:tl2br w:val="nil"/>
              <w:tr2bl w:val="nil"/>
            </w:tcBorders>
            <w:noWrap w:val="0"/>
            <w:vAlign w:val="center"/>
          </w:tcPr>
          <w:p w14:paraId="0CA7CE5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产生浓度/（mg/L）</w:t>
            </w:r>
          </w:p>
        </w:tc>
        <w:tc>
          <w:tcPr>
            <w:tcW w:w="826" w:type="dxa"/>
            <w:tcBorders>
              <w:tl2br w:val="nil"/>
              <w:tr2bl w:val="nil"/>
            </w:tcBorders>
            <w:noWrap w:val="0"/>
            <w:vAlign w:val="center"/>
          </w:tcPr>
          <w:p w14:paraId="7DB5393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产生量/（t/a）</w:t>
            </w:r>
          </w:p>
        </w:tc>
        <w:tc>
          <w:tcPr>
            <w:tcW w:w="972" w:type="dxa"/>
            <w:tcBorders>
              <w:tl2br w:val="nil"/>
              <w:tr2bl w:val="nil"/>
            </w:tcBorders>
            <w:noWrap w:val="0"/>
            <w:vAlign w:val="center"/>
          </w:tcPr>
          <w:p w14:paraId="4A443D2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工艺</w:t>
            </w:r>
          </w:p>
        </w:tc>
        <w:tc>
          <w:tcPr>
            <w:tcW w:w="694" w:type="dxa"/>
            <w:tcBorders>
              <w:right w:val="single" w:color="auto" w:sz="4" w:space="0"/>
              <w:tl2br w:val="nil"/>
              <w:tr2bl w:val="nil"/>
            </w:tcBorders>
            <w:noWrap w:val="0"/>
            <w:vAlign w:val="center"/>
          </w:tcPr>
          <w:p w14:paraId="5A12237E">
            <w:pPr>
              <w:keepNext w:val="0"/>
              <w:keepLines w:val="0"/>
              <w:widowControl/>
              <w:suppressLineNumbers w:val="0"/>
              <w:jc w:val="center"/>
              <w:textAlignment w:val="center"/>
              <w:rPr>
                <w:rFonts w:hint="eastAsia" w:cs="Times New Roman"/>
                <w:b w:val="0"/>
                <w:bCs w:val="0"/>
                <w:i w:val="0"/>
                <w:iCs w:val="0"/>
                <w:color w:val="auto"/>
                <w:sz w:val="18"/>
                <w:szCs w:val="18"/>
                <w:highlight w:val="none"/>
                <w:u w:val="none"/>
                <w:lang w:eastAsia="zh-CN"/>
              </w:rPr>
            </w:pPr>
            <w:r>
              <w:rPr>
                <w:rFonts w:hint="eastAsia" w:cs="Times New Roman"/>
                <w:b w:val="0"/>
                <w:bCs w:val="0"/>
                <w:i w:val="0"/>
                <w:iCs w:val="0"/>
                <w:color w:val="auto"/>
                <w:sz w:val="18"/>
                <w:szCs w:val="18"/>
                <w:highlight w:val="none"/>
                <w:u w:val="none"/>
                <w:lang w:eastAsia="zh-CN"/>
              </w:rPr>
              <w:t>处理</w:t>
            </w:r>
          </w:p>
          <w:p w14:paraId="131316D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lang w:val="en-US" w:eastAsia="zh-CN"/>
              </w:rPr>
            </w:pPr>
            <w:r>
              <w:rPr>
                <w:rFonts w:hint="eastAsia" w:cs="Times New Roman"/>
                <w:b w:val="0"/>
                <w:bCs w:val="0"/>
                <w:i w:val="0"/>
                <w:iCs w:val="0"/>
                <w:color w:val="auto"/>
                <w:sz w:val="18"/>
                <w:szCs w:val="18"/>
                <w:highlight w:val="none"/>
                <w:u w:val="none"/>
                <w:lang w:eastAsia="zh-CN"/>
              </w:rPr>
              <w:t>效率</w:t>
            </w:r>
            <w:r>
              <w:rPr>
                <w:rFonts w:hint="eastAsia" w:cs="Times New Roman"/>
                <w:b w:val="0"/>
                <w:bCs w:val="0"/>
                <w:i w:val="0"/>
                <w:iCs w:val="0"/>
                <w:color w:val="auto"/>
                <w:sz w:val="18"/>
                <w:szCs w:val="18"/>
                <w:highlight w:val="none"/>
                <w:u w:val="none"/>
                <w:lang w:val="en-US" w:eastAsia="zh-CN"/>
              </w:rPr>
              <w:t>/%</w:t>
            </w:r>
          </w:p>
        </w:tc>
        <w:tc>
          <w:tcPr>
            <w:tcW w:w="765" w:type="dxa"/>
            <w:tcBorders>
              <w:left w:val="single" w:color="auto" w:sz="4" w:space="0"/>
              <w:tl2br w:val="nil"/>
              <w:tr2bl w:val="nil"/>
            </w:tcBorders>
            <w:noWrap w:val="0"/>
            <w:vAlign w:val="center"/>
          </w:tcPr>
          <w:p w14:paraId="2A71D59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废水</w:t>
            </w:r>
          </w:p>
          <w:p w14:paraId="272722B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排放量/（m</w:t>
            </w:r>
            <w:r>
              <w:rPr>
                <w:rFonts w:hint="default" w:ascii="Times New Roman" w:hAnsi="Times New Roman" w:eastAsia="宋体" w:cs="Times New Roman"/>
                <w:b w:val="0"/>
                <w:bCs w:val="0"/>
                <w:i w:val="0"/>
                <w:iCs w:val="0"/>
                <w:color w:val="auto"/>
                <w:kern w:val="0"/>
                <w:sz w:val="18"/>
                <w:szCs w:val="18"/>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/a）</w:t>
            </w:r>
          </w:p>
        </w:tc>
        <w:tc>
          <w:tcPr>
            <w:tcW w:w="892" w:type="dxa"/>
            <w:tcBorders>
              <w:tl2br w:val="nil"/>
              <w:tr2bl w:val="nil"/>
            </w:tcBorders>
            <w:noWrap w:val="0"/>
            <w:vAlign w:val="center"/>
          </w:tcPr>
          <w:p w14:paraId="23093E1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排放浓度/（mg/L）</w:t>
            </w:r>
          </w:p>
        </w:tc>
        <w:tc>
          <w:tcPr>
            <w:tcW w:w="879" w:type="dxa"/>
            <w:tcBorders>
              <w:tl2br w:val="nil"/>
              <w:tr2bl w:val="nil"/>
            </w:tcBorders>
            <w:noWrap w:val="0"/>
            <w:vAlign w:val="center"/>
          </w:tcPr>
          <w:p w14:paraId="50D172A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排放量/（t/a）</w:t>
            </w:r>
          </w:p>
        </w:tc>
        <w:tc>
          <w:tcPr>
            <w:tcW w:w="617" w:type="dxa"/>
            <w:vMerge w:val="continue"/>
            <w:tcBorders>
              <w:tl2br w:val="nil"/>
              <w:tr2bl w:val="nil"/>
            </w:tcBorders>
            <w:noWrap w:val="0"/>
            <w:vAlign w:val="center"/>
          </w:tcPr>
          <w:p w14:paraId="653747FA">
            <w:pPr>
              <w:jc w:val="center"/>
              <w:rPr>
                <w:rFonts w:hint="default" w:ascii="Times New Roman" w:hAnsi="Times New Roman" w:eastAsia="宋体" w:cs="Times New Roman"/>
                <w:b w:val="0"/>
                <w:bCs w:val="0"/>
                <w:i w:val="0"/>
                <w:iCs w:val="0"/>
                <w:color w:val="auto"/>
                <w:sz w:val="18"/>
                <w:szCs w:val="18"/>
                <w:highlight w:val="none"/>
                <w:u w:val="none"/>
              </w:rPr>
            </w:pPr>
          </w:p>
        </w:tc>
      </w:tr>
      <w:tr w14:paraId="61429F1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06" w:hRule="atLeast"/>
          <w:jc w:val="center"/>
        </w:trPr>
        <w:tc>
          <w:tcPr>
            <w:tcW w:w="897" w:type="dxa"/>
            <w:tcBorders>
              <w:tl2br w:val="nil"/>
              <w:tr2bl w:val="nil"/>
            </w:tcBorders>
            <w:noWrap w:val="0"/>
            <w:vAlign w:val="center"/>
          </w:tcPr>
          <w:p w14:paraId="7275016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pH</w:t>
            </w:r>
          </w:p>
        </w:tc>
        <w:tc>
          <w:tcPr>
            <w:tcW w:w="419" w:type="dxa"/>
            <w:vMerge w:val="restart"/>
            <w:tcBorders>
              <w:tl2br w:val="nil"/>
              <w:tr2bl w:val="nil"/>
            </w:tcBorders>
            <w:noWrap w:val="0"/>
            <w:vAlign w:val="center"/>
          </w:tcPr>
          <w:p w14:paraId="64A7B2D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物料衡算法</w:t>
            </w:r>
          </w:p>
        </w:tc>
        <w:tc>
          <w:tcPr>
            <w:tcW w:w="743" w:type="dxa"/>
            <w:vMerge w:val="restart"/>
            <w:tcBorders>
              <w:tl2br w:val="nil"/>
              <w:tr2bl w:val="nil"/>
            </w:tcBorders>
            <w:noWrap w:val="0"/>
            <w:vAlign w:val="center"/>
          </w:tcPr>
          <w:p w14:paraId="11E6778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54.75</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万</w:t>
            </w:r>
          </w:p>
        </w:tc>
        <w:tc>
          <w:tcPr>
            <w:tcW w:w="797" w:type="dxa"/>
            <w:tcBorders>
              <w:tl2br w:val="nil"/>
              <w:tr2bl w:val="nil"/>
            </w:tcBorders>
            <w:noWrap w:val="0"/>
            <w:vAlign w:val="center"/>
          </w:tcPr>
          <w:p w14:paraId="2E61C3C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w:t>
            </w:r>
          </w:p>
        </w:tc>
        <w:tc>
          <w:tcPr>
            <w:tcW w:w="826" w:type="dxa"/>
            <w:tcBorders>
              <w:tl2br w:val="nil"/>
              <w:tr2bl w:val="nil"/>
            </w:tcBorders>
            <w:noWrap w:val="0"/>
            <w:vAlign w:val="center"/>
          </w:tcPr>
          <w:p w14:paraId="7E4C486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w:t>
            </w:r>
          </w:p>
        </w:tc>
        <w:tc>
          <w:tcPr>
            <w:tcW w:w="972" w:type="dxa"/>
            <w:vMerge w:val="restart"/>
            <w:tcBorders>
              <w:tl2br w:val="nil"/>
              <w:tr2bl w:val="nil"/>
            </w:tcBorders>
            <w:noWrap w:val="0"/>
            <w:vAlign w:val="center"/>
          </w:tcPr>
          <w:p w14:paraId="1FA3A2C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“格栅渠+集水池+旋流沉砂池+调节池+AAO+二沉池+高密度沉淀池+滤布滤池+接触消毒池”</w:t>
            </w:r>
          </w:p>
        </w:tc>
        <w:tc>
          <w:tcPr>
            <w:tcW w:w="694" w:type="dxa"/>
            <w:tcBorders>
              <w:bottom w:val="single" w:color="auto" w:sz="4" w:space="0"/>
              <w:tl2br w:val="nil"/>
              <w:tr2bl w:val="nil"/>
            </w:tcBorders>
            <w:noWrap w:val="0"/>
            <w:vAlign w:val="center"/>
          </w:tcPr>
          <w:p w14:paraId="427C05D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w:t>
            </w:r>
          </w:p>
        </w:tc>
        <w:tc>
          <w:tcPr>
            <w:tcW w:w="765" w:type="dxa"/>
            <w:vMerge w:val="restart"/>
            <w:tcBorders>
              <w:tl2br w:val="nil"/>
              <w:tr2bl w:val="nil"/>
            </w:tcBorders>
            <w:noWrap w:val="0"/>
            <w:vAlign w:val="center"/>
          </w:tcPr>
          <w:p w14:paraId="788B3F0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54.75</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万</w:t>
            </w:r>
          </w:p>
        </w:tc>
        <w:tc>
          <w:tcPr>
            <w:tcW w:w="892" w:type="dxa"/>
            <w:tcBorders>
              <w:bottom w:val="single" w:color="auto" w:sz="4" w:space="0"/>
              <w:tl2br w:val="nil"/>
              <w:tr2bl w:val="nil"/>
            </w:tcBorders>
            <w:noWrap w:val="0"/>
            <w:vAlign w:val="center"/>
          </w:tcPr>
          <w:p w14:paraId="4A5FB5E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w:t>
            </w:r>
          </w:p>
        </w:tc>
        <w:tc>
          <w:tcPr>
            <w:tcW w:w="879" w:type="dxa"/>
            <w:tcBorders>
              <w:tl2br w:val="nil"/>
              <w:tr2bl w:val="nil"/>
            </w:tcBorders>
            <w:noWrap w:val="0"/>
            <w:vAlign w:val="center"/>
          </w:tcPr>
          <w:p w14:paraId="3C451B4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w:t>
            </w:r>
          </w:p>
        </w:tc>
        <w:tc>
          <w:tcPr>
            <w:tcW w:w="617" w:type="dxa"/>
            <w:vMerge w:val="restart"/>
            <w:tcBorders>
              <w:tl2br w:val="nil"/>
              <w:tr2bl w:val="nil"/>
            </w:tcBorders>
            <w:noWrap w:val="0"/>
            <w:vAlign w:val="center"/>
          </w:tcPr>
          <w:p w14:paraId="530931C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8760</w:t>
            </w:r>
          </w:p>
        </w:tc>
      </w:tr>
      <w:tr w14:paraId="77DCF0D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20" w:hRule="atLeast"/>
          <w:jc w:val="center"/>
        </w:trPr>
        <w:tc>
          <w:tcPr>
            <w:tcW w:w="897" w:type="dxa"/>
            <w:tcBorders>
              <w:tl2br w:val="nil"/>
              <w:tr2bl w:val="nil"/>
            </w:tcBorders>
            <w:noWrap w:val="0"/>
            <w:vAlign w:val="center"/>
          </w:tcPr>
          <w:p w14:paraId="31AE150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COD</w:t>
            </w:r>
          </w:p>
        </w:tc>
        <w:tc>
          <w:tcPr>
            <w:tcW w:w="419" w:type="dxa"/>
            <w:vMerge w:val="continue"/>
            <w:tcBorders>
              <w:tl2br w:val="nil"/>
              <w:tr2bl w:val="nil"/>
            </w:tcBorders>
            <w:noWrap w:val="0"/>
            <w:vAlign w:val="center"/>
          </w:tcPr>
          <w:p w14:paraId="7F9426B3">
            <w:pPr>
              <w:jc w:val="center"/>
              <w:rPr>
                <w:rFonts w:hint="default" w:ascii="Times New Roman" w:hAnsi="Times New Roman" w:eastAsia="宋体" w:cs="Times New Roman"/>
                <w:b w:val="0"/>
                <w:bCs w:val="0"/>
                <w:i w:val="0"/>
                <w:iCs w:val="0"/>
                <w:color w:val="auto"/>
                <w:sz w:val="18"/>
                <w:szCs w:val="18"/>
                <w:highlight w:val="none"/>
                <w:u w:val="none"/>
              </w:rPr>
            </w:pPr>
          </w:p>
        </w:tc>
        <w:tc>
          <w:tcPr>
            <w:tcW w:w="743" w:type="dxa"/>
            <w:vMerge w:val="continue"/>
            <w:tcBorders>
              <w:tl2br w:val="nil"/>
              <w:tr2bl w:val="nil"/>
            </w:tcBorders>
            <w:noWrap w:val="0"/>
            <w:vAlign w:val="center"/>
          </w:tcPr>
          <w:p w14:paraId="2F98B69E">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797" w:type="dxa"/>
            <w:tcBorders>
              <w:tl2br w:val="nil"/>
              <w:tr2bl w:val="nil"/>
            </w:tcBorders>
            <w:noWrap/>
            <w:vAlign w:val="center"/>
          </w:tcPr>
          <w:p w14:paraId="6267665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450</w:t>
            </w:r>
          </w:p>
        </w:tc>
        <w:tc>
          <w:tcPr>
            <w:tcW w:w="826" w:type="dxa"/>
            <w:tcBorders>
              <w:tl2br w:val="nil"/>
              <w:tr2bl w:val="nil"/>
            </w:tcBorders>
            <w:noWrap w:val="0"/>
            <w:vAlign w:val="center"/>
          </w:tcPr>
          <w:p w14:paraId="2E1A21F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246.37</w:t>
            </w:r>
          </w:p>
        </w:tc>
        <w:tc>
          <w:tcPr>
            <w:tcW w:w="972" w:type="dxa"/>
            <w:vMerge w:val="continue"/>
            <w:tcBorders>
              <w:tl2br w:val="nil"/>
              <w:tr2bl w:val="nil"/>
            </w:tcBorders>
            <w:noWrap w:val="0"/>
            <w:vAlign w:val="center"/>
          </w:tcPr>
          <w:p w14:paraId="3C4E95A5">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694" w:type="dxa"/>
            <w:tcBorders>
              <w:top w:val="single" w:color="auto" w:sz="4" w:space="0"/>
              <w:bottom w:val="single" w:color="auto" w:sz="4" w:space="0"/>
              <w:tl2br w:val="nil"/>
              <w:tr2bl w:val="nil"/>
            </w:tcBorders>
            <w:noWrap w:val="0"/>
            <w:vAlign w:val="center"/>
          </w:tcPr>
          <w:p w14:paraId="41C36534">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88.88</w:t>
            </w:r>
          </w:p>
        </w:tc>
        <w:tc>
          <w:tcPr>
            <w:tcW w:w="765" w:type="dxa"/>
            <w:vMerge w:val="continue"/>
            <w:tcBorders>
              <w:tl2br w:val="nil"/>
              <w:tr2bl w:val="nil"/>
            </w:tcBorders>
            <w:noWrap w:val="0"/>
            <w:vAlign w:val="center"/>
          </w:tcPr>
          <w:p w14:paraId="7FBBE350">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892" w:type="dxa"/>
            <w:tcBorders>
              <w:top w:val="single" w:color="auto" w:sz="4" w:space="0"/>
              <w:bottom w:val="single" w:color="auto" w:sz="4" w:space="0"/>
              <w:tl2br w:val="nil"/>
              <w:tr2bl w:val="nil"/>
            </w:tcBorders>
            <w:noWrap/>
            <w:vAlign w:val="center"/>
          </w:tcPr>
          <w:p w14:paraId="58FC8B0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50</w:t>
            </w:r>
          </w:p>
        </w:tc>
        <w:tc>
          <w:tcPr>
            <w:tcW w:w="879" w:type="dxa"/>
            <w:tcBorders>
              <w:tl2br w:val="nil"/>
              <w:tr2bl w:val="nil"/>
            </w:tcBorders>
            <w:noWrap w:val="0"/>
            <w:vAlign w:val="center"/>
          </w:tcPr>
          <w:p w14:paraId="417141B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27.37</w:t>
            </w:r>
          </w:p>
        </w:tc>
        <w:tc>
          <w:tcPr>
            <w:tcW w:w="617" w:type="dxa"/>
            <w:vMerge w:val="continue"/>
            <w:tcBorders>
              <w:tl2br w:val="nil"/>
              <w:tr2bl w:val="nil"/>
            </w:tcBorders>
            <w:noWrap w:val="0"/>
            <w:vAlign w:val="center"/>
          </w:tcPr>
          <w:p w14:paraId="001A8C68">
            <w:pPr>
              <w:jc w:val="center"/>
              <w:rPr>
                <w:rFonts w:hint="default" w:ascii="Times New Roman" w:hAnsi="Times New Roman" w:eastAsia="宋体" w:cs="Times New Roman"/>
                <w:b w:val="0"/>
                <w:bCs w:val="0"/>
                <w:i w:val="0"/>
                <w:iCs w:val="0"/>
                <w:color w:val="auto"/>
                <w:sz w:val="18"/>
                <w:szCs w:val="18"/>
                <w:highlight w:val="none"/>
                <w:u w:val="none"/>
              </w:rPr>
            </w:pPr>
          </w:p>
        </w:tc>
      </w:tr>
      <w:tr w14:paraId="47168C9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45" w:hRule="atLeast"/>
          <w:jc w:val="center"/>
        </w:trPr>
        <w:tc>
          <w:tcPr>
            <w:tcW w:w="897" w:type="dxa"/>
            <w:tcBorders>
              <w:tl2br w:val="nil"/>
              <w:tr2bl w:val="nil"/>
            </w:tcBorders>
            <w:noWrap w:val="0"/>
            <w:vAlign w:val="center"/>
          </w:tcPr>
          <w:p w14:paraId="13A6B6E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BOD</w:t>
            </w:r>
            <w:r>
              <w:rPr>
                <w:rStyle w:val="105"/>
                <w:rFonts w:hint="default" w:ascii="Times New Roman" w:hAnsi="Times New Roman" w:eastAsia="宋体" w:cs="Times New Roman"/>
                <w:b w:val="0"/>
                <w:bCs w:val="0"/>
                <w:color w:val="auto"/>
                <w:highlight w:val="none"/>
                <w:lang w:val="en-US" w:eastAsia="zh-CN" w:bidi="ar"/>
              </w:rPr>
              <w:t>5</w:t>
            </w:r>
          </w:p>
        </w:tc>
        <w:tc>
          <w:tcPr>
            <w:tcW w:w="419" w:type="dxa"/>
            <w:vMerge w:val="continue"/>
            <w:tcBorders>
              <w:tl2br w:val="nil"/>
              <w:tr2bl w:val="nil"/>
            </w:tcBorders>
            <w:noWrap w:val="0"/>
            <w:vAlign w:val="center"/>
          </w:tcPr>
          <w:p w14:paraId="0694ACB2">
            <w:pPr>
              <w:jc w:val="center"/>
              <w:rPr>
                <w:rFonts w:hint="default" w:ascii="Times New Roman" w:hAnsi="Times New Roman" w:eastAsia="宋体" w:cs="Times New Roman"/>
                <w:b w:val="0"/>
                <w:bCs w:val="0"/>
                <w:i w:val="0"/>
                <w:iCs w:val="0"/>
                <w:color w:val="auto"/>
                <w:sz w:val="18"/>
                <w:szCs w:val="18"/>
                <w:highlight w:val="none"/>
                <w:u w:val="none"/>
              </w:rPr>
            </w:pPr>
          </w:p>
        </w:tc>
        <w:tc>
          <w:tcPr>
            <w:tcW w:w="743" w:type="dxa"/>
            <w:vMerge w:val="continue"/>
            <w:tcBorders>
              <w:tl2br w:val="nil"/>
              <w:tr2bl w:val="nil"/>
            </w:tcBorders>
            <w:noWrap w:val="0"/>
            <w:vAlign w:val="center"/>
          </w:tcPr>
          <w:p w14:paraId="53235F1E">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797" w:type="dxa"/>
            <w:tcBorders>
              <w:tl2br w:val="nil"/>
              <w:tr2bl w:val="nil"/>
            </w:tcBorders>
            <w:noWrap/>
            <w:vAlign w:val="center"/>
          </w:tcPr>
          <w:p w14:paraId="18A9390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250</w:t>
            </w:r>
          </w:p>
        </w:tc>
        <w:tc>
          <w:tcPr>
            <w:tcW w:w="826" w:type="dxa"/>
            <w:tcBorders>
              <w:tl2br w:val="nil"/>
              <w:tr2bl w:val="nil"/>
            </w:tcBorders>
            <w:noWrap w:val="0"/>
            <w:vAlign w:val="center"/>
          </w:tcPr>
          <w:p w14:paraId="6E8197A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136.87</w:t>
            </w:r>
          </w:p>
        </w:tc>
        <w:tc>
          <w:tcPr>
            <w:tcW w:w="972" w:type="dxa"/>
            <w:vMerge w:val="continue"/>
            <w:tcBorders>
              <w:tl2br w:val="nil"/>
              <w:tr2bl w:val="nil"/>
            </w:tcBorders>
            <w:noWrap w:val="0"/>
            <w:vAlign w:val="center"/>
          </w:tcPr>
          <w:p w14:paraId="4206D3A1">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694" w:type="dxa"/>
            <w:tcBorders>
              <w:top w:val="single" w:color="auto" w:sz="4" w:space="0"/>
              <w:bottom w:val="single" w:color="auto" w:sz="4" w:space="0"/>
              <w:tl2br w:val="nil"/>
              <w:tr2bl w:val="nil"/>
            </w:tcBorders>
            <w:noWrap w:val="0"/>
            <w:vAlign w:val="center"/>
          </w:tcPr>
          <w:p w14:paraId="35866D23">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color w:val="auto"/>
                <w:kern w:val="2"/>
                <w:sz w:val="18"/>
                <w:szCs w:val="18"/>
                <w:highlight w:val="none"/>
                <w:lang w:val="en-US" w:eastAsia="zh-CN" w:bidi="ar-SA"/>
              </w:rPr>
              <w:t>96</w:t>
            </w:r>
          </w:p>
        </w:tc>
        <w:tc>
          <w:tcPr>
            <w:tcW w:w="765" w:type="dxa"/>
            <w:vMerge w:val="continue"/>
            <w:tcBorders>
              <w:tl2br w:val="nil"/>
              <w:tr2bl w:val="nil"/>
            </w:tcBorders>
            <w:noWrap w:val="0"/>
            <w:vAlign w:val="center"/>
          </w:tcPr>
          <w:p w14:paraId="154499FA">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892" w:type="dxa"/>
            <w:tcBorders>
              <w:top w:val="single" w:color="auto" w:sz="4" w:space="0"/>
              <w:bottom w:val="single" w:color="auto" w:sz="4" w:space="0"/>
              <w:tl2br w:val="nil"/>
              <w:tr2bl w:val="nil"/>
            </w:tcBorders>
            <w:noWrap/>
            <w:vAlign w:val="center"/>
          </w:tcPr>
          <w:p w14:paraId="20875B8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10</w:t>
            </w:r>
          </w:p>
        </w:tc>
        <w:tc>
          <w:tcPr>
            <w:tcW w:w="879" w:type="dxa"/>
            <w:tcBorders>
              <w:tl2br w:val="nil"/>
              <w:tr2bl w:val="nil"/>
            </w:tcBorders>
            <w:noWrap w:val="0"/>
            <w:vAlign w:val="center"/>
          </w:tcPr>
          <w:p w14:paraId="7FAE6A0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5.47</w:t>
            </w:r>
          </w:p>
        </w:tc>
        <w:tc>
          <w:tcPr>
            <w:tcW w:w="617" w:type="dxa"/>
            <w:vMerge w:val="continue"/>
            <w:tcBorders>
              <w:tl2br w:val="nil"/>
              <w:tr2bl w:val="nil"/>
            </w:tcBorders>
            <w:noWrap w:val="0"/>
            <w:vAlign w:val="center"/>
          </w:tcPr>
          <w:p w14:paraId="4123753D">
            <w:pPr>
              <w:jc w:val="center"/>
              <w:rPr>
                <w:rFonts w:hint="default" w:ascii="Times New Roman" w:hAnsi="Times New Roman" w:eastAsia="宋体" w:cs="Times New Roman"/>
                <w:b w:val="0"/>
                <w:bCs w:val="0"/>
                <w:i w:val="0"/>
                <w:iCs w:val="0"/>
                <w:color w:val="auto"/>
                <w:sz w:val="18"/>
                <w:szCs w:val="18"/>
                <w:highlight w:val="none"/>
                <w:u w:val="none"/>
              </w:rPr>
            </w:pPr>
          </w:p>
        </w:tc>
      </w:tr>
      <w:tr w14:paraId="0D4A19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20" w:hRule="atLeast"/>
          <w:jc w:val="center"/>
        </w:trPr>
        <w:tc>
          <w:tcPr>
            <w:tcW w:w="897" w:type="dxa"/>
            <w:tcBorders>
              <w:tl2br w:val="nil"/>
              <w:tr2bl w:val="nil"/>
            </w:tcBorders>
            <w:noWrap w:val="0"/>
            <w:vAlign w:val="center"/>
          </w:tcPr>
          <w:p w14:paraId="45BF998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SS</w:t>
            </w:r>
          </w:p>
        </w:tc>
        <w:tc>
          <w:tcPr>
            <w:tcW w:w="419" w:type="dxa"/>
            <w:vMerge w:val="continue"/>
            <w:tcBorders>
              <w:tl2br w:val="nil"/>
              <w:tr2bl w:val="nil"/>
            </w:tcBorders>
            <w:noWrap w:val="0"/>
            <w:vAlign w:val="center"/>
          </w:tcPr>
          <w:p w14:paraId="2A2E5A48">
            <w:pPr>
              <w:jc w:val="center"/>
              <w:rPr>
                <w:rFonts w:hint="default" w:ascii="Times New Roman" w:hAnsi="Times New Roman" w:eastAsia="宋体" w:cs="Times New Roman"/>
                <w:b w:val="0"/>
                <w:bCs w:val="0"/>
                <w:i w:val="0"/>
                <w:iCs w:val="0"/>
                <w:color w:val="auto"/>
                <w:sz w:val="18"/>
                <w:szCs w:val="18"/>
                <w:highlight w:val="none"/>
                <w:u w:val="none"/>
              </w:rPr>
            </w:pPr>
          </w:p>
        </w:tc>
        <w:tc>
          <w:tcPr>
            <w:tcW w:w="743" w:type="dxa"/>
            <w:vMerge w:val="continue"/>
            <w:tcBorders>
              <w:tl2br w:val="nil"/>
              <w:tr2bl w:val="nil"/>
            </w:tcBorders>
            <w:noWrap w:val="0"/>
            <w:vAlign w:val="center"/>
          </w:tcPr>
          <w:p w14:paraId="485EF622">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797" w:type="dxa"/>
            <w:tcBorders>
              <w:tl2br w:val="nil"/>
              <w:tr2bl w:val="nil"/>
            </w:tcBorders>
            <w:noWrap/>
            <w:vAlign w:val="center"/>
          </w:tcPr>
          <w:p w14:paraId="594806F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300</w:t>
            </w:r>
          </w:p>
        </w:tc>
        <w:tc>
          <w:tcPr>
            <w:tcW w:w="826" w:type="dxa"/>
            <w:tcBorders>
              <w:tl2br w:val="nil"/>
              <w:tr2bl w:val="nil"/>
            </w:tcBorders>
            <w:noWrap w:val="0"/>
            <w:vAlign w:val="center"/>
          </w:tcPr>
          <w:p w14:paraId="13F9794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164.25</w:t>
            </w:r>
          </w:p>
        </w:tc>
        <w:tc>
          <w:tcPr>
            <w:tcW w:w="972" w:type="dxa"/>
            <w:vMerge w:val="continue"/>
            <w:tcBorders>
              <w:tl2br w:val="nil"/>
              <w:tr2bl w:val="nil"/>
            </w:tcBorders>
            <w:noWrap w:val="0"/>
            <w:vAlign w:val="center"/>
          </w:tcPr>
          <w:p w14:paraId="31A9B8DE">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694" w:type="dxa"/>
            <w:tcBorders>
              <w:top w:val="single" w:color="auto" w:sz="4" w:space="0"/>
              <w:bottom w:val="single" w:color="auto" w:sz="4" w:space="0"/>
              <w:tl2br w:val="nil"/>
              <w:tr2bl w:val="nil"/>
            </w:tcBorders>
            <w:noWrap w:val="0"/>
            <w:vAlign w:val="center"/>
          </w:tcPr>
          <w:p w14:paraId="38DDB691">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color w:val="auto"/>
                <w:kern w:val="2"/>
                <w:sz w:val="18"/>
                <w:szCs w:val="18"/>
                <w:highlight w:val="none"/>
                <w:lang w:val="en-US" w:eastAsia="zh-CN" w:bidi="ar-SA"/>
              </w:rPr>
              <w:t>96.66</w:t>
            </w:r>
          </w:p>
        </w:tc>
        <w:tc>
          <w:tcPr>
            <w:tcW w:w="765" w:type="dxa"/>
            <w:vMerge w:val="continue"/>
            <w:tcBorders>
              <w:tl2br w:val="nil"/>
              <w:tr2bl w:val="nil"/>
            </w:tcBorders>
            <w:noWrap w:val="0"/>
            <w:vAlign w:val="center"/>
          </w:tcPr>
          <w:p w14:paraId="43558F33">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892" w:type="dxa"/>
            <w:tcBorders>
              <w:top w:val="single" w:color="auto" w:sz="4" w:space="0"/>
              <w:bottom w:val="single" w:color="auto" w:sz="4" w:space="0"/>
              <w:tl2br w:val="nil"/>
              <w:tr2bl w:val="nil"/>
            </w:tcBorders>
            <w:noWrap/>
            <w:vAlign w:val="center"/>
          </w:tcPr>
          <w:p w14:paraId="0DCB302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10</w:t>
            </w:r>
          </w:p>
        </w:tc>
        <w:tc>
          <w:tcPr>
            <w:tcW w:w="879" w:type="dxa"/>
            <w:tcBorders>
              <w:tl2br w:val="nil"/>
              <w:tr2bl w:val="nil"/>
            </w:tcBorders>
            <w:noWrap w:val="0"/>
            <w:vAlign w:val="center"/>
          </w:tcPr>
          <w:p w14:paraId="625C158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5.47</w:t>
            </w:r>
          </w:p>
        </w:tc>
        <w:tc>
          <w:tcPr>
            <w:tcW w:w="617" w:type="dxa"/>
            <w:vMerge w:val="continue"/>
            <w:tcBorders>
              <w:tl2br w:val="nil"/>
              <w:tr2bl w:val="nil"/>
            </w:tcBorders>
            <w:noWrap w:val="0"/>
            <w:vAlign w:val="center"/>
          </w:tcPr>
          <w:p w14:paraId="15E7EAC4">
            <w:pPr>
              <w:jc w:val="center"/>
              <w:rPr>
                <w:rFonts w:hint="default" w:ascii="Times New Roman" w:hAnsi="Times New Roman" w:eastAsia="宋体" w:cs="Times New Roman"/>
                <w:b w:val="0"/>
                <w:bCs w:val="0"/>
                <w:i w:val="0"/>
                <w:iCs w:val="0"/>
                <w:color w:val="auto"/>
                <w:sz w:val="18"/>
                <w:szCs w:val="18"/>
                <w:highlight w:val="none"/>
                <w:u w:val="none"/>
              </w:rPr>
            </w:pPr>
          </w:p>
        </w:tc>
      </w:tr>
      <w:tr w14:paraId="451855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20" w:hRule="atLeast"/>
          <w:jc w:val="center"/>
        </w:trPr>
        <w:tc>
          <w:tcPr>
            <w:tcW w:w="897" w:type="dxa"/>
            <w:tcBorders>
              <w:tl2br w:val="nil"/>
              <w:tr2bl w:val="nil"/>
            </w:tcBorders>
            <w:noWrap w:val="0"/>
            <w:vAlign w:val="center"/>
          </w:tcPr>
          <w:p w14:paraId="3790796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NH</w:t>
            </w:r>
            <w:r>
              <w:rPr>
                <w:rStyle w:val="105"/>
                <w:rFonts w:hint="default" w:ascii="Times New Roman" w:hAnsi="Times New Roman" w:eastAsia="宋体" w:cs="Times New Roman"/>
                <w:b w:val="0"/>
                <w:bCs w:val="0"/>
                <w:color w:val="auto"/>
                <w:highlight w:val="none"/>
                <w:lang w:val="en-US" w:eastAsia="zh-CN" w:bidi="ar"/>
              </w:rPr>
              <w:t>3</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-N</w:t>
            </w:r>
          </w:p>
        </w:tc>
        <w:tc>
          <w:tcPr>
            <w:tcW w:w="419" w:type="dxa"/>
            <w:vMerge w:val="continue"/>
            <w:tcBorders>
              <w:tl2br w:val="nil"/>
              <w:tr2bl w:val="nil"/>
            </w:tcBorders>
            <w:noWrap w:val="0"/>
            <w:vAlign w:val="center"/>
          </w:tcPr>
          <w:p w14:paraId="52F1FF19">
            <w:pPr>
              <w:jc w:val="center"/>
              <w:rPr>
                <w:rFonts w:hint="default" w:ascii="Times New Roman" w:hAnsi="Times New Roman" w:eastAsia="宋体" w:cs="Times New Roman"/>
                <w:b w:val="0"/>
                <w:bCs w:val="0"/>
                <w:i w:val="0"/>
                <w:iCs w:val="0"/>
                <w:color w:val="auto"/>
                <w:sz w:val="18"/>
                <w:szCs w:val="18"/>
                <w:highlight w:val="none"/>
                <w:u w:val="none"/>
              </w:rPr>
            </w:pPr>
          </w:p>
        </w:tc>
        <w:tc>
          <w:tcPr>
            <w:tcW w:w="743" w:type="dxa"/>
            <w:vMerge w:val="continue"/>
            <w:tcBorders>
              <w:tl2br w:val="nil"/>
              <w:tr2bl w:val="nil"/>
            </w:tcBorders>
            <w:noWrap w:val="0"/>
            <w:vAlign w:val="center"/>
          </w:tcPr>
          <w:p w14:paraId="63EEB811">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797" w:type="dxa"/>
            <w:tcBorders>
              <w:tl2br w:val="nil"/>
              <w:tr2bl w:val="nil"/>
            </w:tcBorders>
            <w:noWrap/>
            <w:vAlign w:val="center"/>
          </w:tcPr>
          <w:p w14:paraId="4036B72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50</w:t>
            </w:r>
          </w:p>
        </w:tc>
        <w:tc>
          <w:tcPr>
            <w:tcW w:w="826" w:type="dxa"/>
            <w:tcBorders>
              <w:tl2br w:val="nil"/>
              <w:tr2bl w:val="nil"/>
            </w:tcBorders>
            <w:noWrap w:val="0"/>
            <w:vAlign w:val="center"/>
          </w:tcPr>
          <w:p w14:paraId="43659A3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27.37</w:t>
            </w:r>
          </w:p>
        </w:tc>
        <w:tc>
          <w:tcPr>
            <w:tcW w:w="972" w:type="dxa"/>
            <w:vMerge w:val="continue"/>
            <w:tcBorders>
              <w:tl2br w:val="nil"/>
              <w:tr2bl w:val="nil"/>
            </w:tcBorders>
            <w:noWrap w:val="0"/>
            <w:vAlign w:val="center"/>
          </w:tcPr>
          <w:p w14:paraId="0502C11F">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694" w:type="dxa"/>
            <w:tcBorders>
              <w:top w:val="single" w:color="auto" w:sz="4" w:space="0"/>
              <w:bottom w:val="single" w:color="auto" w:sz="4" w:space="0"/>
              <w:tl2br w:val="nil"/>
              <w:tr2bl w:val="nil"/>
            </w:tcBorders>
            <w:noWrap w:val="0"/>
            <w:vAlign w:val="center"/>
          </w:tcPr>
          <w:p w14:paraId="312FBFCF">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color w:val="auto"/>
                <w:kern w:val="2"/>
                <w:sz w:val="18"/>
                <w:szCs w:val="18"/>
                <w:highlight w:val="none"/>
                <w:lang w:val="en-US" w:eastAsia="zh-CN" w:bidi="ar-SA"/>
              </w:rPr>
              <w:t>90</w:t>
            </w:r>
          </w:p>
        </w:tc>
        <w:tc>
          <w:tcPr>
            <w:tcW w:w="765" w:type="dxa"/>
            <w:vMerge w:val="continue"/>
            <w:tcBorders>
              <w:tl2br w:val="nil"/>
              <w:tr2bl w:val="nil"/>
            </w:tcBorders>
            <w:noWrap w:val="0"/>
            <w:vAlign w:val="center"/>
          </w:tcPr>
          <w:p w14:paraId="0DC089DB">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892" w:type="dxa"/>
            <w:tcBorders>
              <w:top w:val="single" w:color="auto" w:sz="4" w:space="0"/>
              <w:bottom w:val="single" w:color="auto" w:sz="4" w:space="0"/>
              <w:tl2br w:val="nil"/>
              <w:tr2bl w:val="nil"/>
            </w:tcBorders>
            <w:noWrap/>
            <w:vAlign w:val="center"/>
          </w:tcPr>
          <w:p w14:paraId="19370C1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5</w:t>
            </w:r>
          </w:p>
        </w:tc>
        <w:tc>
          <w:tcPr>
            <w:tcW w:w="879" w:type="dxa"/>
            <w:tcBorders>
              <w:tl2br w:val="nil"/>
              <w:tr2bl w:val="nil"/>
            </w:tcBorders>
            <w:noWrap w:val="0"/>
            <w:vAlign w:val="center"/>
          </w:tcPr>
          <w:p w14:paraId="633A0E2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2.73</w:t>
            </w:r>
          </w:p>
        </w:tc>
        <w:tc>
          <w:tcPr>
            <w:tcW w:w="617" w:type="dxa"/>
            <w:vMerge w:val="continue"/>
            <w:tcBorders>
              <w:tl2br w:val="nil"/>
              <w:tr2bl w:val="nil"/>
            </w:tcBorders>
            <w:noWrap w:val="0"/>
            <w:vAlign w:val="center"/>
          </w:tcPr>
          <w:p w14:paraId="50EE8C72">
            <w:pPr>
              <w:jc w:val="center"/>
              <w:rPr>
                <w:rFonts w:hint="default" w:ascii="Times New Roman" w:hAnsi="Times New Roman" w:eastAsia="宋体" w:cs="Times New Roman"/>
                <w:b w:val="0"/>
                <w:bCs w:val="0"/>
                <w:i w:val="0"/>
                <w:iCs w:val="0"/>
                <w:color w:val="auto"/>
                <w:sz w:val="18"/>
                <w:szCs w:val="18"/>
                <w:highlight w:val="none"/>
                <w:u w:val="none"/>
              </w:rPr>
            </w:pPr>
          </w:p>
        </w:tc>
      </w:tr>
      <w:tr w14:paraId="0174C32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20" w:hRule="atLeast"/>
          <w:jc w:val="center"/>
        </w:trPr>
        <w:tc>
          <w:tcPr>
            <w:tcW w:w="897" w:type="dxa"/>
            <w:tcBorders>
              <w:tl2br w:val="nil"/>
              <w:tr2bl w:val="nil"/>
            </w:tcBorders>
            <w:noWrap w:val="0"/>
            <w:vAlign w:val="center"/>
          </w:tcPr>
          <w:p w14:paraId="04D61D4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T-</w:t>
            </w:r>
            <w:r>
              <w:rPr>
                <w:rFonts w:hint="eastAsia" w:cs="Times New Roman"/>
                <w:b w:val="0"/>
                <w:bCs w:val="0"/>
                <w:i w:val="0"/>
                <w:iCs w:val="0"/>
                <w:color w:val="auto"/>
                <w:kern w:val="0"/>
                <w:sz w:val="18"/>
                <w:szCs w:val="18"/>
                <w:highlight w:val="none"/>
                <w:u w:val="none"/>
                <w:lang w:val="en-US" w:eastAsia="zh-CN" w:bidi="ar"/>
              </w:rPr>
              <w:t>P</w:t>
            </w:r>
          </w:p>
        </w:tc>
        <w:tc>
          <w:tcPr>
            <w:tcW w:w="419" w:type="dxa"/>
            <w:vMerge w:val="continue"/>
            <w:tcBorders>
              <w:tl2br w:val="nil"/>
              <w:tr2bl w:val="nil"/>
            </w:tcBorders>
            <w:noWrap w:val="0"/>
            <w:vAlign w:val="center"/>
          </w:tcPr>
          <w:p w14:paraId="4632B2EC">
            <w:pPr>
              <w:jc w:val="center"/>
              <w:rPr>
                <w:rFonts w:hint="default" w:ascii="Times New Roman" w:hAnsi="Times New Roman" w:eastAsia="宋体" w:cs="Times New Roman"/>
                <w:b w:val="0"/>
                <w:bCs w:val="0"/>
                <w:i w:val="0"/>
                <w:iCs w:val="0"/>
                <w:color w:val="auto"/>
                <w:sz w:val="18"/>
                <w:szCs w:val="18"/>
                <w:highlight w:val="none"/>
                <w:u w:val="none"/>
              </w:rPr>
            </w:pPr>
          </w:p>
        </w:tc>
        <w:tc>
          <w:tcPr>
            <w:tcW w:w="743" w:type="dxa"/>
            <w:vMerge w:val="continue"/>
            <w:tcBorders>
              <w:tl2br w:val="nil"/>
              <w:tr2bl w:val="nil"/>
            </w:tcBorders>
            <w:noWrap w:val="0"/>
            <w:vAlign w:val="center"/>
          </w:tcPr>
          <w:p w14:paraId="3A2B9C27">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797" w:type="dxa"/>
            <w:tcBorders>
              <w:tl2br w:val="nil"/>
              <w:tr2bl w:val="nil"/>
            </w:tcBorders>
            <w:noWrap/>
            <w:vAlign w:val="center"/>
          </w:tcPr>
          <w:p w14:paraId="7E41C86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6</w:t>
            </w:r>
          </w:p>
        </w:tc>
        <w:tc>
          <w:tcPr>
            <w:tcW w:w="826" w:type="dxa"/>
            <w:tcBorders>
              <w:tl2br w:val="nil"/>
              <w:tr2bl w:val="nil"/>
            </w:tcBorders>
            <w:noWrap w:val="0"/>
            <w:vAlign w:val="center"/>
          </w:tcPr>
          <w:p w14:paraId="72A749D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3.28</w:t>
            </w:r>
          </w:p>
        </w:tc>
        <w:tc>
          <w:tcPr>
            <w:tcW w:w="972" w:type="dxa"/>
            <w:vMerge w:val="continue"/>
            <w:tcBorders>
              <w:tl2br w:val="nil"/>
              <w:tr2bl w:val="nil"/>
            </w:tcBorders>
            <w:noWrap w:val="0"/>
            <w:vAlign w:val="center"/>
          </w:tcPr>
          <w:p w14:paraId="1E81D578">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694" w:type="dxa"/>
            <w:tcBorders>
              <w:top w:val="single" w:color="auto" w:sz="4" w:space="0"/>
              <w:bottom w:val="single" w:color="auto" w:sz="4" w:space="0"/>
              <w:tl2br w:val="nil"/>
              <w:tr2bl w:val="nil"/>
            </w:tcBorders>
            <w:noWrap w:val="0"/>
            <w:vAlign w:val="center"/>
          </w:tcPr>
          <w:p w14:paraId="47C1197B">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color w:val="auto"/>
                <w:kern w:val="2"/>
                <w:sz w:val="18"/>
                <w:szCs w:val="18"/>
                <w:highlight w:val="none"/>
                <w:lang w:val="en-US" w:eastAsia="zh-CN" w:bidi="ar-SA"/>
              </w:rPr>
              <w:t>91.66</w:t>
            </w:r>
          </w:p>
        </w:tc>
        <w:tc>
          <w:tcPr>
            <w:tcW w:w="765" w:type="dxa"/>
            <w:vMerge w:val="continue"/>
            <w:tcBorders>
              <w:tl2br w:val="nil"/>
              <w:tr2bl w:val="nil"/>
            </w:tcBorders>
            <w:noWrap w:val="0"/>
            <w:vAlign w:val="center"/>
          </w:tcPr>
          <w:p w14:paraId="7FC58441">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892" w:type="dxa"/>
            <w:tcBorders>
              <w:top w:val="single" w:color="auto" w:sz="4" w:space="0"/>
              <w:bottom w:val="single" w:color="auto" w:sz="4" w:space="0"/>
              <w:tl2br w:val="nil"/>
              <w:tr2bl w:val="nil"/>
            </w:tcBorders>
            <w:noWrap/>
            <w:vAlign w:val="center"/>
          </w:tcPr>
          <w:p w14:paraId="6C09E0B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0.5</w:t>
            </w:r>
          </w:p>
        </w:tc>
        <w:tc>
          <w:tcPr>
            <w:tcW w:w="879" w:type="dxa"/>
            <w:tcBorders>
              <w:tl2br w:val="nil"/>
              <w:tr2bl w:val="nil"/>
            </w:tcBorders>
            <w:noWrap w:val="0"/>
            <w:vAlign w:val="center"/>
          </w:tcPr>
          <w:p w14:paraId="39B08A1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0.27</w:t>
            </w:r>
          </w:p>
        </w:tc>
        <w:tc>
          <w:tcPr>
            <w:tcW w:w="617" w:type="dxa"/>
            <w:vMerge w:val="continue"/>
            <w:tcBorders>
              <w:tl2br w:val="nil"/>
              <w:tr2bl w:val="nil"/>
            </w:tcBorders>
            <w:noWrap w:val="0"/>
            <w:vAlign w:val="center"/>
          </w:tcPr>
          <w:p w14:paraId="3E5834B4">
            <w:pPr>
              <w:jc w:val="center"/>
              <w:rPr>
                <w:rFonts w:hint="default" w:ascii="Times New Roman" w:hAnsi="Times New Roman" w:eastAsia="宋体" w:cs="Times New Roman"/>
                <w:b w:val="0"/>
                <w:bCs w:val="0"/>
                <w:i w:val="0"/>
                <w:iCs w:val="0"/>
                <w:color w:val="auto"/>
                <w:sz w:val="18"/>
                <w:szCs w:val="18"/>
                <w:highlight w:val="none"/>
                <w:u w:val="none"/>
              </w:rPr>
            </w:pPr>
          </w:p>
        </w:tc>
      </w:tr>
      <w:tr w14:paraId="72F0587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49" w:hRule="atLeast"/>
          <w:jc w:val="center"/>
        </w:trPr>
        <w:tc>
          <w:tcPr>
            <w:tcW w:w="897" w:type="dxa"/>
            <w:tcBorders>
              <w:tl2br w:val="nil"/>
              <w:tr2bl w:val="nil"/>
            </w:tcBorders>
            <w:noWrap w:val="0"/>
            <w:vAlign w:val="center"/>
          </w:tcPr>
          <w:p w14:paraId="700B2A8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T-</w:t>
            </w:r>
            <w:r>
              <w:rPr>
                <w:rFonts w:hint="eastAsia" w:cs="Times New Roman"/>
                <w:b w:val="0"/>
                <w:bCs w:val="0"/>
                <w:i w:val="0"/>
                <w:iCs w:val="0"/>
                <w:color w:val="auto"/>
                <w:kern w:val="0"/>
                <w:sz w:val="18"/>
                <w:szCs w:val="18"/>
                <w:highlight w:val="none"/>
                <w:u w:val="none"/>
                <w:lang w:val="en-US" w:eastAsia="zh-CN" w:bidi="ar"/>
              </w:rPr>
              <w:t>N</w:t>
            </w:r>
          </w:p>
        </w:tc>
        <w:tc>
          <w:tcPr>
            <w:tcW w:w="419" w:type="dxa"/>
            <w:vMerge w:val="continue"/>
            <w:tcBorders>
              <w:tl2br w:val="nil"/>
              <w:tr2bl w:val="nil"/>
            </w:tcBorders>
            <w:noWrap w:val="0"/>
            <w:vAlign w:val="center"/>
          </w:tcPr>
          <w:p w14:paraId="5DDFD651">
            <w:pPr>
              <w:jc w:val="center"/>
              <w:rPr>
                <w:rFonts w:hint="default" w:ascii="Times New Roman" w:hAnsi="Times New Roman" w:eastAsia="宋体" w:cs="Times New Roman"/>
                <w:b w:val="0"/>
                <w:bCs w:val="0"/>
                <w:i w:val="0"/>
                <w:iCs w:val="0"/>
                <w:color w:val="auto"/>
                <w:sz w:val="18"/>
                <w:szCs w:val="18"/>
                <w:highlight w:val="none"/>
                <w:u w:val="none"/>
              </w:rPr>
            </w:pPr>
          </w:p>
        </w:tc>
        <w:tc>
          <w:tcPr>
            <w:tcW w:w="743" w:type="dxa"/>
            <w:vMerge w:val="continue"/>
            <w:tcBorders>
              <w:tl2br w:val="nil"/>
              <w:tr2bl w:val="nil"/>
            </w:tcBorders>
            <w:noWrap w:val="0"/>
            <w:vAlign w:val="center"/>
          </w:tcPr>
          <w:p w14:paraId="4D1A5191">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797" w:type="dxa"/>
            <w:tcBorders>
              <w:tl2br w:val="nil"/>
              <w:tr2bl w:val="nil"/>
            </w:tcBorders>
            <w:noWrap/>
            <w:vAlign w:val="center"/>
          </w:tcPr>
          <w:p w14:paraId="4977745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60</w:t>
            </w:r>
          </w:p>
        </w:tc>
        <w:tc>
          <w:tcPr>
            <w:tcW w:w="826" w:type="dxa"/>
            <w:tcBorders>
              <w:tl2br w:val="nil"/>
              <w:tr2bl w:val="nil"/>
            </w:tcBorders>
            <w:noWrap w:val="0"/>
            <w:vAlign w:val="center"/>
          </w:tcPr>
          <w:p w14:paraId="73E222D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32.85</w:t>
            </w:r>
          </w:p>
        </w:tc>
        <w:tc>
          <w:tcPr>
            <w:tcW w:w="972" w:type="dxa"/>
            <w:vMerge w:val="continue"/>
            <w:tcBorders>
              <w:tl2br w:val="nil"/>
              <w:tr2bl w:val="nil"/>
            </w:tcBorders>
            <w:noWrap w:val="0"/>
            <w:vAlign w:val="center"/>
          </w:tcPr>
          <w:p w14:paraId="689ECA8E">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694" w:type="dxa"/>
            <w:tcBorders>
              <w:top w:val="single" w:color="auto" w:sz="4" w:space="0"/>
              <w:tl2br w:val="nil"/>
              <w:tr2bl w:val="nil"/>
            </w:tcBorders>
            <w:noWrap w:val="0"/>
            <w:vAlign w:val="center"/>
          </w:tcPr>
          <w:p w14:paraId="02206335">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75</w:t>
            </w:r>
          </w:p>
        </w:tc>
        <w:tc>
          <w:tcPr>
            <w:tcW w:w="765" w:type="dxa"/>
            <w:vMerge w:val="continue"/>
            <w:tcBorders>
              <w:tl2br w:val="nil"/>
              <w:tr2bl w:val="nil"/>
            </w:tcBorders>
            <w:noWrap w:val="0"/>
            <w:vAlign w:val="center"/>
          </w:tcPr>
          <w:p w14:paraId="7152C905">
            <w:pPr>
              <w:jc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p>
        </w:tc>
        <w:tc>
          <w:tcPr>
            <w:tcW w:w="892" w:type="dxa"/>
            <w:tcBorders>
              <w:top w:val="single" w:color="auto" w:sz="4" w:space="0"/>
              <w:tl2br w:val="nil"/>
              <w:tr2bl w:val="nil"/>
            </w:tcBorders>
            <w:noWrap/>
            <w:vAlign w:val="center"/>
          </w:tcPr>
          <w:p w14:paraId="23714FB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eastAsia" w:cs="Times New Roman"/>
                <w:b w:val="0"/>
                <w:bCs w:val="0"/>
                <w:i w:val="0"/>
                <w:iCs w:val="0"/>
                <w:color w:val="auto"/>
                <w:kern w:val="0"/>
                <w:sz w:val="18"/>
                <w:szCs w:val="18"/>
                <w:highlight w:val="none"/>
                <w:u w:val="none"/>
                <w:lang w:val="en-US" w:eastAsia="zh-CN" w:bidi="ar"/>
              </w:rPr>
              <w:t>15</w:t>
            </w:r>
          </w:p>
        </w:tc>
        <w:tc>
          <w:tcPr>
            <w:tcW w:w="879" w:type="dxa"/>
            <w:tcBorders>
              <w:tl2br w:val="nil"/>
              <w:tr2bl w:val="nil"/>
            </w:tcBorders>
            <w:noWrap w:val="0"/>
            <w:vAlign w:val="center"/>
          </w:tcPr>
          <w:p w14:paraId="1D9D14E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highlight w:val="none"/>
                <w:u w:val="none"/>
                <w:lang w:val="en-US" w:eastAsia="zh-CN" w:bidi="ar"/>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8.21</w:t>
            </w:r>
          </w:p>
        </w:tc>
        <w:tc>
          <w:tcPr>
            <w:tcW w:w="617" w:type="dxa"/>
            <w:vMerge w:val="continue"/>
            <w:tcBorders>
              <w:tl2br w:val="nil"/>
              <w:tr2bl w:val="nil"/>
            </w:tcBorders>
            <w:noWrap w:val="0"/>
            <w:vAlign w:val="center"/>
          </w:tcPr>
          <w:p w14:paraId="5709B4EE">
            <w:pPr>
              <w:jc w:val="center"/>
              <w:rPr>
                <w:rFonts w:hint="default" w:ascii="Times New Roman" w:hAnsi="Times New Roman" w:eastAsia="宋体" w:cs="Times New Roman"/>
                <w:b w:val="0"/>
                <w:bCs w:val="0"/>
                <w:i w:val="0"/>
                <w:iCs w:val="0"/>
                <w:color w:val="auto"/>
                <w:sz w:val="18"/>
                <w:szCs w:val="18"/>
                <w:highlight w:val="none"/>
                <w:u w:val="none"/>
              </w:rPr>
            </w:pPr>
          </w:p>
        </w:tc>
      </w:tr>
    </w:tbl>
    <w:p w14:paraId="16D21205">
      <w:pPr>
        <w:adjustRightInd w:val="0"/>
        <w:snapToGrid w:val="0"/>
        <w:spacing w:line="360" w:lineRule="auto"/>
        <w:ind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sz w:val="24"/>
          <w:highlight w:val="none"/>
          <w:lang w:val="en-US" w:eastAsia="zh-CN"/>
        </w:rPr>
        <w:t>废水排放口情况见表2.</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w:t>
      </w:r>
    </w:p>
    <w:p w14:paraId="1CE1B34B">
      <w:pPr>
        <w:adjustRightInd w:val="0"/>
        <w:snapToGrid w:val="0"/>
        <w:jc w:val="center"/>
        <w:rPr>
          <w:rFonts w:hint="default" w:ascii="Times New Roman" w:hAnsi="Times New Roman" w:eastAsia="宋体" w:cs="Times New Roman"/>
          <w:b/>
          <w:color w:val="auto"/>
          <w:szCs w:val="21"/>
          <w:highlight w:val="none"/>
          <w:lang w:val="en-US" w:eastAsia="zh-CN"/>
        </w:rPr>
      </w:pPr>
      <w:r>
        <w:rPr>
          <w:rFonts w:hint="default" w:ascii="Times New Roman" w:hAnsi="Times New Roman" w:eastAsia="宋体" w:cs="Times New Roman"/>
          <w:b/>
          <w:color w:val="auto"/>
          <w:szCs w:val="21"/>
          <w:highlight w:val="none"/>
          <w:lang w:val="en-US" w:eastAsia="zh-CN"/>
        </w:rPr>
        <w:t>表2.</w:t>
      </w:r>
      <w:r>
        <w:rPr>
          <w:rFonts w:hint="eastAsia" w:cs="Times New Roman"/>
          <w:b/>
          <w:color w:val="auto"/>
          <w:szCs w:val="21"/>
          <w:highlight w:val="none"/>
          <w:lang w:val="en-US" w:eastAsia="zh-CN"/>
        </w:rPr>
        <w:t>4</w:t>
      </w:r>
      <w:r>
        <w:rPr>
          <w:rFonts w:hint="default" w:ascii="Times New Roman" w:hAnsi="Times New Roman" w:eastAsia="宋体" w:cs="Times New Roman"/>
          <w:b/>
          <w:color w:val="auto"/>
          <w:szCs w:val="21"/>
          <w:highlight w:val="none"/>
          <w:lang w:val="en-US" w:eastAsia="zh-CN"/>
        </w:rPr>
        <w:t>-</w:t>
      </w:r>
      <w:r>
        <w:rPr>
          <w:rFonts w:hint="eastAsia" w:cs="Times New Roman"/>
          <w:b/>
          <w:color w:val="auto"/>
          <w:szCs w:val="21"/>
          <w:highlight w:val="none"/>
          <w:lang w:val="en-US" w:eastAsia="zh-CN"/>
        </w:rPr>
        <w:t>2</w:t>
      </w:r>
      <w:r>
        <w:rPr>
          <w:rFonts w:hint="default" w:ascii="Times New Roman" w:hAnsi="Times New Roman" w:eastAsia="宋体" w:cs="Times New Roman"/>
          <w:b/>
          <w:color w:val="auto"/>
          <w:szCs w:val="21"/>
          <w:highlight w:val="none"/>
          <w:lang w:val="en-US" w:eastAsia="zh-CN"/>
        </w:rPr>
        <w:t xml:space="preserve">  废水排放口情况一览表</w:t>
      </w:r>
    </w:p>
    <w:tbl>
      <w:tblPr>
        <w:tblStyle w:val="32"/>
        <w:tblW w:w="831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6971"/>
      </w:tblGrid>
      <w:tr w14:paraId="784FA6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348" w:type="dxa"/>
            <w:tcBorders>
              <w:tl2br w:val="nil"/>
              <w:tr2bl w:val="nil"/>
            </w:tcBorders>
            <w:noWrap w:val="0"/>
            <w:vAlign w:val="center"/>
          </w:tcPr>
          <w:p w14:paraId="6675516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排放口名称</w:t>
            </w:r>
          </w:p>
        </w:tc>
        <w:tc>
          <w:tcPr>
            <w:tcW w:w="6971" w:type="dxa"/>
            <w:tcBorders>
              <w:tl2br w:val="nil"/>
              <w:tr2bl w:val="nil"/>
            </w:tcBorders>
            <w:noWrap w:val="0"/>
            <w:vAlign w:val="center"/>
          </w:tcPr>
          <w:p w14:paraId="1561D5C3">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谢村镇四〇五污水处理厂入河排污口</w:t>
            </w:r>
          </w:p>
        </w:tc>
      </w:tr>
      <w:tr w14:paraId="1EC41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348" w:type="dxa"/>
            <w:tcBorders>
              <w:tl2br w:val="nil"/>
              <w:tr2bl w:val="nil"/>
            </w:tcBorders>
            <w:noWrap w:val="0"/>
            <w:vAlign w:val="center"/>
          </w:tcPr>
          <w:p w14:paraId="54847644">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排放口类型</w:t>
            </w:r>
          </w:p>
        </w:tc>
        <w:tc>
          <w:tcPr>
            <w:tcW w:w="6971" w:type="dxa"/>
            <w:tcBorders>
              <w:tl2br w:val="nil"/>
              <w:tr2bl w:val="nil"/>
            </w:tcBorders>
            <w:noWrap w:val="0"/>
            <w:vAlign w:val="center"/>
          </w:tcPr>
          <w:p w14:paraId="6805CD5A">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入河排污口</w:t>
            </w:r>
          </w:p>
        </w:tc>
      </w:tr>
      <w:tr w14:paraId="0AE06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48" w:type="dxa"/>
            <w:tcBorders>
              <w:tl2br w:val="nil"/>
              <w:tr2bl w:val="nil"/>
            </w:tcBorders>
            <w:noWrap w:val="0"/>
            <w:vAlign w:val="center"/>
          </w:tcPr>
          <w:p w14:paraId="1FC0D4B5">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性质</w:t>
            </w:r>
          </w:p>
        </w:tc>
        <w:tc>
          <w:tcPr>
            <w:tcW w:w="6971" w:type="dxa"/>
            <w:tcBorders>
              <w:tl2br w:val="nil"/>
              <w:tr2bl w:val="nil"/>
            </w:tcBorders>
            <w:noWrap w:val="0"/>
            <w:vAlign w:val="center"/>
          </w:tcPr>
          <w:p w14:paraId="595AF607">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生活污水</w:t>
            </w:r>
          </w:p>
        </w:tc>
      </w:tr>
      <w:tr w14:paraId="71B62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348" w:type="dxa"/>
            <w:tcBorders>
              <w:tl2br w:val="nil"/>
              <w:tr2bl w:val="nil"/>
            </w:tcBorders>
            <w:noWrap w:val="0"/>
            <w:vAlign w:val="center"/>
          </w:tcPr>
          <w:p w14:paraId="7DA8D543">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排放口位置</w:t>
            </w:r>
          </w:p>
        </w:tc>
        <w:tc>
          <w:tcPr>
            <w:tcW w:w="6971" w:type="dxa"/>
            <w:tcBorders>
              <w:tl2br w:val="nil"/>
              <w:tr2bl w:val="nil"/>
            </w:tcBorders>
            <w:noWrap w:val="0"/>
            <w:vAlign w:val="center"/>
          </w:tcPr>
          <w:p w14:paraId="3F5CF6E5">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污水处理</w:t>
            </w:r>
            <w:r>
              <w:rPr>
                <w:rFonts w:hint="eastAsia" w:cs="Times New Roman"/>
                <w:color w:val="auto"/>
                <w:sz w:val="21"/>
                <w:szCs w:val="21"/>
                <w:highlight w:val="none"/>
                <w:vertAlign w:val="baseline"/>
                <w:lang w:val="en-US" w:eastAsia="zh-CN"/>
              </w:rPr>
              <w:t>厂东南</w:t>
            </w:r>
            <w:r>
              <w:rPr>
                <w:rFonts w:hint="default" w:ascii="Times New Roman" w:hAnsi="Times New Roman" w:cs="Times New Roman"/>
                <w:color w:val="auto"/>
                <w:sz w:val="21"/>
                <w:szCs w:val="21"/>
                <w:highlight w:val="none"/>
                <w:vertAlign w:val="baseline"/>
                <w:lang w:val="en-US" w:eastAsia="zh-CN"/>
              </w:rPr>
              <w:t>侧，</w:t>
            </w:r>
            <w:r>
              <w:rPr>
                <w:rFonts w:hint="default" w:ascii="Times New Roman" w:hAnsi="Times New Roman" w:eastAsia="宋体" w:cs="Times New Roman"/>
                <w:color w:val="auto"/>
                <w:sz w:val="21"/>
                <w:szCs w:val="21"/>
                <w:highlight w:val="none"/>
                <w:vertAlign w:val="baseline"/>
                <w:lang w:val="en-US" w:eastAsia="zh-CN"/>
              </w:rPr>
              <w:t>地理坐标为东经107.449434°，北纬33.221306°</w:t>
            </w:r>
          </w:p>
        </w:tc>
      </w:tr>
      <w:tr w14:paraId="7EB87E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48" w:type="dxa"/>
            <w:tcBorders>
              <w:tl2br w:val="nil"/>
              <w:tr2bl w:val="nil"/>
            </w:tcBorders>
            <w:noWrap w:val="0"/>
            <w:vAlign w:val="center"/>
          </w:tcPr>
          <w:p w14:paraId="499F29B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排放方式</w:t>
            </w:r>
          </w:p>
        </w:tc>
        <w:tc>
          <w:tcPr>
            <w:tcW w:w="6971" w:type="dxa"/>
            <w:tcBorders>
              <w:tl2br w:val="nil"/>
              <w:tr2bl w:val="nil"/>
            </w:tcBorders>
            <w:noWrap w:val="0"/>
            <w:vAlign w:val="center"/>
          </w:tcPr>
          <w:p w14:paraId="293C3DDE">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连续排放</w:t>
            </w:r>
          </w:p>
        </w:tc>
      </w:tr>
      <w:tr w14:paraId="1B291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48" w:type="dxa"/>
            <w:tcBorders>
              <w:tl2br w:val="nil"/>
              <w:tr2bl w:val="nil"/>
            </w:tcBorders>
            <w:noWrap w:val="0"/>
            <w:vAlign w:val="center"/>
          </w:tcPr>
          <w:p w14:paraId="3010AD2E">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排放去向</w:t>
            </w:r>
          </w:p>
        </w:tc>
        <w:tc>
          <w:tcPr>
            <w:tcW w:w="6971" w:type="dxa"/>
            <w:tcBorders>
              <w:tl2br w:val="nil"/>
              <w:tr2bl w:val="nil"/>
            </w:tcBorders>
            <w:noWrap w:val="0"/>
            <w:vAlign w:val="center"/>
          </w:tcPr>
          <w:p w14:paraId="05B76D8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污水处理站的尾水经管道（DN</w:t>
            </w:r>
            <w:r>
              <w:rPr>
                <w:rFonts w:hint="eastAsia" w:cs="Times New Roman"/>
                <w:color w:val="auto"/>
                <w:sz w:val="21"/>
                <w:szCs w:val="21"/>
                <w:highlight w:val="none"/>
                <w:vertAlign w:val="baseline"/>
                <w:lang w:val="en-US" w:eastAsia="zh-CN"/>
              </w:rPr>
              <w:t>400</w:t>
            </w:r>
            <w:r>
              <w:rPr>
                <w:rFonts w:hint="default" w:ascii="Times New Roman" w:hAnsi="Times New Roman" w:cs="Times New Roman"/>
                <w:color w:val="auto"/>
                <w:sz w:val="21"/>
                <w:szCs w:val="21"/>
                <w:highlight w:val="none"/>
                <w:vertAlign w:val="baseline"/>
                <w:lang w:val="en-US" w:eastAsia="zh-CN"/>
              </w:rPr>
              <w:t>）排入</w:t>
            </w:r>
            <w:r>
              <w:rPr>
                <w:rFonts w:hint="eastAsia" w:cs="Times New Roman"/>
                <w:color w:val="auto"/>
                <w:sz w:val="21"/>
                <w:szCs w:val="21"/>
                <w:highlight w:val="none"/>
                <w:vertAlign w:val="baseline"/>
                <w:lang w:val="en-US" w:eastAsia="zh-CN"/>
              </w:rPr>
              <w:t>溢水</w:t>
            </w:r>
            <w:r>
              <w:rPr>
                <w:rFonts w:hint="default" w:ascii="Times New Roman" w:hAnsi="Times New Roman" w:cs="Times New Roman"/>
                <w:color w:val="auto"/>
                <w:sz w:val="21"/>
                <w:szCs w:val="21"/>
                <w:highlight w:val="none"/>
                <w:vertAlign w:val="baseline"/>
                <w:lang w:val="en-US" w:eastAsia="zh-CN"/>
              </w:rPr>
              <w:t>河</w:t>
            </w:r>
          </w:p>
        </w:tc>
      </w:tr>
      <w:tr w14:paraId="28C11D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48" w:type="dxa"/>
            <w:tcBorders>
              <w:tl2br w:val="nil"/>
              <w:tr2bl w:val="nil"/>
            </w:tcBorders>
            <w:noWrap w:val="0"/>
            <w:vAlign w:val="center"/>
          </w:tcPr>
          <w:p w14:paraId="5B883D97">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排放规律</w:t>
            </w:r>
          </w:p>
        </w:tc>
        <w:tc>
          <w:tcPr>
            <w:tcW w:w="6971" w:type="dxa"/>
            <w:tcBorders>
              <w:tl2br w:val="nil"/>
              <w:tr2bl w:val="nil"/>
            </w:tcBorders>
            <w:noWrap w:val="0"/>
            <w:vAlign w:val="center"/>
          </w:tcPr>
          <w:p w14:paraId="63E17C2B">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连续排放</w:t>
            </w:r>
          </w:p>
        </w:tc>
      </w:tr>
      <w:tr w14:paraId="4710AB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348" w:type="dxa"/>
            <w:tcBorders>
              <w:tl2br w:val="nil"/>
              <w:tr2bl w:val="nil"/>
            </w:tcBorders>
            <w:noWrap w:val="0"/>
            <w:vAlign w:val="center"/>
          </w:tcPr>
          <w:p w14:paraId="152CED18">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排放标准</w:t>
            </w:r>
          </w:p>
        </w:tc>
        <w:tc>
          <w:tcPr>
            <w:tcW w:w="6971" w:type="dxa"/>
            <w:tcBorders>
              <w:tl2br w:val="nil"/>
              <w:tr2bl w:val="nil"/>
            </w:tcBorders>
            <w:noWrap w:val="0"/>
            <w:vAlign w:val="center"/>
          </w:tcPr>
          <w:p w14:paraId="6C0BB20A">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《城镇污水处理厂污染物排放标准》表1中一级A标准和2025年修改单表4中瞬时值标准</w:t>
            </w:r>
          </w:p>
        </w:tc>
      </w:tr>
    </w:tbl>
    <w:p w14:paraId="448786F9">
      <w:pPr>
        <w:rPr>
          <w:rFonts w:hint="default" w:ascii="Times New Roman" w:hAnsi="Times New Roman" w:cs="Times New Roman"/>
          <w:color w:val="auto"/>
          <w:highlight w:val="none"/>
          <w:lang w:val="en-US" w:eastAsia="zh-CN"/>
        </w:rPr>
      </w:pPr>
    </w:p>
    <w:p w14:paraId="165CB701">
      <w:pPr>
        <w:pStyle w:val="3"/>
        <w:numPr>
          <w:ilvl w:val="0"/>
          <w:numId w:val="0"/>
        </w:numPr>
        <w:tabs>
          <w:tab w:val="left" w:pos="210"/>
          <w:tab w:val="left" w:pos="420"/>
        </w:tabs>
        <w:bidi w:val="0"/>
        <w:ind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r>
        <w:rPr>
          <w:rFonts w:hint="default" w:ascii="Times New Roman" w:hAnsi="Times New Roman" w:cs="Times New Roman"/>
          <w:color w:val="auto"/>
          <w:highlight w:val="none"/>
          <w:lang w:val="en-US" w:eastAsia="zh-CN"/>
        </w:rPr>
        <w:t xml:space="preserve"> </w:t>
      </w:r>
      <w:bookmarkStart w:id="126" w:name="_Toc20011"/>
      <w:bookmarkStart w:id="127" w:name="_Toc13582"/>
      <w:r>
        <w:rPr>
          <w:rFonts w:hint="default" w:ascii="Times New Roman" w:hAnsi="Times New Roman" w:cs="Times New Roman"/>
          <w:color w:val="auto"/>
          <w:highlight w:val="none"/>
          <w:lang w:val="en-US" w:eastAsia="zh-CN"/>
        </w:rPr>
        <w:t>3 地表水环境现状调查与评价</w:t>
      </w:r>
      <w:bookmarkEnd w:id="126"/>
      <w:bookmarkEnd w:id="127"/>
    </w:p>
    <w:p w14:paraId="39E1F07C">
      <w:pPr>
        <w:pStyle w:val="4"/>
        <w:keepNext/>
        <w:keepLines/>
        <w:tabs>
          <w:tab w:val="left" w:pos="210"/>
        </w:tabs>
        <w:spacing w:before="200" w:beforeAutospacing="0" w:after="200" w:afterAutospacing="0" w:line="360" w:lineRule="auto"/>
        <w:jc w:val="both"/>
        <w:rPr>
          <w:rFonts w:hint="eastAsia" w:ascii="Times New Roman" w:hAnsi="Times New Roman" w:eastAsia="宋体" w:cs="Times New Roman"/>
          <w:color w:val="auto"/>
          <w:kern w:val="2"/>
          <w:sz w:val="24"/>
          <w:szCs w:val="32"/>
          <w:highlight w:val="none"/>
        </w:rPr>
      </w:pPr>
      <w:bookmarkStart w:id="128" w:name="_Toc166682524"/>
      <w:bookmarkStart w:id="129" w:name="_Toc21122"/>
      <w:r>
        <w:rPr>
          <w:rFonts w:hint="eastAsia" w:ascii="Times New Roman" w:hAnsi="Times New Roman" w:eastAsia="宋体" w:cs="Times New Roman"/>
          <w:color w:val="auto"/>
          <w:kern w:val="2"/>
          <w:sz w:val="24"/>
          <w:szCs w:val="32"/>
          <w:highlight w:val="none"/>
        </w:rPr>
        <w:t>3.1区域水污染调查</w:t>
      </w:r>
      <w:bookmarkEnd w:id="128"/>
      <w:bookmarkEnd w:id="129"/>
    </w:p>
    <w:p w14:paraId="085AA0B1">
      <w:pPr>
        <w:spacing w:line="360" w:lineRule="auto"/>
        <w:ind w:firstLine="480" w:firstLineChars="200"/>
        <w:rPr>
          <w:rFonts w:hint="eastAsia" w:cs="Times New Roman"/>
          <w:color w:val="auto"/>
          <w:sz w:val="24"/>
          <w:szCs w:val="32"/>
          <w:highlight w:val="none"/>
          <w:lang w:val="en-US" w:eastAsia="zh-CN"/>
        </w:rPr>
      </w:pPr>
      <w:r>
        <w:rPr>
          <w:rFonts w:hint="eastAsia" w:cs="Times New Roman"/>
          <w:color w:val="auto"/>
          <w:sz w:val="24"/>
          <w:szCs w:val="32"/>
          <w:highlight w:val="none"/>
          <w:lang w:val="en-US" w:eastAsia="zh-CN"/>
        </w:rPr>
        <w:t>（1）存在农业种植面源污染</w:t>
      </w:r>
    </w:p>
    <w:p w14:paraId="129A0F20">
      <w:pPr>
        <w:spacing w:line="360" w:lineRule="auto"/>
        <w:ind w:firstLine="480" w:firstLineChars="200"/>
        <w:rPr>
          <w:rFonts w:hint="eastAsia" w:cs="Times New Roman"/>
          <w:color w:val="auto"/>
          <w:sz w:val="24"/>
          <w:szCs w:val="32"/>
          <w:highlight w:val="none"/>
          <w:lang w:val="en-US" w:eastAsia="zh-CN"/>
        </w:rPr>
      </w:pPr>
      <w:r>
        <w:rPr>
          <w:rFonts w:hint="eastAsia" w:cs="Times New Roman"/>
          <w:color w:val="auto"/>
          <w:sz w:val="24"/>
          <w:szCs w:val="32"/>
          <w:highlight w:val="none"/>
          <w:lang w:val="en-US" w:eastAsia="zh-CN"/>
        </w:rPr>
        <w:t>经调查，溢水河沿线农业种植面积及用水量、耗水量各项指标均高于其他行业，农业灌溉退水量较大，在农作物种植过程中使用的农药化肥等一部分被植物吸收和消耗，另一部分则通过地表水径流或农田退水形式进行河流中，最终影响河道水质。</w:t>
      </w:r>
    </w:p>
    <w:p w14:paraId="3CB27EE5">
      <w:pPr>
        <w:spacing w:line="360" w:lineRule="auto"/>
        <w:ind w:firstLine="480" w:firstLineChars="200"/>
        <w:rPr>
          <w:rFonts w:hint="eastAsia" w:cs="Times New Roman"/>
          <w:color w:val="auto"/>
          <w:sz w:val="24"/>
          <w:szCs w:val="32"/>
          <w:highlight w:val="none"/>
          <w:lang w:val="en-US" w:eastAsia="zh-CN"/>
        </w:rPr>
      </w:pPr>
      <w:r>
        <w:rPr>
          <w:rFonts w:hint="eastAsia" w:cs="Times New Roman"/>
          <w:color w:val="auto"/>
          <w:sz w:val="24"/>
          <w:szCs w:val="32"/>
          <w:highlight w:val="none"/>
          <w:lang w:val="en-US" w:eastAsia="zh-CN"/>
        </w:rPr>
        <w:t>（2）农村地区生活污水未得到有效处理</w:t>
      </w:r>
    </w:p>
    <w:p w14:paraId="66407B8F">
      <w:pPr>
        <w:spacing w:line="360" w:lineRule="auto"/>
        <w:ind w:firstLine="480" w:firstLineChars="200"/>
        <w:rPr>
          <w:rFonts w:hint="eastAsia" w:cs="Times New Roman"/>
          <w:color w:val="auto"/>
          <w:sz w:val="24"/>
          <w:szCs w:val="32"/>
          <w:highlight w:val="none"/>
          <w:lang w:val="en-US" w:eastAsia="zh-CN"/>
        </w:rPr>
      </w:pPr>
      <w:r>
        <w:rPr>
          <w:rFonts w:hint="eastAsia" w:cs="Times New Roman"/>
          <w:color w:val="auto"/>
          <w:sz w:val="24"/>
          <w:szCs w:val="32"/>
          <w:highlight w:val="none"/>
          <w:lang w:val="en-US" w:eastAsia="zh-CN"/>
        </w:rPr>
        <w:t>经调查，该片区无污水处理设施，405社区内建设有雨污合流或分流管网，将污水接至各个污水排放口。下溢水村部分住户污水管道接至村中渠道，部分住户目前无污水管网污水散排，影响溢水河水质。</w:t>
      </w:r>
    </w:p>
    <w:p w14:paraId="2AE036F8">
      <w:pPr>
        <w:spacing w:line="360" w:lineRule="auto"/>
        <w:ind w:firstLine="480" w:firstLineChars="200"/>
        <w:rPr>
          <w:rFonts w:hint="eastAsia" w:cs="Times New Roman"/>
          <w:color w:val="auto"/>
          <w:sz w:val="24"/>
          <w:szCs w:val="32"/>
          <w:highlight w:val="none"/>
          <w:lang w:val="en-US" w:eastAsia="zh-CN"/>
        </w:rPr>
      </w:pPr>
      <w:r>
        <w:rPr>
          <w:rFonts w:hint="eastAsia" w:cs="Times New Roman"/>
          <w:color w:val="auto"/>
          <w:sz w:val="24"/>
          <w:szCs w:val="32"/>
          <w:highlight w:val="none"/>
          <w:lang w:val="en-US" w:eastAsia="zh-CN"/>
        </w:rPr>
        <w:t>（3）污水处理设施建设未全面覆盖</w:t>
      </w:r>
    </w:p>
    <w:p w14:paraId="62735656">
      <w:pPr>
        <w:spacing w:line="360" w:lineRule="auto"/>
        <w:ind w:firstLine="480" w:firstLineChars="200"/>
        <w:rPr>
          <w:rFonts w:ascii="Times New Roman" w:hAnsi="Times New Roman" w:cs="Times New Roman"/>
          <w:color w:val="auto"/>
          <w:sz w:val="24"/>
          <w:highlight w:val="none"/>
        </w:rPr>
      </w:pPr>
      <w:r>
        <w:rPr>
          <w:rFonts w:hint="eastAsia" w:cs="Times New Roman"/>
          <w:color w:val="auto"/>
          <w:sz w:val="24"/>
          <w:szCs w:val="32"/>
          <w:highlight w:val="none"/>
          <w:lang w:val="en-US" w:eastAsia="zh-CN"/>
        </w:rPr>
        <w:t>经调查，由于前期环境基础设施建设资金投入不足，</w:t>
      </w:r>
      <w:r>
        <w:rPr>
          <w:rFonts w:hint="eastAsia" w:ascii="Times New Roman" w:hAnsi="Times New Roman" w:cs="Times New Roman"/>
          <w:color w:val="auto"/>
          <w:sz w:val="24"/>
          <w:highlight w:val="none"/>
          <w:lang w:eastAsia="zh-CN"/>
        </w:rPr>
        <w:t>污水管网建设不完善，缺乏配套污水集中处理设施，导致目前区域废污水未能完全收集并处理，存在直接或间接排入</w:t>
      </w:r>
      <w:r>
        <w:rPr>
          <w:rFonts w:hint="eastAsia" w:cs="Times New Roman"/>
          <w:color w:val="auto"/>
          <w:sz w:val="24"/>
          <w:highlight w:val="none"/>
          <w:lang w:eastAsia="zh-CN"/>
        </w:rPr>
        <w:t>溢水河</w:t>
      </w:r>
      <w:r>
        <w:rPr>
          <w:rFonts w:hint="eastAsia" w:ascii="Times New Roman" w:hAnsi="Times New Roman" w:cs="Times New Roman"/>
          <w:color w:val="auto"/>
          <w:sz w:val="24"/>
          <w:highlight w:val="none"/>
          <w:lang w:val="en-US" w:eastAsia="zh-CN"/>
        </w:rPr>
        <w:t>现象</w:t>
      </w:r>
      <w:r>
        <w:rPr>
          <w:rFonts w:hint="eastAsia" w:ascii="Times New Roman" w:hAnsi="Times New Roman" w:cs="Times New Roman"/>
          <w:color w:val="auto"/>
          <w:sz w:val="24"/>
          <w:highlight w:val="none"/>
          <w:lang w:eastAsia="zh-CN"/>
        </w:rPr>
        <w:t>，影响地表水体水质</w:t>
      </w:r>
      <w:r>
        <w:rPr>
          <w:rFonts w:hint="eastAsia" w:ascii="Times New Roman" w:hAnsi="Times New Roman" w:cs="Times New Roman"/>
          <w:color w:val="auto"/>
          <w:sz w:val="24"/>
          <w:highlight w:val="none"/>
          <w:lang w:val="en-US" w:eastAsia="zh-CN"/>
        </w:rPr>
        <w:t>。</w:t>
      </w:r>
    </w:p>
    <w:p w14:paraId="05928C0E">
      <w:pPr>
        <w:pStyle w:val="4"/>
        <w:keepNext/>
        <w:keepLines/>
        <w:tabs>
          <w:tab w:val="left" w:pos="210"/>
        </w:tabs>
        <w:spacing w:before="200" w:beforeAutospacing="0" w:after="200" w:afterAutospacing="0" w:line="360" w:lineRule="auto"/>
        <w:jc w:val="both"/>
        <w:rPr>
          <w:rFonts w:hint="eastAsia" w:ascii="Times New Roman" w:hAnsi="Times New Roman" w:eastAsia="宋体" w:cs="Times New Roman"/>
          <w:color w:val="auto"/>
          <w:kern w:val="2"/>
          <w:sz w:val="24"/>
          <w:szCs w:val="32"/>
          <w:highlight w:val="none"/>
        </w:rPr>
      </w:pPr>
      <w:bookmarkStart w:id="130" w:name="_Toc166682525"/>
      <w:bookmarkStart w:id="131" w:name="_Toc7913"/>
      <w:r>
        <w:rPr>
          <w:rFonts w:hint="eastAsia" w:ascii="Times New Roman" w:hAnsi="Times New Roman" w:eastAsia="宋体" w:cs="Times New Roman"/>
          <w:color w:val="auto"/>
          <w:kern w:val="2"/>
          <w:sz w:val="24"/>
          <w:szCs w:val="32"/>
          <w:highlight w:val="none"/>
        </w:rPr>
        <w:t>3.2区域水环境质量调查</w:t>
      </w:r>
      <w:bookmarkEnd w:id="130"/>
      <w:bookmarkEnd w:id="131"/>
    </w:p>
    <w:p w14:paraId="4C718233">
      <w:pPr>
        <w:spacing w:line="360" w:lineRule="auto"/>
        <w:ind w:firstLine="480" w:firstLineChars="200"/>
        <w:jc w:val="left"/>
        <w:rPr>
          <w:rFonts w:hint="eastAsia" w:ascii="Times New Roman" w:hAnsi="Times New Roman" w:cs="Times New Roman"/>
          <w:color w:val="auto"/>
          <w:sz w:val="24"/>
          <w:szCs w:val="32"/>
          <w:highlight w:val="none"/>
        </w:rPr>
      </w:pPr>
      <w:r>
        <w:rPr>
          <w:rFonts w:hint="eastAsia" w:ascii="Times New Roman" w:hAnsi="Times New Roman" w:cs="Times New Roman"/>
          <w:color w:val="auto"/>
          <w:sz w:val="24"/>
          <w:szCs w:val="32"/>
          <w:highlight w:val="none"/>
        </w:rPr>
        <w:t>本次环评收集到</w:t>
      </w:r>
      <w:r>
        <w:rPr>
          <w:rFonts w:hint="eastAsia"/>
          <w:color w:val="auto"/>
          <w:sz w:val="24"/>
          <w:highlight w:val="none"/>
          <w:lang w:val="en-US" w:eastAsia="zh-CN"/>
        </w:rPr>
        <w:t>溢水河溢水桥市控</w:t>
      </w:r>
      <w:r>
        <w:rPr>
          <w:rFonts w:hint="eastAsia"/>
          <w:color w:val="auto"/>
          <w:sz w:val="24"/>
          <w:highlight w:val="none"/>
        </w:rPr>
        <w:t>监测断面</w:t>
      </w:r>
      <w:r>
        <w:rPr>
          <w:rFonts w:hint="eastAsia" w:ascii="Times New Roman" w:hAnsi="Times New Roman" w:cs="Times New Roman"/>
          <w:color w:val="auto"/>
          <w:sz w:val="24"/>
          <w:szCs w:val="32"/>
          <w:highlight w:val="none"/>
        </w:rPr>
        <w:t>202</w:t>
      </w:r>
      <w:r>
        <w:rPr>
          <w:rFonts w:hint="eastAsia" w:cs="Times New Roman"/>
          <w:color w:val="auto"/>
          <w:sz w:val="24"/>
          <w:szCs w:val="32"/>
          <w:highlight w:val="none"/>
          <w:lang w:val="en-US" w:eastAsia="zh-CN"/>
        </w:rPr>
        <w:t>3~</w:t>
      </w:r>
      <w:r>
        <w:rPr>
          <w:rFonts w:hint="eastAsia" w:ascii="Times New Roman" w:hAnsi="Times New Roman" w:cs="Times New Roman"/>
          <w:color w:val="auto"/>
          <w:sz w:val="24"/>
          <w:szCs w:val="32"/>
          <w:highlight w:val="none"/>
        </w:rPr>
        <w:t>202</w:t>
      </w:r>
      <w:r>
        <w:rPr>
          <w:rFonts w:hint="eastAsia" w:cs="Times New Roman"/>
          <w:color w:val="auto"/>
          <w:sz w:val="24"/>
          <w:szCs w:val="32"/>
          <w:highlight w:val="none"/>
          <w:lang w:val="en-US" w:eastAsia="zh-CN"/>
        </w:rPr>
        <w:t>5</w:t>
      </w:r>
      <w:r>
        <w:rPr>
          <w:rFonts w:hint="eastAsia" w:ascii="Times New Roman" w:hAnsi="Times New Roman" w:cs="Times New Roman"/>
          <w:color w:val="auto"/>
          <w:sz w:val="24"/>
          <w:szCs w:val="32"/>
          <w:highlight w:val="none"/>
        </w:rPr>
        <w:t>年的例行监测数据</w:t>
      </w:r>
      <w:r>
        <w:rPr>
          <w:rFonts w:hint="eastAsia" w:ascii="Times New Roman" w:hAnsi="Times New Roman" w:cs="Times New Roman"/>
          <w:color w:val="auto"/>
          <w:sz w:val="24"/>
          <w:szCs w:val="32"/>
          <w:highlight w:val="none"/>
          <w:lang w:eastAsia="zh-CN"/>
        </w:rPr>
        <w:t>（项目区水系图见附图</w:t>
      </w:r>
      <w:r>
        <w:rPr>
          <w:rFonts w:hint="eastAsia" w:cs="Times New Roman"/>
          <w:color w:val="auto"/>
          <w:sz w:val="24"/>
          <w:szCs w:val="32"/>
          <w:highlight w:val="none"/>
          <w:lang w:val="en-US" w:eastAsia="zh-CN"/>
        </w:rPr>
        <w:t>6</w:t>
      </w:r>
      <w:r>
        <w:rPr>
          <w:rFonts w:hint="eastAsia" w:ascii="Times New Roman" w:hAnsi="Times New Roman" w:cs="Times New Roman"/>
          <w:color w:val="auto"/>
          <w:sz w:val="24"/>
          <w:szCs w:val="32"/>
          <w:highlight w:val="none"/>
          <w:lang w:eastAsia="zh-CN"/>
        </w:rPr>
        <w:t>）</w:t>
      </w:r>
      <w:r>
        <w:rPr>
          <w:rFonts w:hint="eastAsia" w:ascii="Times New Roman" w:hAnsi="Times New Roman" w:cs="Times New Roman"/>
          <w:color w:val="auto"/>
          <w:sz w:val="24"/>
          <w:szCs w:val="32"/>
          <w:highlight w:val="none"/>
        </w:rPr>
        <w:t>，</w:t>
      </w:r>
      <w:r>
        <w:rPr>
          <w:rFonts w:hint="eastAsia" w:cs="Times New Roman"/>
          <w:color w:val="auto"/>
          <w:sz w:val="24"/>
          <w:szCs w:val="32"/>
          <w:highlight w:val="none"/>
          <w:lang w:val="en-US" w:eastAsia="zh-CN"/>
        </w:rPr>
        <w:t>详</w:t>
      </w:r>
      <w:r>
        <w:rPr>
          <w:rFonts w:hint="eastAsia" w:ascii="Times New Roman" w:hAnsi="Times New Roman" w:cs="Times New Roman"/>
          <w:color w:val="auto"/>
          <w:sz w:val="24"/>
          <w:szCs w:val="32"/>
          <w:highlight w:val="none"/>
        </w:rPr>
        <w:t>见</w:t>
      </w:r>
      <w:r>
        <w:rPr>
          <w:rFonts w:hint="eastAsia" w:cs="Times New Roman"/>
          <w:color w:val="auto"/>
          <w:sz w:val="24"/>
          <w:szCs w:val="32"/>
          <w:highlight w:val="none"/>
          <w:lang w:val="en-US" w:eastAsia="zh-CN"/>
        </w:rPr>
        <w:t>下</w:t>
      </w:r>
      <w:r>
        <w:rPr>
          <w:rFonts w:hint="eastAsia" w:ascii="Times New Roman" w:hAnsi="Times New Roman" w:cs="Times New Roman"/>
          <w:color w:val="auto"/>
          <w:sz w:val="24"/>
          <w:szCs w:val="32"/>
          <w:highlight w:val="none"/>
        </w:rPr>
        <w:t>表。</w:t>
      </w:r>
    </w:p>
    <w:p w14:paraId="54E6C0FD">
      <w:pPr>
        <w:pStyle w:val="2"/>
        <w:spacing w:before="0" w:after="0" w:line="240" w:lineRule="auto"/>
        <w:ind w:right="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表3.2-</w:t>
      </w:r>
      <w:r>
        <w:rPr>
          <w:rFonts w:hint="eastAsia" w:cs="Times New Roman"/>
          <w:b/>
          <w:bCs/>
          <w:color w:val="auto"/>
          <w:sz w:val="21"/>
          <w:szCs w:val="21"/>
          <w:highlight w:val="none"/>
          <w:lang w:val="en-US" w:eastAsia="zh-CN"/>
        </w:rPr>
        <w:t>1</w:t>
      </w:r>
      <w:r>
        <w:rPr>
          <w:rFonts w:ascii="Times New Roman" w:hAnsi="Times New Roman" w:cs="Times New Roman"/>
          <w:b/>
          <w:bCs/>
          <w:color w:val="auto"/>
          <w:sz w:val="21"/>
          <w:szCs w:val="21"/>
          <w:highlight w:val="none"/>
        </w:rPr>
        <w:t xml:space="preserve">  </w:t>
      </w:r>
      <w:r>
        <w:rPr>
          <w:rFonts w:hint="eastAsia" w:ascii="Times New Roman" w:hAnsi="Times New Roman" w:cs="Times New Roman"/>
          <w:b/>
          <w:bCs/>
          <w:color w:val="auto"/>
          <w:sz w:val="21"/>
          <w:szCs w:val="21"/>
          <w:highlight w:val="none"/>
          <w:lang w:val="en-US" w:eastAsia="zh-CN"/>
        </w:rPr>
        <w:t>溢水桥市控</w:t>
      </w:r>
      <w:r>
        <w:rPr>
          <w:rFonts w:ascii="Times New Roman" w:hAnsi="Times New Roman" w:cs="Times New Roman"/>
          <w:b/>
          <w:bCs/>
          <w:color w:val="auto"/>
          <w:sz w:val="21"/>
          <w:szCs w:val="21"/>
          <w:highlight w:val="none"/>
        </w:rPr>
        <w:t>监测断面部分因子例行监测结果  单位：mg/L</w:t>
      </w:r>
    </w:p>
    <w:tbl>
      <w:tblPr>
        <w:tblStyle w:val="31"/>
        <w:tblW w:w="486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655"/>
        <w:gridCol w:w="1655"/>
        <w:gridCol w:w="1655"/>
        <w:gridCol w:w="1655"/>
        <w:gridCol w:w="1655"/>
      </w:tblGrid>
      <w:tr w14:paraId="037F2B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61DEC1EC">
            <w:pPr>
              <w:spacing w:beforeLines="25" w:afterLines="25"/>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kern w:val="0"/>
                <w:sz w:val="21"/>
                <w:szCs w:val="21"/>
                <w:highlight w:val="none"/>
              </w:rPr>
              <w:t>监测时间</w:t>
            </w:r>
          </w:p>
        </w:tc>
        <w:tc>
          <w:tcPr>
            <w:tcW w:w="1000" w:type="pct"/>
            <w:tcBorders>
              <w:tl2br w:val="nil"/>
              <w:tr2bl w:val="nil"/>
            </w:tcBorders>
            <w:shd w:val="clear" w:color="auto" w:fill="auto"/>
            <w:noWrap/>
            <w:vAlign w:val="center"/>
          </w:tcPr>
          <w:p w14:paraId="2F901EF9">
            <w:pPr>
              <w:spacing w:beforeLines="25" w:afterLines="25"/>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kern w:val="0"/>
                <w:sz w:val="21"/>
                <w:szCs w:val="21"/>
                <w:highlight w:val="none"/>
              </w:rPr>
              <w:t>pH（无量纲）</w:t>
            </w:r>
          </w:p>
        </w:tc>
        <w:tc>
          <w:tcPr>
            <w:tcW w:w="1000" w:type="pct"/>
            <w:tcBorders>
              <w:tl2br w:val="nil"/>
              <w:tr2bl w:val="nil"/>
            </w:tcBorders>
            <w:shd w:val="clear" w:color="auto" w:fill="auto"/>
            <w:noWrap/>
            <w:vAlign w:val="center"/>
          </w:tcPr>
          <w:p w14:paraId="163C7574">
            <w:pPr>
              <w:spacing w:beforeLines="25" w:afterLines="25"/>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kern w:val="0"/>
                <w:sz w:val="21"/>
                <w:szCs w:val="21"/>
                <w:highlight w:val="none"/>
              </w:rPr>
              <w:t>氨氮</w:t>
            </w:r>
          </w:p>
        </w:tc>
        <w:tc>
          <w:tcPr>
            <w:tcW w:w="1000" w:type="pct"/>
            <w:tcBorders>
              <w:tl2br w:val="nil"/>
              <w:tr2bl w:val="nil"/>
            </w:tcBorders>
            <w:shd w:val="clear" w:color="auto" w:fill="auto"/>
            <w:noWrap/>
            <w:vAlign w:val="center"/>
          </w:tcPr>
          <w:p w14:paraId="63B44CFD">
            <w:pPr>
              <w:spacing w:beforeLines="25" w:afterLines="25"/>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kern w:val="0"/>
                <w:sz w:val="21"/>
                <w:szCs w:val="21"/>
                <w:highlight w:val="none"/>
              </w:rPr>
              <w:t>COD</w:t>
            </w:r>
          </w:p>
        </w:tc>
        <w:tc>
          <w:tcPr>
            <w:tcW w:w="1000" w:type="pct"/>
            <w:tcBorders>
              <w:tl2br w:val="nil"/>
              <w:tr2bl w:val="nil"/>
            </w:tcBorders>
            <w:shd w:val="clear" w:color="auto" w:fill="auto"/>
            <w:noWrap/>
            <w:vAlign w:val="center"/>
          </w:tcPr>
          <w:p w14:paraId="48E60E8E">
            <w:pPr>
              <w:spacing w:beforeLines="25" w:afterLines="25"/>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kern w:val="0"/>
                <w:sz w:val="21"/>
                <w:szCs w:val="21"/>
                <w:highlight w:val="none"/>
              </w:rPr>
              <w:t>总磷</w:t>
            </w:r>
          </w:p>
        </w:tc>
      </w:tr>
      <w:tr w14:paraId="4F1E8F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645C6334">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.1</w:t>
            </w:r>
          </w:p>
        </w:tc>
        <w:tc>
          <w:tcPr>
            <w:tcW w:w="1000" w:type="pct"/>
            <w:tcBorders>
              <w:tl2br w:val="nil"/>
              <w:tr2bl w:val="nil"/>
            </w:tcBorders>
            <w:shd w:val="clear" w:color="auto" w:fill="auto"/>
            <w:noWrap/>
            <w:vAlign w:val="center"/>
          </w:tcPr>
          <w:p w14:paraId="1BE3E658">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8.15</w:t>
            </w:r>
          </w:p>
        </w:tc>
        <w:tc>
          <w:tcPr>
            <w:tcW w:w="1000" w:type="pct"/>
            <w:tcBorders>
              <w:tl2br w:val="nil"/>
              <w:tr2bl w:val="nil"/>
            </w:tcBorders>
            <w:shd w:val="clear" w:color="auto" w:fill="auto"/>
            <w:noWrap/>
            <w:vAlign w:val="center"/>
          </w:tcPr>
          <w:p w14:paraId="1658685F">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0.09</w:t>
            </w:r>
          </w:p>
        </w:tc>
        <w:tc>
          <w:tcPr>
            <w:tcW w:w="1000" w:type="pct"/>
            <w:tcBorders>
              <w:tl2br w:val="nil"/>
              <w:tr2bl w:val="nil"/>
            </w:tcBorders>
            <w:shd w:val="clear" w:color="auto" w:fill="auto"/>
            <w:noWrap/>
            <w:vAlign w:val="center"/>
          </w:tcPr>
          <w:p w14:paraId="566786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6.12</w:t>
            </w:r>
          </w:p>
        </w:tc>
        <w:tc>
          <w:tcPr>
            <w:tcW w:w="1000" w:type="pct"/>
            <w:tcBorders>
              <w:tl2br w:val="nil"/>
              <w:tr2bl w:val="nil"/>
            </w:tcBorders>
            <w:shd w:val="clear" w:color="auto" w:fill="auto"/>
            <w:noWrap/>
            <w:vAlign w:val="center"/>
          </w:tcPr>
          <w:p w14:paraId="67C52172">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0.038</w:t>
            </w:r>
          </w:p>
        </w:tc>
      </w:tr>
      <w:tr w14:paraId="6EB626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07079A3B">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.2</w:t>
            </w:r>
          </w:p>
        </w:tc>
        <w:tc>
          <w:tcPr>
            <w:tcW w:w="1000" w:type="pct"/>
            <w:tcBorders>
              <w:tl2br w:val="nil"/>
              <w:tr2bl w:val="nil"/>
            </w:tcBorders>
            <w:shd w:val="clear" w:color="auto" w:fill="auto"/>
            <w:noWrap/>
            <w:vAlign w:val="center"/>
          </w:tcPr>
          <w:p w14:paraId="59A13FE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7.96</w:t>
            </w:r>
          </w:p>
        </w:tc>
        <w:tc>
          <w:tcPr>
            <w:tcW w:w="1000" w:type="pct"/>
            <w:tcBorders>
              <w:tl2br w:val="nil"/>
              <w:tr2bl w:val="nil"/>
            </w:tcBorders>
            <w:shd w:val="clear" w:color="auto" w:fill="auto"/>
            <w:noWrap/>
            <w:vAlign w:val="center"/>
          </w:tcPr>
          <w:p w14:paraId="28940171">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1000" w:type="pct"/>
            <w:tcBorders>
              <w:tl2br w:val="nil"/>
              <w:tr2bl w:val="nil"/>
            </w:tcBorders>
            <w:shd w:val="clear" w:color="auto" w:fill="auto"/>
            <w:noWrap/>
            <w:vAlign w:val="center"/>
          </w:tcPr>
          <w:p w14:paraId="752C1D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000" w:type="pct"/>
            <w:tcBorders>
              <w:tl2br w:val="nil"/>
              <w:tr2bl w:val="nil"/>
            </w:tcBorders>
            <w:shd w:val="clear" w:color="auto" w:fill="auto"/>
            <w:noWrap/>
            <w:vAlign w:val="center"/>
          </w:tcPr>
          <w:p w14:paraId="68729F72">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r>
      <w:tr w14:paraId="58C842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F27817C">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.3</w:t>
            </w:r>
          </w:p>
        </w:tc>
        <w:tc>
          <w:tcPr>
            <w:tcW w:w="1000" w:type="pct"/>
            <w:tcBorders>
              <w:tl2br w:val="nil"/>
              <w:tr2bl w:val="nil"/>
            </w:tcBorders>
            <w:shd w:val="clear" w:color="auto" w:fill="auto"/>
            <w:noWrap/>
            <w:vAlign w:val="center"/>
          </w:tcPr>
          <w:p w14:paraId="7F31B48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8.33</w:t>
            </w:r>
          </w:p>
        </w:tc>
        <w:tc>
          <w:tcPr>
            <w:tcW w:w="1000" w:type="pct"/>
            <w:tcBorders>
              <w:tl2br w:val="nil"/>
              <w:tr2bl w:val="nil"/>
            </w:tcBorders>
            <w:shd w:val="clear" w:color="auto" w:fill="auto"/>
            <w:noWrap/>
            <w:vAlign w:val="center"/>
          </w:tcPr>
          <w:p w14:paraId="45DCE8F0">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7A8902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7.00</w:t>
            </w:r>
          </w:p>
        </w:tc>
        <w:tc>
          <w:tcPr>
            <w:tcW w:w="1000" w:type="pct"/>
            <w:tcBorders>
              <w:tl2br w:val="nil"/>
              <w:tr2bl w:val="nil"/>
            </w:tcBorders>
            <w:shd w:val="clear" w:color="auto" w:fill="auto"/>
            <w:noWrap/>
            <w:vAlign w:val="center"/>
          </w:tcPr>
          <w:p w14:paraId="2DFC165D">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0.036</w:t>
            </w:r>
          </w:p>
        </w:tc>
      </w:tr>
      <w:tr w14:paraId="6EB5A8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829E08C">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.4</w:t>
            </w:r>
          </w:p>
        </w:tc>
        <w:tc>
          <w:tcPr>
            <w:tcW w:w="1000" w:type="pct"/>
            <w:tcBorders>
              <w:tl2br w:val="nil"/>
              <w:tr2bl w:val="nil"/>
            </w:tcBorders>
            <w:shd w:val="clear" w:color="auto" w:fill="auto"/>
            <w:noWrap/>
            <w:vAlign w:val="center"/>
          </w:tcPr>
          <w:p w14:paraId="317E953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等线" w:cs="Times New Roman"/>
                <w:i w:val="0"/>
                <w:iCs w:val="0"/>
                <w:color w:val="auto"/>
                <w:kern w:val="0"/>
                <w:sz w:val="21"/>
                <w:szCs w:val="21"/>
                <w:highlight w:val="none"/>
                <w:u w:val="none"/>
                <w:lang w:val="en-US" w:eastAsia="zh-CN" w:bidi="ar"/>
              </w:rPr>
              <w:t>7.53</w:t>
            </w:r>
          </w:p>
        </w:tc>
        <w:tc>
          <w:tcPr>
            <w:tcW w:w="1000" w:type="pct"/>
            <w:tcBorders>
              <w:tl2br w:val="nil"/>
              <w:tr2bl w:val="nil"/>
            </w:tcBorders>
            <w:shd w:val="clear" w:color="auto" w:fill="auto"/>
            <w:noWrap/>
            <w:vAlign w:val="center"/>
          </w:tcPr>
          <w:p w14:paraId="0F43975F">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1000" w:type="pct"/>
            <w:tcBorders>
              <w:tl2br w:val="nil"/>
              <w:tr2bl w:val="nil"/>
            </w:tcBorders>
            <w:shd w:val="clear" w:color="auto" w:fill="auto"/>
            <w:noWrap/>
            <w:vAlign w:val="center"/>
          </w:tcPr>
          <w:p w14:paraId="322581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8.87</w:t>
            </w:r>
          </w:p>
        </w:tc>
        <w:tc>
          <w:tcPr>
            <w:tcW w:w="1000" w:type="pct"/>
            <w:tcBorders>
              <w:tl2br w:val="nil"/>
              <w:tr2bl w:val="nil"/>
            </w:tcBorders>
            <w:shd w:val="clear" w:color="auto" w:fill="auto"/>
            <w:noWrap/>
            <w:vAlign w:val="center"/>
          </w:tcPr>
          <w:p w14:paraId="45A5D21B">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0.056</w:t>
            </w:r>
          </w:p>
        </w:tc>
      </w:tr>
      <w:tr w14:paraId="1431AA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7055F0E9">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.5</w:t>
            </w:r>
          </w:p>
        </w:tc>
        <w:tc>
          <w:tcPr>
            <w:tcW w:w="1000" w:type="pct"/>
            <w:tcBorders>
              <w:tl2br w:val="nil"/>
              <w:tr2bl w:val="nil"/>
            </w:tcBorders>
            <w:shd w:val="clear" w:color="auto" w:fill="auto"/>
            <w:noWrap/>
            <w:vAlign w:val="center"/>
          </w:tcPr>
          <w:p w14:paraId="077064C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8.23</w:t>
            </w:r>
          </w:p>
        </w:tc>
        <w:tc>
          <w:tcPr>
            <w:tcW w:w="1000" w:type="pct"/>
            <w:tcBorders>
              <w:tl2br w:val="nil"/>
              <w:tr2bl w:val="nil"/>
            </w:tcBorders>
            <w:shd w:val="clear" w:color="auto" w:fill="auto"/>
            <w:noWrap/>
            <w:vAlign w:val="center"/>
          </w:tcPr>
          <w:p w14:paraId="4EBF7FC6">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572180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5.16</w:t>
            </w:r>
          </w:p>
        </w:tc>
        <w:tc>
          <w:tcPr>
            <w:tcW w:w="1000" w:type="pct"/>
            <w:tcBorders>
              <w:tl2br w:val="nil"/>
              <w:tr2bl w:val="nil"/>
            </w:tcBorders>
            <w:shd w:val="clear" w:color="auto" w:fill="auto"/>
            <w:noWrap/>
            <w:vAlign w:val="center"/>
          </w:tcPr>
          <w:p w14:paraId="1D91F986">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0.049</w:t>
            </w:r>
          </w:p>
        </w:tc>
      </w:tr>
      <w:tr w14:paraId="54C609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6D613978">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.6</w:t>
            </w:r>
          </w:p>
        </w:tc>
        <w:tc>
          <w:tcPr>
            <w:tcW w:w="1000" w:type="pct"/>
            <w:tcBorders>
              <w:tl2br w:val="nil"/>
              <w:tr2bl w:val="nil"/>
            </w:tcBorders>
            <w:shd w:val="clear" w:color="auto" w:fill="auto"/>
            <w:noWrap/>
            <w:vAlign w:val="center"/>
          </w:tcPr>
          <w:p w14:paraId="24784F64">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等线" w:cs="Times New Roman"/>
                <w:i w:val="0"/>
                <w:iCs w:val="0"/>
                <w:color w:val="auto"/>
                <w:kern w:val="0"/>
                <w:sz w:val="21"/>
                <w:szCs w:val="21"/>
                <w:highlight w:val="none"/>
                <w:u w:val="none"/>
                <w:lang w:val="en-US" w:eastAsia="zh-CN" w:bidi="ar"/>
              </w:rPr>
              <w:t>7.7</w:t>
            </w:r>
            <w:r>
              <w:rPr>
                <w:rFonts w:hint="eastAsia" w:ascii="Times New Roman" w:hAnsi="Times New Roman" w:eastAsia="等线" w:cs="Times New Roman"/>
                <w:i w:val="0"/>
                <w:iCs w:val="0"/>
                <w:color w:val="auto"/>
                <w:kern w:val="0"/>
                <w:sz w:val="21"/>
                <w:szCs w:val="21"/>
                <w:highlight w:val="none"/>
                <w:u w:val="none"/>
                <w:lang w:val="en-US" w:eastAsia="zh-CN" w:bidi="ar"/>
              </w:rPr>
              <w:t>0</w:t>
            </w:r>
          </w:p>
        </w:tc>
        <w:tc>
          <w:tcPr>
            <w:tcW w:w="1000" w:type="pct"/>
            <w:tcBorders>
              <w:tl2br w:val="nil"/>
              <w:tr2bl w:val="nil"/>
            </w:tcBorders>
            <w:shd w:val="clear" w:color="auto" w:fill="auto"/>
            <w:noWrap/>
            <w:vAlign w:val="center"/>
          </w:tcPr>
          <w:p w14:paraId="7501E02D">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1000" w:type="pct"/>
            <w:tcBorders>
              <w:tl2br w:val="nil"/>
              <w:tr2bl w:val="nil"/>
            </w:tcBorders>
            <w:shd w:val="clear" w:color="auto" w:fill="auto"/>
            <w:noWrap/>
            <w:vAlign w:val="center"/>
          </w:tcPr>
          <w:p w14:paraId="17CCA4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8.09</w:t>
            </w:r>
          </w:p>
        </w:tc>
        <w:tc>
          <w:tcPr>
            <w:tcW w:w="1000" w:type="pct"/>
            <w:tcBorders>
              <w:tl2br w:val="nil"/>
              <w:tr2bl w:val="nil"/>
            </w:tcBorders>
            <w:shd w:val="clear" w:color="auto" w:fill="auto"/>
            <w:noWrap/>
            <w:vAlign w:val="center"/>
          </w:tcPr>
          <w:p w14:paraId="582C5618">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0.061</w:t>
            </w:r>
          </w:p>
        </w:tc>
      </w:tr>
      <w:tr w14:paraId="077983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4E321D74">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.7</w:t>
            </w:r>
          </w:p>
        </w:tc>
        <w:tc>
          <w:tcPr>
            <w:tcW w:w="1000" w:type="pct"/>
            <w:tcBorders>
              <w:tl2br w:val="nil"/>
              <w:tr2bl w:val="nil"/>
            </w:tcBorders>
            <w:shd w:val="clear" w:color="auto" w:fill="auto"/>
            <w:noWrap/>
            <w:vAlign w:val="center"/>
          </w:tcPr>
          <w:p w14:paraId="6CF24D70">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8.10</w:t>
            </w:r>
          </w:p>
        </w:tc>
        <w:tc>
          <w:tcPr>
            <w:tcW w:w="1000" w:type="pct"/>
            <w:tcBorders>
              <w:tl2br w:val="nil"/>
              <w:tr2bl w:val="nil"/>
            </w:tcBorders>
            <w:shd w:val="clear" w:color="auto" w:fill="auto"/>
            <w:noWrap/>
            <w:vAlign w:val="center"/>
          </w:tcPr>
          <w:p w14:paraId="39B36456">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54B4F5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11.25</w:t>
            </w:r>
          </w:p>
        </w:tc>
        <w:tc>
          <w:tcPr>
            <w:tcW w:w="1000" w:type="pct"/>
            <w:tcBorders>
              <w:tl2br w:val="nil"/>
              <w:tr2bl w:val="nil"/>
            </w:tcBorders>
            <w:shd w:val="clear" w:color="auto" w:fill="auto"/>
            <w:noWrap/>
            <w:vAlign w:val="center"/>
          </w:tcPr>
          <w:p w14:paraId="19FEFDF8">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0.101</w:t>
            </w:r>
          </w:p>
        </w:tc>
      </w:tr>
      <w:tr w14:paraId="149514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FADE3C1">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.8</w:t>
            </w:r>
          </w:p>
        </w:tc>
        <w:tc>
          <w:tcPr>
            <w:tcW w:w="1000" w:type="pct"/>
            <w:tcBorders>
              <w:tl2br w:val="nil"/>
              <w:tr2bl w:val="nil"/>
            </w:tcBorders>
            <w:shd w:val="clear" w:color="auto" w:fill="auto"/>
            <w:noWrap/>
            <w:vAlign w:val="center"/>
          </w:tcPr>
          <w:p w14:paraId="6B7021D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等线" w:cs="Times New Roman"/>
                <w:i w:val="0"/>
                <w:iCs w:val="0"/>
                <w:color w:val="auto"/>
                <w:kern w:val="0"/>
                <w:sz w:val="21"/>
                <w:szCs w:val="21"/>
                <w:highlight w:val="none"/>
                <w:u w:val="none"/>
                <w:lang w:val="en-US" w:eastAsia="zh-CN" w:bidi="ar"/>
              </w:rPr>
              <w:t>8.10</w:t>
            </w:r>
          </w:p>
        </w:tc>
        <w:tc>
          <w:tcPr>
            <w:tcW w:w="1000" w:type="pct"/>
            <w:tcBorders>
              <w:tl2br w:val="nil"/>
              <w:tr2bl w:val="nil"/>
            </w:tcBorders>
            <w:shd w:val="clear" w:color="auto" w:fill="auto"/>
            <w:noWrap/>
            <w:vAlign w:val="center"/>
          </w:tcPr>
          <w:p w14:paraId="70416181">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3F4B45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10.88</w:t>
            </w:r>
          </w:p>
        </w:tc>
        <w:tc>
          <w:tcPr>
            <w:tcW w:w="1000" w:type="pct"/>
            <w:tcBorders>
              <w:tl2br w:val="nil"/>
              <w:tr2bl w:val="nil"/>
            </w:tcBorders>
            <w:shd w:val="clear" w:color="auto" w:fill="auto"/>
            <w:noWrap/>
            <w:vAlign w:val="center"/>
          </w:tcPr>
          <w:p w14:paraId="71CDA1C0">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0.075</w:t>
            </w:r>
          </w:p>
        </w:tc>
      </w:tr>
      <w:tr w14:paraId="5C882C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AB5F68D">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.9</w:t>
            </w:r>
          </w:p>
        </w:tc>
        <w:tc>
          <w:tcPr>
            <w:tcW w:w="1000" w:type="pct"/>
            <w:tcBorders>
              <w:tl2br w:val="nil"/>
              <w:tr2bl w:val="nil"/>
            </w:tcBorders>
            <w:shd w:val="clear" w:color="auto" w:fill="auto"/>
            <w:noWrap/>
            <w:vAlign w:val="center"/>
          </w:tcPr>
          <w:p w14:paraId="099003D3">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等线" w:cs="Times New Roman"/>
                <w:i w:val="0"/>
                <w:iCs w:val="0"/>
                <w:color w:val="auto"/>
                <w:kern w:val="0"/>
                <w:sz w:val="21"/>
                <w:szCs w:val="21"/>
                <w:highlight w:val="none"/>
                <w:u w:val="none"/>
                <w:lang w:val="en-US" w:eastAsia="zh-CN" w:bidi="ar"/>
              </w:rPr>
              <w:t>7.7</w:t>
            </w:r>
            <w:r>
              <w:rPr>
                <w:rFonts w:hint="eastAsia" w:ascii="Times New Roman" w:hAnsi="Times New Roman" w:eastAsia="等线" w:cs="Times New Roman"/>
                <w:i w:val="0"/>
                <w:iCs w:val="0"/>
                <w:color w:val="auto"/>
                <w:kern w:val="0"/>
                <w:sz w:val="21"/>
                <w:szCs w:val="21"/>
                <w:highlight w:val="none"/>
                <w:u w:val="none"/>
                <w:lang w:val="en-US" w:eastAsia="zh-CN" w:bidi="ar"/>
              </w:rPr>
              <w:t>0</w:t>
            </w:r>
          </w:p>
        </w:tc>
        <w:tc>
          <w:tcPr>
            <w:tcW w:w="1000" w:type="pct"/>
            <w:tcBorders>
              <w:tl2br w:val="nil"/>
              <w:tr2bl w:val="nil"/>
            </w:tcBorders>
            <w:shd w:val="clear" w:color="auto" w:fill="auto"/>
            <w:noWrap/>
            <w:vAlign w:val="center"/>
          </w:tcPr>
          <w:p w14:paraId="5CDD8B3D">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68F815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7.78</w:t>
            </w:r>
          </w:p>
        </w:tc>
        <w:tc>
          <w:tcPr>
            <w:tcW w:w="1000" w:type="pct"/>
            <w:tcBorders>
              <w:tl2br w:val="nil"/>
              <w:tr2bl w:val="nil"/>
            </w:tcBorders>
            <w:shd w:val="clear" w:color="auto" w:fill="auto"/>
            <w:noWrap/>
            <w:vAlign w:val="center"/>
          </w:tcPr>
          <w:p w14:paraId="3F15C43A">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0.104</w:t>
            </w:r>
          </w:p>
        </w:tc>
      </w:tr>
      <w:tr w14:paraId="798227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041B4F6E">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.10</w:t>
            </w:r>
          </w:p>
        </w:tc>
        <w:tc>
          <w:tcPr>
            <w:tcW w:w="1000" w:type="pct"/>
            <w:tcBorders>
              <w:tl2br w:val="nil"/>
              <w:tr2bl w:val="nil"/>
            </w:tcBorders>
            <w:shd w:val="clear" w:color="auto" w:fill="auto"/>
            <w:noWrap/>
            <w:vAlign w:val="center"/>
          </w:tcPr>
          <w:p w14:paraId="25CC329D">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等线" w:cs="Times New Roman"/>
                <w:i w:val="0"/>
                <w:iCs w:val="0"/>
                <w:color w:val="auto"/>
                <w:kern w:val="0"/>
                <w:sz w:val="21"/>
                <w:szCs w:val="21"/>
                <w:highlight w:val="none"/>
                <w:u w:val="none"/>
                <w:lang w:val="en-US" w:eastAsia="zh-CN" w:bidi="ar"/>
              </w:rPr>
              <w:t>8.3</w:t>
            </w:r>
            <w:r>
              <w:rPr>
                <w:rFonts w:hint="eastAsia" w:ascii="Times New Roman" w:hAnsi="Times New Roman" w:eastAsia="等线" w:cs="Times New Roman"/>
                <w:i w:val="0"/>
                <w:iCs w:val="0"/>
                <w:color w:val="auto"/>
                <w:kern w:val="0"/>
                <w:sz w:val="21"/>
                <w:szCs w:val="21"/>
                <w:highlight w:val="none"/>
                <w:u w:val="none"/>
                <w:lang w:val="en-US" w:eastAsia="zh-CN" w:bidi="ar"/>
              </w:rPr>
              <w:t>0</w:t>
            </w:r>
          </w:p>
        </w:tc>
        <w:tc>
          <w:tcPr>
            <w:tcW w:w="1000" w:type="pct"/>
            <w:tcBorders>
              <w:tl2br w:val="nil"/>
              <w:tr2bl w:val="nil"/>
            </w:tcBorders>
            <w:shd w:val="clear" w:color="auto" w:fill="auto"/>
            <w:noWrap/>
            <w:vAlign w:val="center"/>
          </w:tcPr>
          <w:p w14:paraId="68D232AD">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c>
          <w:tcPr>
            <w:tcW w:w="1000" w:type="pct"/>
            <w:tcBorders>
              <w:tl2br w:val="nil"/>
              <w:tr2bl w:val="nil"/>
            </w:tcBorders>
            <w:shd w:val="clear" w:color="auto" w:fill="auto"/>
            <w:noWrap/>
            <w:vAlign w:val="center"/>
          </w:tcPr>
          <w:p w14:paraId="1C60C1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4L</w:t>
            </w:r>
          </w:p>
        </w:tc>
        <w:tc>
          <w:tcPr>
            <w:tcW w:w="1000" w:type="pct"/>
            <w:tcBorders>
              <w:tl2br w:val="nil"/>
              <w:tr2bl w:val="nil"/>
            </w:tcBorders>
            <w:shd w:val="clear" w:color="auto" w:fill="auto"/>
            <w:noWrap/>
            <w:vAlign w:val="center"/>
          </w:tcPr>
          <w:p w14:paraId="12A1F342">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0.077</w:t>
            </w:r>
          </w:p>
        </w:tc>
      </w:tr>
      <w:tr w14:paraId="7C7634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496C492">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.11</w:t>
            </w:r>
          </w:p>
        </w:tc>
        <w:tc>
          <w:tcPr>
            <w:tcW w:w="1000" w:type="pct"/>
            <w:tcBorders>
              <w:tl2br w:val="nil"/>
              <w:tr2bl w:val="nil"/>
            </w:tcBorders>
            <w:shd w:val="clear" w:color="auto" w:fill="auto"/>
            <w:noWrap/>
            <w:vAlign w:val="center"/>
          </w:tcPr>
          <w:p w14:paraId="247B224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8.15</w:t>
            </w:r>
          </w:p>
        </w:tc>
        <w:tc>
          <w:tcPr>
            <w:tcW w:w="1000" w:type="pct"/>
            <w:tcBorders>
              <w:tl2br w:val="nil"/>
              <w:tr2bl w:val="nil"/>
            </w:tcBorders>
            <w:shd w:val="clear" w:color="auto" w:fill="auto"/>
            <w:noWrap/>
            <w:vAlign w:val="center"/>
          </w:tcPr>
          <w:p w14:paraId="63C4B8AC">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519BDB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6.12</w:t>
            </w:r>
          </w:p>
        </w:tc>
        <w:tc>
          <w:tcPr>
            <w:tcW w:w="1000" w:type="pct"/>
            <w:tcBorders>
              <w:tl2br w:val="nil"/>
              <w:tr2bl w:val="nil"/>
            </w:tcBorders>
            <w:shd w:val="clear" w:color="auto" w:fill="auto"/>
            <w:noWrap/>
            <w:vAlign w:val="center"/>
          </w:tcPr>
          <w:p w14:paraId="2C43B1A9">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0.032</w:t>
            </w:r>
          </w:p>
        </w:tc>
      </w:tr>
      <w:tr w14:paraId="1F9FB3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C715E44">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ascii="Times New Roman" w:hAnsi="Times New Roman" w:cs="Times New Roman"/>
                <w:color w:val="auto"/>
                <w:kern w:val="0"/>
                <w:sz w:val="21"/>
                <w:szCs w:val="21"/>
                <w:highlight w:val="none"/>
                <w:lang w:val="en-US" w:eastAsia="zh-CN"/>
              </w:rPr>
              <w:t>3</w:t>
            </w:r>
            <w:r>
              <w:rPr>
                <w:rFonts w:ascii="Times New Roman" w:hAnsi="Times New Roman" w:cs="Times New Roman"/>
                <w:color w:val="auto"/>
                <w:kern w:val="0"/>
                <w:sz w:val="21"/>
                <w:szCs w:val="21"/>
                <w:highlight w:val="none"/>
              </w:rPr>
              <w:t>.12</w:t>
            </w:r>
          </w:p>
        </w:tc>
        <w:tc>
          <w:tcPr>
            <w:tcW w:w="1000" w:type="pct"/>
            <w:tcBorders>
              <w:tl2br w:val="nil"/>
              <w:tr2bl w:val="nil"/>
            </w:tcBorders>
            <w:shd w:val="clear" w:color="auto" w:fill="auto"/>
            <w:noWrap/>
            <w:vAlign w:val="center"/>
          </w:tcPr>
          <w:p w14:paraId="478F9BF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等线" w:cs="Times New Roman"/>
                <w:i w:val="0"/>
                <w:iCs w:val="0"/>
                <w:color w:val="auto"/>
                <w:kern w:val="0"/>
                <w:sz w:val="21"/>
                <w:szCs w:val="21"/>
                <w:highlight w:val="none"/>
                <w:u w:val="none"/>
                <w:lang w:val="en-US" w:eastAsia="zh-CN" w:bidi="ar"/>
              </w:rPr>
              <w:t>7.96</w:t>
            </w:r>
          </w:p>
        </w:tc>
        <w:tc>
          <w:tcPr>
            <w:tcW w:w="1000" w:type="pct"/>
            <w:tcBorders>
              <w:tl2br w:val="nil"/>
              <w:tr2bl w:val="nil"/>
            </w:tcBorders>
            <w:shd w:val="clear" w:color="auto" w:fill="auto"/>
            <w:noWrap/>
            <w:vAlign w:val="center"/>
          </w:tcPr>
          <w:p w14:paraId="2EE4082F">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2521A254">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000" w:type="pct"/>
            <w:tcBorders>
              <w:tl2br w:val="nil"/>
              <w:tr2bl w:val="nil"/>
            </w:tcBorders>
            <w:shd w:val="clear" w:color="auto" w:fill="auto"/>
            <w:noWrap/>
            <w:vAlign w:val="center"/>
          </w:tcPr>
          <w:p w14:paraId="457273D9">
            <w:pPr>
              <w:keepNext w:val="0"/>
              <w:keepLines w:val="0"/>
              <w:widowControl/>
              <w:suppressLineNumbers w:val="0"/>
              <w:jc w:val="center"/>
              <w:textAlignment w:val="center"/>
              <w:rPr>
                <w:rFonts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0.016</w:t>
            </w:r>
          </w:p>
        </w:tc>
      </w:tr>
      <w:tr w14:paraId="4987D6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17990A9A">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b/>
                <w:color w:val="auto"/>
                <w:kern w:val="0"/>
                <w:sz w:val="21"/>
                <w:szCs w:val="21"/>
                <w:highlight w:val="none"/>
              </w:rPr>
              <w:t>年均值</w:t>
            </w:r>
          </w:p>
        </w:tc>
        <w:tc>
          <w:tcPr>
            <w:tcW w:w="1000" w:type="pct"/>
            <w:tcBorders>
              <w:tl2br w:val="nil"/>
              <w:tr2bl w:val="nil"/>
            </w:tcBorders>
            <w:shd w:val="clear" w:color="auto" w:fill="auto"/>
            <w:noWrap/>
            <w:vAlign w:val="center"/>
          </w:tcPr>
          <w:p w14:paraId="7E2081EB">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8</w:t>
            </w:r>
          </w:p>
        </w:tc>
        <w:tc>
          <w:tcPr>
            <w:tcW w:w="1000" w:type="pct"/>
            <w:tcBorders>
              <w:tl2br w:val="nil"/>
              <w:tr2bl w:val="nil"/>
            </w:tcBorders>
            <w:shd w:val="clear" w:color="auto" w:fill="auto"/>
            <w:noWrap/>
            <w:vAlign w:val="center"/>
          </w:tcPr>
          <w:p w14:paraId="6251A933">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0.0425</w:t>
            </w:r>
          </w:p>
        </w:tc>
        <w:tc>
          <w:tcPr>
            <w:tcW w:w="1000" w:type="pct"/>
            <w:tcBorders>
              <w:tl2br w:val="nil"/>
              <w:tr2bl w:val="nil"/>
            </w:tcBorders>
            <w:shd w:val="clear" w:color="auto" w:fill="auto"/>
            <w:noWrap/>
            <w:vAlign w:val="center"/>
          </w:tcPr>
          <w:p w14:paraId="16BD76AC">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6.77</w:t>
            </w:r>
          </w:p>
        </w:tc>
        <w:tc>
          <w:tcPr>
            <w:tcW w:w="1000" w:type="pct"/>
            <w:tcBorders>
              <w:tl2br w:val="nil"/>
              <w:tr2bl w:val="nil"/>
            </w:tcBorders>
            <w:shd w:val="clear" w:color="auto" w:fill="auto"/>
            <w:noWrap/>
            <w:vAlign w:val="center"/>
          </w:tcPr>
          <w:p w14:paraId="2FC20179">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0.056</w:t>
            </w:r>
            <w:r>
              <w:rPr>
                <w:rFonts w:hint="eastAsia" w:ascii="Times New Roman" w:hAnsi="Times New Roman" w:cs="Times New Roman"/>
                <w:b/>
                <w:bCs/>
                <w:color w:val="auto"/>
                <w:kern w:val="0"/>
                <w:sz w:val="21"/>
                <w:szCs w:val="21"/>
                <w:highlight w:val="none"/>
                <w:lang w:val="en-US" w:eastAsia="zh-CN"/>
              </w:rPr>
              <w:t>3</w:t>
            </w:r>
          </w:p>
        </w:tc>
      </w:tr>
      <w:tr w14:paraId="5AAAB7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60768EA3">
            <w:pPr>
              <w:spacing w:beforeLines="25" w:afterLines="25"/>
              <w:jc w:val="center"/>
              <w:rPr>
                <w:rFonts w:hint="eastAsia" w:ascii="Times New Roman" w:hAnsi="Times New Roman" w:eastAsia="宋体" w:cs="Times New Roman"/>
                <w:b/>
                <w:color w:val="auto"/>
                <w:kern w:val="0"/>
                <w:sz w:val="21"/>
                <w:szCs w:val="21"/>
                <w:highlight w:val="none"/>
                <w:lang w:val="en-US" w:eastAsia="zh-CN"/>
              </w:rPr>
            </w:pPr>
            <w:r>
              <w:rPr>
                <w:rFonts w:hint="eastAsia" w:ascii="Times New Roman" w:hAnsi="Times New Roman" w:cs="Times New Roman"/>
                <w:b/>
                <w:color w:val="auto"/>
                <w:kern w:val="0"/>
                <w:sz w:val="21"/>
                <w:szCs w:val="21"/>
                <w:highlight w:val="none"/>
                <w:lang w:val="en-US" w:eastAsia="zh-CN"/>
              </w:rPr>
              <w:t>占</w:t>
            </w:r>
            <w:r>
              <w:rPr>
                <w:rFonts w:hint="eastAsia" w:cs="Times New Roman"/>
                <w:b/>
                <w:color w:val="auto"/>
                <w:kern w:val="0"/>
                <w:sz w:val="21"/>
                <w:szCs w:val="21"/>
                <w:highlight w:val="none"/>
                <w:lang w:val="en-US" w:eastAsia="zh-CN"/>
              </w:rPr>
              <w:t>标</w:t>
            </w:r>
            <w:r>
              <w:rPr>
                <w:rFonts w:hint="eastAsia" w:ascii="Times New Roman" w:hAnsi="Times New Roman" w:cs="Times New Roman"/>
                <w:b/>
                <w:color w:val="auto"/>
                <w:kern w:val="0"/>
                <w:sz w:val="21"/>
                <w:szCs w:val="21"/>
                <w:highlight w:val="none"/>
                <w:lang w:val="en-US" w:eastAsia="zh-CN"/>
              </w:rPr>
              <w:t>率</w:t>
            </w:r>
            <w:r>
              <w:rPr>
                <w:rFonts w:hint="eastAsia" w:cs="Times New Roman"/>
                <w:b/>
                <w:color w:val="auto"/>
                <w:kern w:val="0"/>
                <w:sz w:val="21"/>
                <w:szCs w:val="21"/>
                <w:highlight w:val="none"/>
                <w:lang w:val="en-US" w:eastAsia="zh-CN"/>
              </w:rPr>
              <w:t>（%）</w:t>
            </w:r>
          </w:p>
        </w:tc>
        <w:tc>
          <w:tcPr>
            <w:tcW w:w="1000" w:type="pct"/>
            <w:tcBorders>
              <w:tl2br w:val="nil"/>
              <w:tr2bl w:val="nil"/>
            </w:tcBorders>
            <w:shd w:val="clear" w:color="auto" w:fill="auto"/>
            <w:noWrap/>
            <w:vAlign w:val="center"/>
          </w:tcPr>
          <w:p w14:paraId="56D40FA4">
            <w:pPr>
              <w:spacing w:beforeLines="25" w:afterLines="25"/>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w:t>
            </w:r>
          </w:p>
        </w:tc>
        <w:tc>
          <w:tcPr>
            <w:tcW w:w="1000" w:type="pct"/>
            <w:tcBorders>
              <w:tl2br w:val="nil"/>
              <w:tr2bl w:val="nil"/>
            </w:tcBorders>
            <w:shd w:val="clear" w:color="auto" w:fill="auto"/>
            <w:noWrap/>
            <w:vAlign w:val="bottom"/>
          </w:tcPr>
          <w:p w14:paraId="030D9C7E">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8.</w:t>
            </w:r>
            <w:r>
              <w:rPr>
                <w:rFonts w:hint="default" w:ascii="Times New Roman" w:hAnsi="Times New Roman" w:cs="Times New Roman"/>
                <w:b/>
                <w:bCs/>
                <w:color w:val="auto"/>
                <w:kern w:val="0"/>
                <w:sz w:val="21"/>
                <w:szCs w:val="21"/>
                <w:highlight w:val="none"/>
                <w:lang w:val="en-US" w:eastAsia="zh-CN"/>
              </w:rPr>
              <w:t>5</w:t>
            </w:r>
          </w:p>
        </w:tc>
        <w:tc>
          <w:tcPr>
            <w:tcW w:w="1000" w:type="pct"/>
            <w:tcBorders>
              <w:tl2br w:val="nil"/>
              <w:tr2bl w:val="nil"/>
            </w:tcBorders>
            <w:shd w:val="clear" w:color="auto" w:fill="auto"/>
            <w:noWrap/>
            <w:vAlign w:val="bottom"/>
          </w:tcPr>
          <w:p w14:paraId="33FBF1C4">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45</w:t>
            </w:r>
          </w:p>
        </w:tc>
        <w:tc>
          <w:tcPr>
            <w:tcW w:w="1000" w:type="pct"/>
            <w:tcBorders>
              <w:tl2br w:val="nil"/>
              <w:tr2bl w:val="nil"/>
            </w:tcBorders>
            <w:shd w:val="clear" w:color="auto" w:fill="auto"/>
            <w:noWrap/>
            <w:vAlign w:val="bottom"/>
          </w:tcPr>
          <w:p w14:paraId="6509F9B0">
            <w:pPr>
              <w:spacing w:beforeLines="25" w:afterLines="25"/>
              <w:jc w:val="center"/>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56</w:t>
            </w:r>
            <w:r>
              <w:rPr>
                <w:rFonts w:hint="eastAsia" w:ascii="Times New Roman" w:hAnsi="Times New Roman" w:cs="Times New Roman"/>
                <w:b/>
                <w:bCs/>
                <w:color w:val="auto"/>
                <w:kern w:val="0"/>
                <w:sz w:val="21"/>
                <w:szCs w:val="21"/>
                <w:highlight w:val="none"/>
                <w:lang w:val="en-US" w:eastAsia="zh-CN"/>
              </w:rPr>
              <w:t>.3</w:t>
            </w:r>
          </w:p>
        </w:tc>
      </w:tr>
      <w:tr w14:paraId="17939D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5ED3925E">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.1</w:t>
            </w:r>
          </w:p>
        </w:tc>
        <w:tc>
          <w:tcPr>
            <w:tcW w:w="1000" w:type="pct"/>
            <w:tcBorders>
              <w:tl2br w:val="nil"/>
              <w:tr2bl w:val="nil"/>
            </w:tcBorders>
            <w:shd w:val="clear" w:color="auto" w:fill="auto"/>
            <w:noWrap/>
            <w:vAlign w:val="center"/>
          </w:tcPr>
          <w:p w14:paraId="6630D42B">
            <w:pPr>
              <w:keepNext w:val="0"/>
              <w:keepLines w:val="0"/>
              <w:widowControl/>
              <w:suppressLineNumbers w:val="0"/>
              <w:jc w:val="center"/>
              <w:textAlignment w:val="bottom"/>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1B3AAE3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c>
          <w:tcPr>
            <w:tcW w:w="1000" w:type="pct"/>
            <w:tcBorders>
              <w:tl2br w:val="nil"/>
              <w:tr2bl w:val="nil"/>
            </w:tcBorders>
            <w:shd w:val="clear" w:color="auto" w:fill="auto"/>
            <w:noWrap/>
            <w:vAlign w:val="center"/>
          </w:tcPr>
          <w:p w14:paraId="2C3D3C7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000" w:type="pct"/>
            <w:tcBorders>
              <w:tl2br w:val="nil"/>
              <w:tr2bl w:val="nil"/>
            </w:tcBorders>
            <w:shd w:val="clear" w:color="auto" w:fill="auto"/>
            <w:noWrap/>
            <w:vAlign w:val="center"/>
          </w:tcPr>
          <w:p w14:paraId="0831E76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0.028</w:t>
            </w:r>
          </w:p>
        </w:tc>
      </w:tr>
      <w:tr w14:paraId="57BE7B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870B6E3">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.2</w:t>
            </w:r>
          </w:p>
        </w:tc>
        <w:tc>
          <w:tcPr>
            <w:tcW w:w="1000" w:type="pct"/>
            <w:tcBorders>
              <w:tl2br w:val="nil"/>
              <w:tr2bl w:val="nil"/>
            </w:tcBorders>
            <w:shd w:val="clear" w:color="auto" w:fill="auto"/>
            <w:noWrap/>
            <w:vAlign w:val="center"/>
          </w:tcPr>
          <w:p w14:paraId="53DC319E">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4C03FA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1000" w:type="pct"/>
            <w:tcBorders>
              <w:tl2br w:val="nil"/>
              <w:tr2bl w:val="nil"/>
            </w:tcBorders>
            <w:shd w:val="clear" w:color="auto" w:fill="auto"/>
            <w:noWrap/>
            <w:vAlign w:val="center"/>
          </w:tcPr>
          <w:p w14:paraId="095EC69C">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4A70E1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0.036</w:t>
            </w:r>
          </w:p>
        </w:tc>
      </w:tr>
      <w:tr w14:paraId="538513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6C181BCB">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.3</w:t>
            </w:r>
          </w:p>
        </w:tc>
        <w:tc>
          <w:tcPr>
            <w:tcW w:w="1000" w:type="pct"/>
            <w:tcBorders>
              <w:tl2br w:val="nil"/>
              <w:tr2bl w:val="nil"/>
            </w:tcBorders>
            <w:shd w:val="clear" w:color="auto" w:fill="auto"/>
            <w:noWrap/>
            <w:vAlign w:val="center"/>
          </w:tcPr>
          <w:p w14:paraId="6BC6DA3E">
            <w:pPr>
              <w:keepNext w:val="0"/>
              <w:keepLines w:val="0"/>
              <w:widowControl/>
              <w:suppressLineNumbers w:val="0"/>
              <w:jc w:val="center"/>
              <w:textAlignment w:val="bottom"/>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7BC8616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6D98541B">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578860D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0.038</w:t>
            </w:r>
          </w:p>
        </w:tc>
      </w:tr>
      <w:tr w14:paraId="71DC82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72A8A1D3">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.4</w:t>
            </w:r>
          </w:p>
        </w:tc>
        <w:tc>
          <w:tcPr>
            <w:tcW w:w="1000" w:type="pct"/>
            <w:tcBorders>
              <w:tl2br w:val="nil"/>
              <w:tr2bl w:val="nil"/>
            </w:tcBorders>
            <w:shd w:val="clear" w:color="auto" w:fill="auto"/>
            <w:noWrap/>
            <w:vAlign w:val="center"/>
          </w:tcPr>
          <w:p w14:paraId="42F5701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2BDEDD6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1000" w:type="pct"/>
            <w:tcBorders>
              <w:tl2br w:val="nil"/>
              <w:tr2bl w:val="nil"/>
            </w:tcBorders>
            <w:shd w:val="clear" w:color="auto" w:fill="auto"/>
            <w:noWrap/>
            <w:vAlign w:val="center"/>
          </w:tcPr>
          <w:p w14:paraId="40805B1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18.3</w:t>
            </w:r>
          </w:p>
        </w:tc>
        <w:tc>
          <w:tcPr>
            <w:tcW w:w="1000" w:type="pct"/>
            <w:tcBorders>
              <w:tl2br w:val="nil"/>
              <w:tr2bl w:val="nil"/>
            </w:tcBorders>
            <w:shd w:val="clear" w:color="auto" w:fill="auto"/>
            <w:noWrap/>
            <w:vAlign w:val="center"/>
          </w:tcPr>
          <w:p w14:paraId="7C5DF96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0.064</w:t>
            </w:r>
          </w:p>
        </w:tc>
      </w:tr>
      <w:tr w14:paraId="364908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ADB565C">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.5</w:t>
            </w:r>
          </w:p>
        </w:tc>
        <w:tc>
          <w:tcPr>
            <w:tcW w:w="1000" w:type="pct"/>
            <w:tcBorders>
              <w:tl2br w:val="nil"/>
              <w:tr2bl w:val="nil"/>
            </w:tcBorders>
            <w:shd w:val="clear" w:color="auto" w:fill="auto"/>
            <w:noWrap/>
            <w:vAlign w:val="center"/>
          </w:tcPr>
          <w:p w14:paraId="1F96D57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101964E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292FA1B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53FF17E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0.045</w:t>
            </w:r>
          </w:p>
        </w:tc>
      </w:tr>
      <w:tr w14:paraId="5B28B1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B4D7648">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.6</w:t>
            </w:r>
          </w:p>
        </w:tc>
        <w:tc>
          <w:tcPr>
            <w:tcW w:w="1000" w:type="pct"/>
            <w:tcBorders>
              <w:tl2br w:val="nil"/>
              <w:tr2bl w:val="nil"/>
            </w:tcBorders>
            <w:shd w:val="clear" w:color="auto" w:fill="auto"/>
            <w:noWrap/>
            <w:vAlign w:val="center"/>
          </w:tcPr>
          <w:p w14:paraId="1AFB3879">
            <w:pPr>
              <w:keepNext w:val="0"/>
              <w:keepLines w:val="0"/>
              <w:widowControl/>
              <w:suppressLineNumbers w:val="0"/>
              <w:jc w:val="center"/>
              <w:textAlignment w:val="bottom"/>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1A6B113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1000" w:type="pct"/>
            <w:tcBorders>
              <w:tl2br w:val="nil"/>
              <w:tr2bl w:val="nil"/>
            </w:tcBorders>
            <w:shd w:val="clear" w:color="auto" w:fill="auto"/>
            <w:noWrap/>
            <w:vAlign w:val="center"/>
          </w:tcPr>
          <w:p w14:paraId="64DA8DA7">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6EB3271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0.064</w:t>
            </w:r>
          </w:p>
        </w:tc>
      </w:tr>
      <w:tr w14:paraId="0F58F9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4371AED">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.7</w:t>
            </w:r>
          </w:p>
        </w:tc>
        <w:tc>
          <w:tcPr>
            <w:tcW w:w="1000" w:type="pct"/>
            <w:tcBorders>
              <w:tl2br w:val="nil"/>
              <w:tr2bl w:val="nil"/>
            </w:tcBorders>
            <w:shd w:val="clear" w:color="auto" w:fill="auto"/>
            <w:noWrap/>
            <w:vAlign w:val="center"/>
          </w:tcPr>
          <w:p w14:paraId="3181B520">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3BF0E5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7403D3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000" w:type="pct"/>
            <w:tcBorders>
              <w:tl2br w:val="nil"/>
              <w:tr2bl w:val="nil"/>
            </w:tcBorders>
            <w:shd w:val="clear" w:color="auto" w:fill="auto"/>
            <w:noWrap/>
            <w:vAlign w:val="center"/>
          </w:tcPr>
          <w:p w14:paraId="7FC59D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0.058</w:t>
            </w:r>
          </w:p>
        </w:tc>
      </w:tr>
      <w:tr w14:paraId="103C36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5679F1DB">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.8</w:t>
            </w:r>
          </w:p>
        </w:tc>
        <w:tc>
          <w:tcPr>
            <w:tcW w:w="1000" w:type="pct"/>
            <w:tcBorders>
              <w:tl2br w:val="nil"/>
              <w:tr2bl w:val="nil"/>
            </w:tcBorders>
            <w:shd w:val="clear" w:color="auto" w:fill="auto"/>
            <w:noWrap/>
            <w:vAlign w:val="center"/>
          </w:tcPr>
          <w:p w14:paraId="5555886E">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748177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1000" w:type="pct"/>
            <w:tcBorders>
              <w:tl2br w:val="nil"/>
              <w:tr2bl w:val="nil"/>
            </w:tcBorders>
            <w:shd w:val="clear" w:color="auto" w:fill="auto"/>
            <w:noWrap/>
            <w:vAlign w:val="center"/>
          </w:tcPr>
          <w:p w14:paraId="3F9CF970">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7F08AA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0.043</w:t>
            </w:r>
          </w:p>
        </w:tc>
      </w:tr>
      <w:tr w14:paraId="3306C4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13D8557D">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.9</w:t>
            </w:r>
          </w:p>
        </w:tc>
        <w:tc>
          <w:tcPr>
            <w:tcW w:w="1000" w:type="pct"/>
            <w:tcBorders>
              <w:tl2br w:val="nil"/>
              <w:tr2bl w:val="nil"/>
            </w:tcBorders>
            <w:shd w:val="clear" w:color="auto" w:fill="auto"/>
            <w:noWrap/>
            <w:vAlign w:val="center"/>
          </w:tcPr>
          <w:p w14:paraId="5F1F6405">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578D7A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c>
          <w:tcPr>
            <w:tcW w:w="1000" w:type="pct"/>
            <w:tcBorders>
              <w:tl2br w:val="nil"/>
              <w:tr2bl w:val="nil"/>
            </w:tcBorders>
            <w:shd w:val="clear" w:color="auto" w:fill="auto"/>
            <w:noWrap/>
            <w:vAlign w:val="center"/>
          </w:tcPr>
          <w:p w14:paraId="31980B1E">
            <w:pPr>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0FBA9D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0.047</w:t>
            </w:r>
          </w:p>
        </w:tc>
      </w:tr>
      <w:tr w14:paraId="3E369E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1277C86C">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.10</w:t>
            </w:r>
          </w:p>
        </w:tc>
        <w:tc>
          <w:tcPr>
            <w:tcW w:w="1000" w:type="pct"/>
            <w:tcBorders>
              <w:tl2br w:val="nil"/>
              <w:tr2bl w:val="nil"/>
            </w:tcBorders>
            <w:shd w:val="clear" w:color="auto" w:fill="auto"/>
            <w:noWrap/>
            <w:vAlign w:val="center"/>
          </w:tcPr>
          <w:p w14:paraId="6B68967C">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27AFB4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0.11</w:t>
            </w:r>
          </w:p>
        </w:tc>
        <w:tc>
          <w:tcPr>
            <w:tcW w:w="1000" w:type="pct"/>
            <w:tcBorders>
              <w:tl2br w:val="nil"/>
              <w:tr2bl w:val="nil"/>
            </w:tcBorders>
            <w:shd w:val="clear" w:color="auto" w:fill="auto"/>
            <w:noWrap/>
            <w:vAlign w:val="center"/>
          </w:tcPr>
          <w:p w14:paraId="08D757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000" w:type="pct"/>
            <w:tcBorders>
              <w:tl2br w:val="nil"/>
              <w:tr2bl w:val="nil"/>
            </w:tcBorders>
            <w:shd w:val="clear" w:color="auto" w:fill="auto"/>
            <w:noWrap/>
            <w:vAlign w:val="center"/>
          </w:tcPr>
          <w:p w14:paraId="01520A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0.062</w:t>
            </w:r>
          </w:p>
        </w:tc>
      </w:tr>
      <w:tr w14:paraId="610EA0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1E07620D">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.11</w:t>
            </w:r>
          </w:p>
        </w:tc>
        <w:tc>
          <w:tcPr>
            <w:tcW w:w="1000" w:type="pct"/>
            <w:tcBorders>
              <w:tl2br w:val="nil"/>
              <w:tr2bl w:val="nil"/>
            </w:tcBorders>
            <w:shd w:val="clear" w:color="auto" w:fill="auto"/>
            <w:noWrap/>
            <w:vAlign w:val="center"/>
          </w:tcPr>
          <w:p w14:paraId="1B3B6C92">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107D0D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1000" w:type="pct"/>
            <w:tcBorders>
              <w:tl2br w:val="nil"/>
              <w:tr2bl w:val="nil"/>
            </w:tcBorders>
            <w:shd w:val="clear" w:color="auto" w:fill="auto"/>
            <w:noWrap/>
            <w:vAlign w:val="center"/>
          </w:tcPr>
          <w:p w14:paraId="619D76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000" w:type="pct"/>
            <w:tcBorders>
              <w:tl2br w:val="nil"/>
              <w:tr2bl w:val="nil"/>
            </w:tcBorders>
            <w:shd w:val="clear" w:color="auto" w:fill="auto"/>
            <w:noWrap/>
            <w:vAlign w:val="center"/>
          </w:tcPr>
          <w:p w14:paraId="1E517A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0.069</w:t>
            </w:r>
          </w:p>
        </w:tc>
      </w:tr>
      <w:tr w14:paraId="0ABAAC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F877700">
            <w:pPr>
              <w:spacing w:beforeLines="25" w:afterLines="25"/>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4</w:t>
            </w:r>
            <w:r>
              <w:rPr>
                <w:rFonts w:ascii="Times New Roman" w:hAnsi="Times New Roman" w:cs="Times New Roman"/>
                <w:color w:val="auto"/>
                <w:kern w:val="0"/>
                <w:sz w:val="21"/>
                <w:szCs w:val="21"/>
                <w:highlight w:val="none"/>
              </w:rPr>
              <w:t>.12</w:t>
            </w:r>
          </w:p>
        </w:tc>
        <w:tc>
          <w:tcPr>
            <w:tcW w:w="1000" w:type="pct"/>
            <w:tcBorders>
              <w:tl2br w:val="nil"/>
              <w:tr2bl w:val="nil"/>
            </w:tcBorders>
            <w:shd w:val="clear" w:color="auto" w:fill="auto"/>
            <w:noWrap/>
            <w:vAlign w:val="center"/>
          </w:tcPr>
          <w:p w14:paraId="5AD09826">
            <w:pPr>
              <w:keepNext w:val="0"/>
              <w:keepLines w:val="0"/>
              <w:widowControl/>
              <w:suppressLineNumbers w:val="0"/>
              <w:jc w:val="center"/>
              <w:textAlignment w:val="center"/>
              <w:rPr>
                <w:rFonts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466C89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1000" w:type="pct"/>
            <w:tcBorders>
              <w:tl2br w:val="nil"/>
              <w:tr2bl w:val="nil"/>
            </w:tcBorders>
            <w:shd w:val="clear" w:color="auto" w:fill="auto"/>
            <w:noWrap/>
            <w:vAlign w:val="center"/>
          </w:tcPr>
          <w:p w14:paraId="25F7FB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000" w:type="pct"/>
            <w:tcBorders>
              <w:tl2br w:val="nil"/>
              <w:tr2bl w:val="nil"/>
            </w:tcBorders>
            <w:shd w:val="clear" w:color="auto" w:fill="auto"/>
            <w:noWrap/>
            <w:vAlign w:val="center"/>
          </w:tcPr>
          <w:p w14:paraId="20F6D8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0.019</w:t>
            </w:r>
          </w:p>
        </w:tc>
      </w:tr>
      <w:tr w14:paraId="32EDFC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6C780FA">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b/>
                <w:color w:val="auto"/>
                <w:kern w:val="0"/>
                <w:sz w:val="21"/>
                <w:szCs w:val="21"/>
                <w:highlight w:val="none"/>
              </w:rPr>
              <w:t>年均值</w:t>
            </w:r>
          </w:p>
        </w:tc>
        <w:tc>
          <w:tcPr>
            <w:tcW w:w="1000" w:type="pct"/>
            <w:tcBorders>
              <w:tl2br w:val="nil"/>
              <w:tr2bl w:val="nil"/>
            </w:tcBorders>
            <w:shd w:val="clear" w:color="auto" w:fill="auto"/>
            <w:noWrap/>
            <w:vAlign w:val="center"/>
          </w:tcPr>
          <w:p w14:paraId="253D39A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8</w:t>
            </w:r>
          </w:p>
        </w:tc>
        <w:tc>
          <w:tcPr>
            <w:tcW w:w="1000" w:type="pct"/>
            <w:tcBorders>
              <w:tl2br w:val="nil"/>
              <w:tr2bl w:val="nil"/>
            </w:tcBorders>
            <w:shd w:val="clear" w:color="auto" w:fill="auto"/>
            <w:noWrap/>
            <w:vAlign w:val="center"/>
          </w:tcPr>
          <w:p w14:paraId="194DB04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0.0475</w:t>
            </w:r>
          </w:p>
        </w:tc>
        <w:tc>
          <w:tcPr>
            <w:tcW w:w="1000" w:type="pct"/>
            <w:tcBorders>
              <w:tl2br w:val="nil"/>
              <w:tr2bl w:val="nil"/>
            </w:tcBorders>
            <w:shd w:val="clear" w:color="auto" w:fill="auto"/>
            <w:noWrap/>
            <w:vAlign w:val="center"/>
          </w:tcPr>
          <w:p w14:paraId="24C0C23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6.05</w:t>
            </w:r>
          </w:p>
        </w:tc>
        <w:tc>
          <w:tcPr>
            <w:tcW w:w="1000" w:type="pct"/>
            <w:tcBorders>
              <w:tl2br w:val="nil"/>
              <w:tr2bl w:val="nil"/>
            </w:tcBorders>
            <w:shd w:val="clear" w:color="auto" w:fill="auto"/>
            <w:noWrap/>
            <w:vAlign w:val="center"/>
          </w:tcPr>
          <w:p w14:paraId="31CA7CF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0.047</w:t>
            </w:r>
            <w:r>
              <w:rPr>
                <w:rFonts w:hint="eastAsia" w:ascii="Times New Roman" w:hAnsi="Times New Roman" w:eastAsia="宋体" w:cs="Times New Roman"/>
                <w:b/>
                <w:bCs/>
                <w:i w:val="0"/>
                <w:iCs w:val="0"/>
                <w:color w:val="auto"/>
                <w:kern w:val="0"/>
                <w:sz w:val="21"/>
                <w:szCs w:val="21"/>
                <w:highlight w:val="none"/>
                <w:u w:val="none"/>
                <w:lang w:val="en-US" w:eastAsia="zh-CN" w:bidi="ar"/>
              </w:rPr>
              <w:t>8</w:t>
            </w:r>
          </w:p>
        </w:tc>
      </w:tr>
      <w:tr w14:paraId="3F0887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627DDA98">
            <w:pPr>
              <w:spacing w:beforeLines="25" w:afterLines="25"/>
              <w:jc w:val="center"/>
              <w:rPr>
                <w:rFonts w:ascii="Times New Roman" w:hAnsi="Times New Roman" w:cs="Times New Roman"/>
                <w:b/>
                <w:color w:val="auto"/>
                <w:kern w:val="0"/>
                <w:sz w:val="21"/>
                <w:szCs w:val="21"/>
                <w:highlight w:val="none"/>
              </w:rPr>
            </w:pPr>
            <w:r>
              <w:rPr>
                <w:rFonts w:hint="eastAsia" w:ascii="Times New Roman" w:hAnsi="Times New Roman" w:cs="Times New Roman"/>
                <w:b/>
                <w:color w:val="auto"/>
                <w:kern w:val="0"/>
                <w:sz w:val="21"/>
                <w:szCs w:val="21"/>
                <w:highlight w:val="none"/>
                <w:lang w:val="en-US" w:eastAsia="zh-CN"/>
              </w:rPr>
              <w:t>占</w:t>
            </w:r>
            <w:r>
              <w:rPr>
                <w:rFonts w:hint="eastAsia" w:cs="Times New Roman"/>
                <w:b/>
                <w:color w:val="auto"/>
                <w:kern w:val="0"/>
                <w:sz w:val="21"/>
                <w:szCs w:val="21"/>
                <w:highlight w:val="none"/>
                <w:lang w:val="en-US" w:eastAsia="zh-CN"/>
              </w:rPr>
              <w:t>标</w:t>
            </w:r>
            <w:r>
              <w:rPr>
                <w:rFonts w:hint="eastAsia" w:ascii="Times New Roman" w:hAnsi="Times New Roman" w:cs="Times New Roman"/>
                <w:b/>
                <w:color w:val="auto"/>
                <w:kern w:val="0"/>
                <w:sz w:val="21"/>
                <w:szCs w:val="21"/>
                <w:highlight w:val="none"/>
                <w:lang w:val="en-US" w:eastAsia="zh-CN"/>
              </w:rPr>
              <w:t>率</w:t>
            </w:r>
            <w:r>
              <w:rPr>
                <w:rFonts w:hint="eastAsia" w:cs="Times New Roman"/>
                <w:b/>
                <w:color w:val="auto"/>
                <w:kern w:val="0"/>
                <w:sz w:val="21"/>
                <w:szCs w:val="21"/>
                <w:highlight w:val="none"/>
                <w:lang w:val="en-US" w:eastAsia="zh-CN"/>
              </w:rPr>
              <w:t>（%）</w:t>
            </w:r>
          </w:p>
        </w:tc>
        <w:tc>
          <w:tcPr>
            <w:tcW w:w="1000" w:type="pct"/>
            <w:tcBorders>
              <w:tl2br w:val="nil"/>
              <w:tr2bl w:val="nil"/>
            </w:tcBorders>
            <w:shd w:val="clear" w:color="auto" w:fill="auto"/>
            <w:noWrap/>
            <w:vAlign w:val="center"/>
          </w:tcPr>
          <w:p w14:paraId="4181D9F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w:t>
            </w:r>
          </w:p>
        </w:tc>
        <w:tc>
          <w:tcPr>
            <w:tcW w:w="1000" w:type="pct"/>
            <w:tcBorders>
              <w:tl2br w:val="nil"/>
              <w:tr2bl w:val="nil"/>
            </w:tcBorders>
            <w:shd w:val="clear" w:color="auto" w:fill="auto"/>
            <w:noWrap/>
            <w:vAlign w:val="center"/>
          </w:tcPr>
          <w:p w14:paraId="25951C0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9</w:t>
            </w:r>
            <w:r>
              <w:rPr>
                <w:rFonts w:hint="eastAsia" w:ascii="Times New Roman" w:hAnsi="Times New Roman" w:eastAsia="宋体" w:cs="Times New Roman"/>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5</w:t>
            </w:r>
          </w:p>
        </w:tc>
        <w:tc>
          <w:tcPr>
            <w:tcW w:w="1000" w:type="pct"/>
            <w:tcBorders>
              <w:tl2br w:val="nil"/>
              <w:tr2bl w:val="nil"/>
            </w:tcBorders>
            <w:shd w:val="clear" w:color="auto" w:fill="auto"/>
            <w:noWrap/>
            <w:vAlign w:val="center"/>
          </w:tcPr>
          <w:p w14:paraId="44E02AC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40</w:t>
            </w:r>
            <w:r>
              <w:rPr>
                <w:rFonts w:hint="eastAsia" w:ascii="Times New Roman" w:hAnsi="Times New Roman" w:eastAsia="宋体" w:cs="Times New Roman"/>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3</w:t>
            </w:r>
          </w:p>
        </w:tc>
        <w:tc>
          <w:tcPr>
            <w:tcW w:w="1000" w:type="pct"/>
            <w:tcBorders>
              <w:tl2br w:val="nil"/>
              <w:tr2bl w:val="nil"/>
            </w:tcBorders>
            <w:shd w:val="clear" w:color="auto" w:fill="auto"/>
            <w:noWrap/>
            <w:vAlign w:val="center"/>
          </w:tcPr>
          <w:p w14:paraId="649983A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47</w:t>
            </w:r>
            <w:r>
              <w:rPr>
                <w:rFonts w:hint="eastAsia" w:ascii="Times New Roman" w:hAnsi="Times New Roman" w:eastAsia="宋体" w:cs="Times New Roman"/>
                <w:b/>
                <w:bCs/>
                <w:i w:val="0"/>
                <w:iCs w:val="0"/>
                <w:color w:val="auto"/>
                <w:kern w:val="0"/>
                <w:sz w:val="21"/>
                <w:szCs w:val="21"/>
                <w:highlight w:val="none"/>
                <w:u w:val="none"/>
                <w:lang w:val="en-US" w:eastAsia="zh-CN" w:bidi="ar"/>
              </w:rPr>
              <w:t>.8</w:t>
            </w:r>
          </w:p>
        </w:tc>
      </w:tr>
      <w:tr w14:paraId="0760D6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31E6E17">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.1</w:t>
            </w:r>
          </w:p>
        </w:tc>
        <w:tc>
          <w:tcPr>
            <w:tcW w:w="1000" w:type="pct"/>
            <w:tcBorders>
              <w:tl2br w:val="nil"/>
              <w:tr2bl w:val="nil"/>
            </w:tcBorders>
            <w:shd w:val="clear" w:color="auto" w:fill="auto"/>
            <w:noWrap/>
            <w:vAlign w:val="center"/>
          </w:tcPr>
          <w:p w14:paraId="01F4C8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1000" w:type="pct"/>
            <w:tcBorders>
              <w:tl2br w:val="nil"/>
              <w:tr2bl w:val="nil"/>
            </w:tcBorders>
            <w:shd w:val="clear" w:color="auto" w:fill="auto"/>
            <w:noWrap/>
            <w:vAlign w:val="center"/>
          </w:tcPr>
          <w:p w14:paraId="21265A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0.470</w:t>
            </w:r>
          </w:p>
        </w:tc>
        <w:tc>
          <w:tcPr>
            <w:tcW w:w="1000" w:type="pct"/>
            <w:tcBorders>
              <w:tl2br w:val="nil"/>
              <w:tr2bl w:val="nil"/>
            </w:tcBorders>
            <w:shd w:val="clear" w:color="auto" w:fill="auto"/>
            <w:noWrap/>
            <w:vAlign w:val="center"/>
          </w:tcPr>
          <w:p w14:paraId="777B19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000" w:type="pct"/>
            <w:tcBorders>
              <w:tl2br w:val="nil"/>
              <w:tr2bl w:val="nil"/>
            </w:tcBorders>
            <w:shd w:val="clear" w:color="auto" w:fill="auto"/>
            <w:noWrap/>
            <w:vAlign w:val="center"/>
          </w:tcPr>
          <w:p w14:paraId="67C4F9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0.085</w:t>
            </w:r>
          </w:p>
        </w:tc>
      </w:tr>
      <w:tr w14:paraId="6C4AED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42AAB5C7">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.2</w:t>
            </w:r>
          </w:p>
        </w:tc>
        <w:tc>
          <w:tcPr>
            <w:tcW w:w="1000" w:type="pct"/>
            <w:tcBorders>
              <w:tl2br w:val="nil"/>
              <w:tr2bl w:val="nil"/>
            </w:tcBorders>
            <w:shd w:val="clear" w:color="auto" w:fill="auto"/>
            <w:noWrap/>
            <w:vAlign w:val="center"/>
          </w:tcPr>
          <w:p w14:paraId="2314620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w:t>
            </w:r>
          </w:p>
        </w:tc>
        <w:tc>
          <w:tcPr>
            <w:tcW w:w="1000" w:type="pct"/>
            <w:tcBorders>
              <w:tl2br w:val="nil"/>
              <w:tr2bl w:val="nil"/>
            </w:tcBorders>
            <w:shd w:val="clear" w:color="auto" w:fill="auto"/>
            <w:noWrap/>
            <w:vAlign w:val="center"/>
          </w:tcPr>
          <w:p w14:paraId="14D5FD7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0.041</w:t>
            </w:r>
          </w:p>
        </w:tc>
        <w:tc>
          <w:tcPr>
            <w:tcW w:w="1000" w:type="pct"/>
            <w:tcBorders>
              <w:tl2br w:val="nil"/>
              <w:tr2bl w:val="nil"/>
            </w:tcBorders>
            <w:shd w:val="clear" w:color="auto" w:fill="auto"/>
            <w:noWrap/>
            <w:vAlign w:val="center"/>
          </w:tcPr>
          <w:p w14:paraId="4633FD89">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4L</w:t>
            </w:r>
          </w:p>
        </w:tc>
        <w:tc>
          <w:tcPr>
            <w:tcW w:w="1000" w:type="pct"/>
            <w:tcBorders>
              <w:tl2br w:val="nil"/>
              <w:tr2bl w:val="nil"/>
            </w:tcBorders>
            <w:shd w:val="clear" w:color="auto" w:fill="auto"/>
            <w:noWrap/>
            <w:vAlign w:val="center"/>
          </w:tcPr>
          <w:p w14:paraId="6542ACD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0.025</w:t>
            </w:r>
          </w:p>
        </w:tc>
      </w:tr>
      <w:tr w14:paraId="38356E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73ED5E94">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.3</w:t>
            </w:r>
          </w:p>
        </w:tc>
        <w:tc>
          <w:tcPr>
            <w:tcW w:w="1000" w:type="pct"/>
            <w:tcBorders>
              <w:tl2br w:val="nil"/>
              <w:tr2bl w:val="nil"/>
            </w:tcBorders>
            <w:shd w:val="clear" w:color="auto" w:fill="auto"/>
            <w:noWrap/>
            <w:vAlign w:val="center"/>
          </w:tcPr>
          <w:p w14:paraId="5C2F80D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1000" w:type="pct"/>
            <w:tcBorders>
              <w:tl2br w:val="nil"/>
              <w:tr2bl w:val="nil"/>
            </w:tcBorders>
            <w:shd w:val="clear" w:color="auto" w:fill="auto"/>
            <w:noWrap/>
            <w:vAlign w:val="center"/>
          </w:tcPr>
          <w:p w14:paraId="21D1701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0.101</w:t>
            </w:r>
          </w:p>
        </w:tc>
        <w:tc>
          <w:tcPr>
            <w:tcW w:w="1000" w:type="pct"/>
            <w:tcBorders>
              <w:tl2br w:val="nil"/>
              <w:tr2bl w:val="nil"/>
            </w:tcBorders>
            <w:shd w:val="clear" w:color="auto" w:fill="auto"/>
            <w:noWrap/>
            <w:vAlign w:val="center"/>
          </w:tcPr>
          <w:p w14:paraId="5FF89C66">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000" w:type="pct"/>
            <w:tcBorders>
              <w:tl2br w:val="nil"/>
              <w:tr2bl w:val="nil"/>
            </w:tcBorders>
            <w:shd w:val="clear" w:color="auto" w:fill="auto"/>
            <w:noWrap/>
            <w:vAlign w:val="center"/>
          </w:tcPr>
          <w:p w14:paraId="089DA50E">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0.045</w:t>
            </w:r>
          </w:p>
        </w:tc>
      </w:tr>
      <w:tr w14:paraId="57631E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3D2B50A">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.4</w:t>
            </w:r>
          </w:p>
        </w:tc>
        <w:tc>
          <w:tcPr>
            <w:tcW w:w="1000" w:type="pct"/>
            <w:tcBorders>
              <w:tl2br w:val="nil"/>
              <w:tr2bl w:val="nil"/>
            </w:tcBorders>
            <w:shd w:val="clear" w:color="auto" w:fill="auto"/>
            <w:noWrap/>
            <w:vAlign w:val="center"/>
          </w:tcPr>
          <w:p w14:paraId="3BB464D6">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w:t>
            </w:r>
          </w:p>
        </w:tc>
        <w:tc>
          <w:tcPr>
            <w:tcW w:w="1000" w:type="pct"/>
            <w:tcBorders>
              <w:tl2br w:val="nil"/>
              <w:tr2bl w:val="nil"/>
            </w:tcBorders>
            <w:shd w:val="clear" w:color="auto" w:fill="auto"/>
            <w:noWrap/>
            <w:vAlign w:val="center"/>
          </w:tcPr>
          <w:p w14:paraId="15E1F2A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0.125</w:t>
            </w:r>
          </w:p>
        </w:tc>
        <w:tc>
          <w:tcPr>
            <w:tcW w:w="1000" w:type="pct"/>
            <w:tcBorders>
              <w:tl2br w:val="nil"/>
              <w:tr2bl w:val="nil"/>
            </w:tcBorders>
            <w:shd w:val="clear" w:color="auto" w:fill="auto"/>
            <w:noWrap/>
            <w:vAlign w:val="center"/>
          </w:tcPr>
          <w:p w14:paraId="392EC9F5">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000" w:type="pct"/>
            <w:tcBorders>
              <w:tl2br w:val="nil"/>
              <w:tr2bl w:val="nil"/>
            </w:tcBorders>
            <w:shd w:val="clear" w:color="auto" w:fill="auto"/>
            <w:noWrap/>
            <w:vAlign w:val="center"/>
          </w:tcPr>
          <w:p w14:paraId="1B6945A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r>
      <w:tr w14:paraId="6C3F42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22533EE">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.5</w:t>
            </w:r>
          </w:p>
        </w:tc>
        <w:tc>
          <w:tcPr>
            <w:tcW w:w="1000" w:type="pct"/>
            <w:tcBorders>
              <w:tl2br w:val="nil"/>
              <w:tr2bl w:val="nil"/>
            </w:tcBorders>
            <w:shd w:val="clear" w:color="auto" w:fill="auto"/>
            <w:noWrap/>
            <w:vAlign w:val="center"/>
          </w:tcPr>
          <w:p w14:paraId="67C19D9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7.6</w:t>
            </w:r>
          </w:p>
        </w:tc>
        <w:tc>
          <w:tcPr>
            <w:tcW w:w="1000" w:type="pct"/>
            <w:tcBorders>
              <w:tl2br w:val="nil"/>
              <w:tr2bl w:val="nil"/>
            </w:tcBorders>
            <w:shd w:val="clear" w:color="auto" w:fill="auto"/>
            <w:noWrap/>
            <w:vAlign w:val="center"/>
          </w:tcPr>
          <w:p w14:paraId="45B705D7">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0.084</w:t>
            </w:r>
          </w:p>
        </w:tc>
        <w:tc>
          <w:tcPr>
            <w:tcW w:w="1000" w:type="pct"/>
            <w:tcBorders>
              <w:tl2br w:val="nil"/>
              <w:tr2bl w:val="nil"/>
            </w:tcBorders>
            <w:shd w:val="clear" w:color="auto" w:fill="auto"/>
            <w:noWrap/>
            <w:vAlign w:val="center"/>
          </w:tcPr>
          <w:p w14:paraId="3ACFEB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000" w:type="pct"/>
            <w:tcBorders>
              <w:tl2br w:val="nil"/>
              <w:tr2bl w:val="nil"/>
            </w:tcBorders>
            <w:shd w:val="clear" w:color="auto" w:fill="auto"/>
            <w:noWrap/>
            <w:vAlign w:val="center"/>
          </w:tcPr>
          <w:p w14:paraId="399EEE07">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0.031</w:t>
            </w:r>
          </w:p>
        </w:tc>
      </w:tr>
      <w:tr w14:paraId="143ADF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5BDE7D48">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.6</w:t>
            </w:r>
          </w:p>
        </w:tc>
        <w:tc>
          <w:tcPr>
            <w:tcW w:w="1000" w:type="pct"/>
            <w:tcBorders>
              <w:tl2br w:val="nil"/>
              <w:tr2bl w:val="nil"/>
            </w:tcBorders>
            <w:shd w:val="clear" w:color="auto" w:fill="auto"/>
            <w:noWrap/>
            <w:vAlign w:val="center"/>
          </w:tcPr>
          <w:p w14:paraId="10AB506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w:t>
            </w:r>
          </w:p>
        </w:tc>
        <w:tc>
          <w:tcPr>
            <w:tcW w:w="1000" w:type="pct"/>
            <w:tcBorders>
              <w:tl2br w:val="nil"/>
              <w:tr2bl w:val="nil"/>
            </w:tcBorders>
            <w:shd w:val="clear" w:color="auto" w:fill="auto"/>
            <w:noWrap/>
            <w:vAlign w:val="center"/>
          </w:tcPr>
          <w:p w14:paraId="49CD082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0.376</w:t>
            </w:r>
          </w:p>
        </w:tc>
        <w:tc>
          <w:tcPr>
            <w:tcW w:w="1000" w:type="pct"/>
            <w:tcBorders>
              <w:tl2br w:val="nil"/>
              <w:tr2bl w:val="nil"/>
            </w:tcBorders>
            <w:shd w:val="clear" w:color="auto" w:fill="auto"/>
            <w:noWrap/>
            <w:vAlign w:val="center"/>
          </w:tcPr>
          <w:p w14:paraId="2BA607A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000" w:type="pct"/>
            <w:tcBorders>
              <w:tl2br w:val="nil"/>
              <w:tr2bl w:val="nil"/>
            </w:tcBorders>
            <w:shd w:val="clear" w:color="auto" w:fill="auto"/>
            <w:noWrap/>
            <w:vAlign w:val="center"/>
          </w:tcPr>
          <w:p w14:paraId="11F187A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r>
      <w:tr w14:paraId="70E902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343EBF85">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.7</w:t>
            </w:r>
          </w:p>
        </w:tc>
        <w:tc>
          <w:tcPr>
            <w:tcW w:w="1000" w:type="pct"/>
            <w:tcBorders>
              <w:tl2br w:val="nil"/>
              <w:tr2bl w:val="nil"/>
            </w:tcBorders>
            <w:shd w:val="clear" w:color="auto" w:fill="auto"/>
            <w:noWrap/>
            <w:vAlign w:val="center"/>
          </w:tcPr>
          <w:p w14:paraId="743A0937">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1000" w:type="pct"/>
            <w:tcBorders>
              <w:tl2br w:val="nil"/>
              <w:tr2bl w:val="nil"/>
            </w:tcBorders>
            <w:shd w:val="clear" w:color="auto" w:fill="auto"/>
            <w:noWrap/>
            <w:vAlign w:val="center"/>
          </w:tcPr>
          <w:p w14:paraId="3FAEB9C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0.146</w:t>
            </w:r>
          </w:p>
        </w:tc>
        <w:tc>
          <w:tcPr>
            <w:tcW w:w="1000" w:type="pct"/>
            <w:tcBorders>
              <w:tl2br w:val="nil"/>
              <w:tr2bl w:val="nil"/>
            </w:tcBorders>
            <w:shd w:val="clear" w:color="auto" w:fill="auto"/>
            <w:noWrap/>
            <w:vAlign w:val="center"/>
          </w:tcPr>
          <w:p w14:paraId="7DE29EF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000" w:type="pct"/>
            <w:tcBorders>
              <w:tl2br w:val="nil"/>
              <w:tr2bl w:val="nil"/>
            </w:tcBorders>
            <w:shd w:val="clear" w:color="auto" w:fill="auto"/>
            <w:noWrap/>
            <w:vAlign w:val="center"/>
          </w:tcPr>
          <w:p w14:paraId="138DB039">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r>
      <w:tr w14:paraId="4869D8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525EF5E8">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.8</w:t>
            </w:r>
          </w:p>
        </w:tc>
        <w:tc>
          <w:tcPr>
            <w:tcW w:w="1000" w:type="pct"/>
            <w:tcBorders>
              <w:tl2br w:val="nil"/>
              <w:tr2bl w:val="nil"/>
            </w:tcBorders>
            <w:shd w:val="clear" w:color="auto" w:fill="auto"/>
            <w:noWrap/>
            <w:vAlign w:val="center"/>
          </w:tcPr>
          <w:p w14:paraId="0363594B">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7.3</w:t>
            </w:r>
          </w:p>
        </w:tc>
        <w:tc>
          <w:tcPr>
            <w:tcW w:w="1000" w:type="pct"/>
            <w:tcBorders>
              <w:tl2br w:val="nil"/>
              <w:tr2bl w:val="nil"/>
            </w:tcBorders>
            <w:shd w:val="clear" w:color="auto" w:fill="auto"/>
            <w:noWrap/>
            <w:vAlign w:val="center"/>
          </w:tcPr>
          <w:p w14:paraId="70462AE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0.398</w:t>
            </w:r>
          </w:p>
        </w:tc>
        <w:tc>
          <w:tcPr>
            <w:tcW w:w="1000" w:type="pct"/>
            <w:tcBorders>
              <w:tl2br w:val="nil"/>
              <w:tr2bl w:val="nil"/>
            </w:tcBorders>
            <w:shd w:val="clear" w:color="auto" w:fill="auto"/>
            <w:noWrap/>
            <w:vAlign w:val="center"/>
          </w:tcPr>
          <w:p w14:paraId="70B6A82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000" w:type="pct"/>
            <w:tcBorders>
              <w:tl2br w:val="nil"/>
              <w:tr2bl w:val="nil"/>
            </w:tcBorders>
            <w:shd w:val="clear" w:color="auto" w:fill="auto"/>
            <w:noWrap/>
            <w:vAlign w:val="center"/>
          </w:tcPr>
          <w:p w14:paraId="013D7069">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0.066</w:t>
            </w:r>
          </w:p>
        </w:tc>
      </w:tr>
      <w:tr w14:paraId="695DE0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580D57CB">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.9</w:t>
            </w:r>
          </w:p>
        </w:tc>
        <w:tc>
          <w:tcPr>
            <w:tcW w:w="1000" w:type="pct"/>
            <w:tcBorders>
              <w:tl2br w:val="nil"/>
              <w:tr2bl w:val="nil"/>
            </w:tcBorders>
            <w:shd w:val="clear" w:color="auto" w:fill="auto"/>
            <w:noWrap/>
            <w:vAlign w:val="center"/>
          </w:tcPr>
          <w:p w14:paraId="3E955E2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w:t>
            </w:r>
          </w:p>
        </w:tc>
        <w:tc>
          <w:tcPr>
            <w:tcW w:w="1000" w:type="pct"/>
            <w:tcBorders>
              <w:tl2br w:val="nil"/>
              <w:tr2bl w:val="nil"/>
            </w:tcBorders>
            <w:shd w:val="clear" w:color="auto" w:fill="auto"/>
            <w:noWrap/>
            <w:vAlign w:val="center"/>
          </w:tcPr>
          <w:p w14:paraId="49AE39A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0.034</w:t>
            </w:r>
          </w:p>
        </w:tc>
        <w:tc>
          <w:tcPr>
            <w:tcW w:w="1000" w:type="pct"/>
            <w:tcBorders>
              <w:tl2br w:val="nil"/>
              <w:tr2bl w:val="nil"/>
            </w:tcBorders>
            <w:shd w:val="clear" w:color="auto" w:fill="auto"/>
            <w:noWrap/>
            <w:vAlign w:val="center"/>
          </w:tcPr>
          <w:p w14:paraId="10F958F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4L</w:t>
            </w:r>
          </w:p>
        </w:tc>
        <w:tc>
          <w:tcPr>
            <w:tcW w:w="1000" w:type="pct"/>
            <w:tcBorders>
              <w:tl2br w:val="nil"/>
              <w:tr2bl w:val="nil"/>
            </w:tcBorders>
            <w:shd w:val="clear" w:color="auto" w:fill="auto"/>
            <w:noWrap/>
            <w:vAlign w:val="center"/>
          </w:tcPr>
          <w:p w14:paraId="3149E875">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0.027</w:t>
            </w:r>
          </w:p>
        </w:tc>
      </w:tr>
      <w:tr w14:paraId="5F09D2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05BB1436">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.10</w:t>
            </w:r>
          </w:p>
        </w:tc>
        <w:tc>
          <w:tcPr>
            <w:tcW w:w="1000" w:type="pct"/>
            <w:tcBorders>
              <w:tl2br w:val="nil"/>
              <w:tr2bl w:val="nil"/>
            </w:tcBorders>
            <w:shd w:val="clear" w:color="auto" w:fill="auto"/>
            <w:noWrap/>
            <w:vAlign w:val="center"/>
          </w:tcPr>
          <w:p w14:paraId="2C8C681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1000" w:type="pct"/>
            <w:tcBorders>
              <w:tl2br w:val="nil"/>
              <w:tr2bl w:val="nil"/>
            </w:tcBorders>
            <w:shd w:val="clear" w:color="auto" w:fill="auto"/>
            <w:noWrap/>
            <w:vAlign w:val="center"/>
          </w:tcPr>
          <w:p w14:paraId="3CEBBD3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0.086</w:t>
            </w:r>
          </w:p>
        </w:tc>
        <w:tc>
          <w:tcPr>
            <w:tcW w:w="1000" w:type="pct"/>
            <w:tcBorders>
              <w:tl2br w:val="nil"/>
              <w:tr2bl w:val="nil"/>
            </w:tcBorders>
            <w:shd w:val="clear" w:color="auto" w:fill="auto"/>
            <w:noWrap/>
            <w:vAlign w:val="center"/>
          </w:tcPr>
          <w:p w14:paraId="510B58D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000" w:type="pct"/>
            <w:tcBorders>
              <w:tl2br w:val="nil"/>
              <w:tr2bl w:val="nil"/>
            </w:tcBorders>
            <w:shd w:val="clear" w:color="auto" w:fill="auto"/>
            <w:noWrap/>
            <w:vAlign w:val="center"/>
          </w:tcPr>
          <w:p w14:paraId="400164A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0.042</w:t>
            </w:r>
          </w:p>
        </w:tc>
      </w:tr>
      <w:tr w14:paraId="00D77A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CC9CDC1">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.11</w:t>
            </w:r>
          </w:p>
        </w:tc>
        <w:tc>
          <w:tcPr>
            <w:tcW w:w="1000" w:type="pct"/>
            <w:tcBorders>
              <w:tl2br w:val="nil"/>
              <w:tr2bl w:val="nil"/>
            </w:tcBorders>
            <w:shd w:val="clear" w:color="auto" w:fill="auto"/>
            <w:noWrap/>
            <w:vAlign w:val="center"/>
          </w:tcPr>
          <w:p w14:paraId="5D4D0E8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7.4</w:t>
            </w:r>
          </w:p>
        </w:tc>
        <w:tc>
          <w:tcPr>
            <w:tcW w:w="1000" w:type="pct"/>
            <w:tcBorders>
              <w:tl2br w:val="nil"/>
              <w:tr2bl w:val="nil"/>
            </w:tcBorders>
            <w:shd w:val="clear" w:color="auto" w:fill="auto"/>
            <w:noWrap/>
            <w:vAlign w:val="center"/>
          </w:tcPr>
          <w:p w14:paraId="547B319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0.082</w:t>
            </w:r>
          </w:p>
        </w:tc>
        <w:tc>
          <w:tcPr>
            <w:tcW w:w="1000" w:type="pct"/>
            <w:tcBorders>
              <w:tl2br w:val="nil"/>
              <w:tr2bl w:val="nil"/>
            </w:tcBorders>
            <w:shd w:val="clear" w:color="auto" w:fill="auto"/>
            <w:noWrap/>
            <w:vAlign w:val="center"/>
          </w:tcPr>
          <w:p w14:paraId="20F4012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000" w:type="pct"/>
            <w:tcBorders>
              <w:tl2br w:val="nil"/>
              <w:tr2bl w:val="nil"/>
            </w:tcBorders>
            <w:shd w:val="clear" w:color="auto" w:fill="auto"/>
            <w:noWrap/>
            <w:vAlign w:val="center"/>
          </w:tcPr>
          <w:p w14:paraId="2042109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0.043</w:t>
            </w:r>
          </w:p>
        </w:tc>
      </w:tr>
      <w:tr w14:paraId="52C83A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1CAB2A09">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202</w:t>
            </w:r>
            <w:r>
              <w:rPr>
                <w:rFonts w:hint="eastAsia" w:cs="Times New Roman"/>
                <w:color w:val="auto"/>
                <w:kern w:val="0"/>
                <w:sz w:val="21"/>
                <w:szCs w:val="21"/>
                <w:highlight w:val="none"/>
                <w:lang w:val="en-US" w:eastAsia="zh-CN"/>
              </w:rPr>
              <w:t>5</w:t>
            </w:r>
            <w:r>
              <w:rPr>
                <w:rFonts w:ascii="Times New Roman" w:hAnsi="Times New Roman" w:cs="Times New Roman"/>
                <w:color w:val="auto"/>
                <w:kern w:val="0"/>
                <w:sz w:val="21"/>
                <w:szCs w:val="21"/>
                <w:highlight w:val="none"/>
              </w:rPr>
              <w:t>.12</w:t>
            </w:r>
          </w:p>
        </w:tc>
        <w:tc>
          <w:tcPr>
            <w:tcW w:w="1000" w:type="pct"/>
            <w:tcBorders>
              <w:tl2br w:val="nil"/>
              <w:tr2bl w:val="nil"/>
            </w:tcBorders>
            <w:shd w:val="clear" w:color="auto" w:fill="auto"/>
            <w:noWrap/>
            <w:vAlign w:val="center"/>
          </w:tcPr>
          <w:p w14:paraId="34F9EC8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1000" w:type="pct"/>
            <w:tcBorders>
              <w:tl2br w:val="nil"/>
              <w:tr2bl w:val="nil"/>
            </w:tcBorders>
            <w:shd w:val="clear" w:color="auto" w:fill="auto"/>
            <w:noWrap/>
            <w:vAlign w:val="center"/>
          </w:tcPr>
          <w:p w14:paraId="7BE22C9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0.107</w:t>
            </w:r>
          </w:p>
        </w:tc>
        <w:tc>
          <w:tcPr>
            <w:tcW w:w="1000" w:type="pct"/>
            <w:tcBorders>
              <w:tl2br w:val="nil"/>
              <w:tr2bl w:val="nil"/>
            </w:tcBorders>
            <w:shd w:val="clear" w:color="auto" w:fill="auto"/>
            <w:noWrap/>
            <w:vAlign w:val="center"/>
          </w:tcPr>
          <w:p w14:paraId="39AA536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000" w:type="pct"/>
            <w:tcBorders>
              <w:tl2br w:val="nil"/>
              <w:tr2bl w:val="nil"/>
            </w:tcBorders>
            <w:shd w:val="clear" w:color="auto" w:fill="auto"/>
            <w:noWrap/>
            <w:vAlign w:val="center"/>
          </w:tcPr>
          <w:p w14:paraId="7C3D823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0.043</w:t>
            </w:r>
          </w:p>
        </w:tc>
      </w:tr>
      <w:tr w14:paraId="088E1E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2019BFBE">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b/>
                <w:color w:val="auto"/>
                <w:kern w:val="0"/>
                <w:sz w:val="21"/>
                <w:szCs w:val="21"/>
                <w:highlight w:val="none"/>
              </w:rPr>
              <w:t>年均值</w:t>
            </w:r>
          </w:p>
        </w:tc>
        <w:tc>
          <w:tcPr>
            <w:tcW w:w="1000" w:type="pct"/>
            <w:tcBorders>
              <w:tl2br w:val="nil"/>
              <w:tr2bl w:val="nil"/>
            </w:tcBorders>
            <w:shd w:val="clear" w:color="auto" w:fill="auto"/>
            <w:noWrap/>
            <w:vAlign w:val="center"/>
          </w:tcPr>
          <w:p w14:paraId="30A53E89">
            <w:pPr>
              <w:keepNext w:val="0"/>
              <w:keepLines w:val="0"/>
              <w:widowControl/>
              <w:suppressLineNumbers w:val="0"/>
              <w:jc w:val="center"/>
              <w:textAlignment w:val="center"/>
              <w:rPr>
                <w:rFonts w:hint="default" w:ascii="Times New Roman" w:hAnsi="Times New Roman" w:cs="Times New Roman"/>
                <w:b/>
                <w:bCs/>
                <w:color w:val="auto"/>
                <w:kern w:val="0"/>
                <w:sz w:val="21"/>
                <w:szCs w:val="21"/>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7.32</w:t>
            </w:r>
          </w:p>
        </w:tc>
        <w:tc>
          <w:tcPr>
            <w:tcW w:w="1000" w:type="pct"/>
            <w:tcBorders>
              <w:tl2br w:val="nil"/>
              <w:tr2bl w:val="nil"/>
            </w:tcBorders>
            <w:shd w:val="clear" w:color="auto" w:fill="auto"/>
            <w:noWrap/>
            <w:vAlign w:val="center"/>
          </w:tcPr>
          <w:p w14:paraId="0337974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0.17</w:t>
            </w:r>
          </w:p>
        </w:tc>
        <w:tc>
          <w:tcPr>
            <w:tcW w:w="1000" w:type="pct"/>
            <w:tcBorders>
              <w:tl2br w:val="nil"/>
              <w:tr2bl w:val="nil"/>
            </w:tcBorders>
            <w:shd w:val="clear" w:color="auto" w:fill="auto"/>
            <w:noWrap/>
            <w:vAlign w:val="center"/>
          </w:tcPr>
          <w:p w14:paraId="64E0F8D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7</w:t>
            </w:r>
          </w:p>
        </w:tc>
        <w:tc>
          <w:tcPr>
            <w:tcW w:w="1000" w:type="pct"/>
            <w:tcBorders>
              <w:tl2br w:val="nil"/>
              <w:tr2bl w:val="nil"/>
            </w:tcBorders>
            <w:shd w:val="clear" w:color="auto" w:fill="auto"/>
            <w:noWrap/>
            <w:vAlign w:val="center"/>
          </w:tcPr>
          <w:p w14:paraId="5D8BCE4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0.047</w:t>
            </w:r>
          </w:p>
        </w:tc>
      </w:tr>
      <w:tr w14:paraId="3C2B0C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0DAEAC94">
            <w:pPr>
              <w:spacing w:beforeLines="25" w:afterLines="25"/>
              <w:jc w:val="center"/>
              <w:rPr>
                <w:rFonts w:ascii="Times New Roman" w:hAnsi="Times New Roman" w:cs="Times New Roman"/>
                <w:b/>
                <w:color w:val="auto"/>
                <w:kern w:val="0"/>
                <w:sz w:val="21"/>
                <w:szCs w:val="21"/>
                <w:highlight w:val="none"/>
              </w:rPr>
            </w:pPr>
            <w:r>
              <w:rPr>
                <w:rFonts w:hint="eastAsia" w:ascii="Times New Roman" w:hAnsi="Times New Roman" w:cs="Times New Roman"/>
                <w:b/>
                <w:color w:val="auto"/>
                <w:kern w:val="0"/>
                <w:sz w:val="21"/>
                <w:szCs w:val="21"/>
                <w:highlight w:val="none"/>
                <w:lang w:val="en-US" w:eastAsia="zh-CN"/>
              </w:rPr>
              <w:t>占</w:t>
            </w:r>
            <w:r>
              <w:rPr>
                <w:rFonts w:hint="eastAsia" w:cs="Times New Roman"/>
                <w:b/>
                <w:color w:val="auto"/>
                <w:kern w:val="0"/>
                <w:sz w:val="21"/>
                <w:szCs w:val="21"/>
                <w:highlight w:val="none"/>
                <w:lang w:val="en-US" w:eastAsia="zh-CN"/>
              </w:rPr>
              <w:t>标</w:t>
            </w:r>
            <w:r>
              <w:rPr>
                <w:rFonts w:hint="eastAsia" w:ascii="Times New Roman" w:hAnsi="Times New Roman" w:cs="Times New Roman"/>
                <w:b/>
                <w:color w:val="auto"/>
                <w:kern w:val="0"/>
                <w:sz w:val="21"/>
                <w:szCs w:val="21"/>
                <w:highlight w:val="none"/>
                <w:lang w:val="en-US" w:eastAsia="zh-CN"/>
              </w:rPr>
              <w:t>率</w:t>
            </w:r>
            <w:r>
              <w:rPr>
                <w:rFonts w:hint="eastAsia" w:cs="Times New Roman"/>
                <w:b/>
                <w:color w:val="auto"/>
                <w:kern w:val="0"/>
                <w:sz w:val="21"/>
                <w:szCs w:val="21"/>
                <w:highlight w:val="none"/>
                <w:lang w:val="en-US" w:eastAsia="zh-CN"/>
              </w:rPr>
              <w:t>（%）</w:t>
            </w:r>
          </w:p>
        </w:tc>
        <w:tc>
          <w:tcPr>
            <w:tcW w:w="1000" w:type="pct"/>
            <w:tcBorders>
              <w:tl2br w:val="nil"/>
              <w:tr2bl w:val="nil"/>
            </w:tcBorders>
            <w:shd w:val="clear" w:color="auto" w:fill="auto"/>
            <w:noWrap/>
            <w:vAlign w:val="center"/>
          </w:tcPr>
          <w:p w14:paraId="3659D6FD">
            <w:pPr>
              <w:spacing w:beforeLines="25" w:afterLines="25"/>
              <w:jc w:val="center"/>
              <w:rPr>
                <w:rFonts w:hint="eastAsia" w:ascii="Times New Roman" w:hAnsi="Times New Roman" w:eastAsia="宋体"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w:t>
            </w:r>
          </w:p>
        </w:tc>
        <w:tc>
          <w:tcPr>
            <w:tcW w:w="1000" w:type="pct"/>
            <w:tcBorders>
              <w:tl2br w:val="nil"/>
              <w:tr2bl w:val="nil"/>
            </w:tcBorders>
            <w:shd w:val="clear" w:color="auto" w:fill="auto"/>
            <w:noWrap/>
            <w:vAlign w:val="center"/>
          </w:tcPr>
          <w:p w14:paraId="437AF7A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34</w:t>
            </w:r>
          </w:p>
        </w:tc>
        <w:tc>
          <w:tcPr>
            <w:tcW w:w="1000" w:type="pct"/>
            <w:tcBorders>
              <w:tl2br w:val="nil"/>
              <w:tr2bl w:val="nil"/>
            </w:tcBorders>
            <w:shd w:val="clear" w:color="auto" w:fill="auto"/>
            <w:noWrap/>
            <w:vAlign w:val="center"/>
          </w:tcPr>
          <w:p w14:paraId="29F6C311">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46.67</w:t>
            </w:r>
          </w:p>
        </w:tc>
        <w:tc>
          <w:tcPr>
            <w:tcW w:w="1000" w:type="pct"/>
            <w:tcBorders>
              <w:tl2br w:val="nil"/>
              <w:tr2bl w:val="nil"/>
            </w:tcBorders>
            <w:shd w:val="clear" w:color="auto" w:fill="auto"/>
            <w:noWrap/>
            <w:vAlign w:val="center"/>
          </w:tcPr>
          <w:p w14:paraId="43099B5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47</w:t>
            </w:r>
          </w:p>
        </w:tc>
      </w:tr>
      <w:tr w14:paraId="67018E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000" w:type="pct"/>
            <w:tcBorders>
              <w:tl2br w:val="nil"/>
              <w:tr2bl w:val="nil"/>
            </w:tcBorders>
            <w:shd w:val="clear" w:color="auto" w:fill="auto"/>
            <w:noWrap/>
            <w:vAlign w:val="center"/>
          </w:tcPr>
          <w:p w14:paraId="048A8D52">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II</w:t>
            </w:r>
            <w:r>
              <w:rPr>
                <w:rFonts w:ascii="Times New Roman" w:hAnsi="Times New Roman" w:cs="Times New Roman"/>
                <w:b/>
                <w:color w:val="auto"/>
                <w:kern w:val="0"/>
                <w:sz w:val="21"/>
                <w:szCs w:val="21"/>
                <w:highlight w:val="none"/>
              </w:rPr>
              <w:t>类标准</w:t>
            </w:r>
          </w:p>
        </w:tc>
        <w:tc>
          <w:tcPr>
            <w:tcW w:w="1000" w:type="pct"/>
            <w:tcBorders>
              <w:tl2br w:val="nil"/>
              <w:tr2bl w:val="nil"/>
            </w:tcBorders>
            <w:shd w:val="clear" w:color="auto" w:fill="auto"/>
            <w:noWrap/>
            <w:vAlign w:val="center"/>
          </w:tcPr>
          <w:p w14:paraId="3BF999D7">
            <w:pPr>
              <w:spacing w:beforeLines="25" w:afterLines="25"/>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6~9</w:t>
            </w:r>
          </w:p>
        </w:tc>
        <w:tc>
          <w:tcPr>
            <w:tcW w:w="1000" w:type="pct"/>
            <w:tcBorders>
              <w:tl2br w:val="nil"/>
              <w:tr2bl w:val="nil"/>
            </w:tcBorders>
            <w:shd w:val="clear" w:color="auto" w:fill="auto"/>
            <w:noWrap/>
            <w:vAlign w:val="center"/>
          </w:tcPr>
          <w:p w14:paraId="1B2CAC14">
            <w:pPr>
              <w:spacing w:beforeLines="25" w:afterLines="25"/>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w:t>
            </w:r>
            <w:r>
              <w:rPr>
                <w:rFonts w:ascii="Times New Roman" w:hAnsi="Times New Roman" w:cs="Times New Roman"/>
                <w:color w:val="auto"/>
                <w:kern w:val="0"/>
                <w:sz w:val="21"/>
                <w:szCs w:val="21"/>
                <w:highlight w:val="none"/>
              </w:rPr>
              <w:t>0.5</w:t>
            </w:r>
          </w:p>
        </w:tc>
        <w:tc>
          <w:tcPr>
            <w:tcW w:w="1000" w:type="pct"/>
            <w:tcBorders>
              <w:tl2br w:val="nil"/>
              <w:tr2bl w:val="nil"/>
            </w:tcBorders>
            <w:shd w:val="clear" w:color="auto" w:fill="auto"/>
            <w:noWrap/>
            <w:vAlign w:val="center"/>
          </w:tcPr>
          <w:p w14:paraId="3D6F3E2F">
            <w:pPr>
              <w:spacing w:beforeLines="25" w:afterLines="25"/>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w:t>
            </w:r>
            <w:r>
              <w:rPr>
                <w:rFonts w:ascii="Times New Roman" w:hAnsi="Times New Roman" w:cs="Times New Roman"/>
                <w:color w:val="auto"/>
                <w:kern w:val="0"/>
                <w:sz w:val="21"/>
                <w:szCs w:val="21"/>
                <w:highlight w:val="none"/>
              </w:rPr>
              <w:t>15</w:t>
            </w:r>
          </w:p>
        </w:tc>
        <w:tc>
          <w:tcPr>
            <w:tcW w:w="1000" w:type="pct"/>
            <w:tcBorders>
              <w:tl2br w:val="nil"/>
              <w:tr2bl w:val="nil"/>
            </w:tcBorders>
            <w:shd w:val="clear" w:color="auto" w:fill="auto"/>
            <w:noWrap/>
            <w:vAlign w:val="center"/>
          </w:tcPr>
          <w:p w14:paraId="28F9F93D">
            <w:pPr>
              <w:spacing w:beforeLines="25" w:afterLines="25"/>
              <w:jc w:val="center"/>
              <w:rPr>
                <w:rFonts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w:t>
            </w:r>
            <w:r>
              <w:rPr>
                <w:rFonts w:ascii="Times New Roman" w:hAnsi="Times New Roman" w:cs="Times New Roman"/>
                <w:color w:val="auto"/>
                <w:kern w:val="0"/>
                <w:sz w:val="21"/>
                <w:szCs w:val="21"/>
                <w:highlight w:val="none"/>
              </w:rPr>
              <w:t>0.1</w:t>
            </w:r>
          </w:p>
        </w:tc>
      </w:tr>
    </w:tbl>
    <w:p w14:paraId="6070FCB3">
      <w:pPr>
        <w:pStyle w:val="2"/>
        <w:keepNext w:val="0"/>
        <w:keepLines w:val="0"/>
        <w:pageBreakBefore w:val="0"/>
        <w:widowControl/>
        <w:kinsoku/>
        <w:wordWrap/>
        <w:overflowPunct/>
        <w:topLinePunct w:val="0"/>
        <w:autoSpaceDE/>
        <w:autoSpaceDN/>
        <w:bidi w:val="0"/>
        <w:adjustRightInd/>
        <w:snapToGrid w:val="0"/>
        <w:spacing w:before="0" w:after="0" w:line="240" w:lineRule="auto"/>
        <w:ind w:right="0" w:firstLine="360" w:firstLineChars="200"/>
        <w:jc w:val="both"/>
        <w:textAlignment w:val="auto"/>
        <w:rPr>
          <w:color w:val="auto"/>
          <w:highlight w:val="none"/>
        </w:rPr>
      </w:pPr>
      <w:r>
        <w:rPr>
          <w:color w:val="auto"/>
          <w:highlight w:val="none"/>
        </w:rPr>
        <w:drawing>
          <wp:inline distT="0" distB="0" distL="114300" distR="114300">
            <wp:extent cx="4826000" cy="2743200"/>
            <wp:effectExtent l="4445" t="4445" r="825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6CD85D">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eastAsia="zh-CN"/>
        </w:rPr>
        <w:t>图</w:t>
      </w:r>
      <w:r>
        <w:rPr>
          <w:rFonts w:hint="eastAsia" w:ascii="Times New Roman" w:hAnsi="Times New Roman" w:cs="Times New Roman"/>
          <w:b/>
          <w:bCs/>
          <w:color w:val="auto"/>
          <w:sz w:val="21"/>
          <w:szCs w:val="21"/>
          <w:highlight w:val="none"/>
          <w:lang w:val="en-US" w:eastAsia="zh-CN"/>
        </w:rPr>
        <w:t>3.2-1  202</w:t>
      </w:r>
      <w:r>
        <w:rPr>
          <w:rFonts w:hint="eastAsia" w:cs="Times New Roman"/>
          <w:b/>
          <w:bCs/>
          <w:color w:val="auto"/>
          <w:sz w:val="21"/>
          <w:szCs w:val="21"/>
          <w:highlight w:val="none"/>
          <w:lang w:val="en-US" w:eastAsia="zh-CN"/>
        </w:rPr>
        <w:t>3</w:t>
      </w:r>
      <w:r>
        <w:rPr>
          <w:rFonts w:hint="eastAsia" w:ascii="Times New Roman" w:hAnsi="Times New Roman" w:cs="Times New Roman"/>
          <w:b/>
          <w:bCs/>
          <w:color w:val="auto"/>
          <w:sz w:val="21"/>
          <w:szCs w:val="21"/>
          <w:highlight w:val="none"/>
          <w:lang w:val="en-US" w:eastAsia="zh-CN"/>
        </w:rPr>
        <w:t>年~202</w:t>
      </w:r>
      <w:r>
        <w:rPr>
          <w:rFonts w:hint="eastAsia" w:cs="Times New Roman"/>
          <w:b/>
          <w:bCs/>
          <w:color w:val="auto"/>
          <w:sz w:val="21"/>
          <w:szCs w:val="21"/>
          <w:highlight w:val="none"/>
          <w:lang w:val="en-US" w:eastAsia="zh-CN"/>
        </w:rPr>
        <w:t>5</w:t>
      </w:r>
      <w:r>
        <w:rPr>
          <w:rFonts w:hint="eastAsia" w:ascii="Times New Roman" w:hAnsi="Times New Roman" w:cs="Times New Roman"/>
          <w:b/>
          <w:bCs/>
          <w:color w:val="auto"/>
          <w:sz w:val="21"/>
          <w:szCs w:val="21"/>
          <w:highlight w:val="none"/>
          <w:lang w:val="en-US" w:eastAsia="zh-CN"/>
        </w:rPr>
        <w:t>年</w:t>
      </w:r>
      <w:r>
        <w:rPr>
          <w:rFonts w:hint="eastAsia" w:cs="Times New Roman"/>
          <w:b/>
          <w:bCs/>
          <w:color w:val="auto"/>
          <w:sz w:val="21"/>
          <w:szCs w:val="21"/>
          <w:highlight w:val="none"/>
          <w:lang w:val="en-US" w:eastAsia="zh-CN"/>
        </w:rPr>
        <w:t>溢水河</w:t>
      </w:r>
      <w:r>
        <w:rPr>
          <w:rFonts w:hint="eastAsia" w:ascii="Times New Roman" w:hAnsi="Times New Roman" w:cs="Times New Roman"/>
          <w:b/>
          <w:bCs/>
          <w:color w:val="auto"/>
          <w:sz w:val="21"/>
          <w:szCs w:val="21"/>
          <w:highlight w:val="none"/>
          <w:lang w:val="en-US" w:eastAsia="zh-CN"/>
        </w:rPr>
        <w:t>pH变化趋势图  无量纲</w:t>
      </w:r>
    </w:p>
    <w:p w14:paraId="12AC230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firstLine="360" w:firstLineChars="200"/>
        <w:jc w:val="both"/>
        <w:textAlignment w:val="auto"/>
        <w:rPr>
          <w:color w:val="auto"/>
          <w:highlight w:val="none"/>
        </w:rPr>
      </w:pPr>
      <w:r>
        <w:rPr>
          <w:color w:val="auto"/>
          <w:highlight w:val="none"/>
        </w:rPr>
        <w:drawing>
          <wp:inline distT="0" distB="0" distL="114300" distR="114300">
            <wp:extent cx="4826000" cy="2743200"/>
            <wp:effectExtent l="4445" t="4445" r="825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5DD4CE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eastAsia="zh-CN"/>
        </w:rPr>
        <w:t>图</w:t>
      </w:r>
      <w:r>
        <w:rPr>
          <w:rFonts w:hint="eastAsia" w:ascii="Times New Roman" w:hAnsi="Times New Roman" w:cs="Times New Roman"/>
          <w:b/>
          <w:bCs/>
          <w:color w:val="auto"/>
          <w:sz w:val="21"/>
          <w:szCs w:val="21"/>
          <w:highlight w:val="none"/>
          <w:lang w:val="en-US" w:eastAsia="zh-CN"/>
        </w:rPr>
        <w:t>3.2-2  202</w:t>
      </w:r>
      <w:r>
        <w:rPr>
          <w:rFonts w:hint="eastAsia" w:cs="Times New Roman"/>
          <w:b/>
          <w:bCs/>
          <w:color w:val="auto"/>
          <w:sz w:val="21"/>
          <w:szCs w:val="21"/>
          <w:highlight w:val="none"/>
          <w:lang w:val="en-US" w:eastAsia="zh-CN"/>
        </w:rPr>
        <w:t>3</w:t>
      </w:r>
      <w:r>
        <w:rPr>
          <w:rFonts w:hint="eastAsia" w:ascii="Times New Roman" w:hAnsi="Times New Roman" w:cs="Times New Roman"/>
          <w:b/>
          <w:bCs/>
          <w:color w:val="auto"/>
          <w:sz w:val="21"/>
          <w:szCs w:val="21"/>
          <w:highlight w:val="none"/>
          <w:lang w:val="en-US" w:eastAsia="zh-CN"/>
        </w:rPr>
        <w:t>年~202</w:t>
      </w:r>
      <w:r>
        <w:rPr>
          <w:rFonts w:hint="eastAsia" w:cs="Times New Roman"/>
          <w:b/>
          <w:bCs/>
          <w:color w:val="auto"/>
          <w:sz w:val="21"/>
          <w:szCs w:val="21"/>
          <w:highlight w:val="none"/>
          <w:lang w:val="en-US" w:eastAsia="zh-CN"/>
        </w:rPr>
        <w:t>5</w:t>
      </w:r>
      <w:r>
        <w:rPr>
          <w:rFonts w:hint="eastAsia" w:ascii="Times New Roman" w:hAnsi="Times New Roman" w:cs="Times New Roman"/>
          <w:b/>
          <w:bCs/>
          <w:color w:val="auto"/>
          <w:sz w:val="21"/>
          <w:szCs w:val="21"/>
          <w:highlight w:val="none"/>
          <w:lang w:val="en-US" w:eastAsia="zh-CN"/>
        </w:rPr>
        <w:t>年</w:t>
      </w:r>
      <w:r>
        <w:rPr>
          <w:rFonts w:hint="eastAsia" w:cs="Times New Roman"/>
          <w:b/>
          <w:bCs/>
          <w:color w:val="auto"/>
          <w:sz w:val="21"/>
          <w:szCs w:val="21"/>
          <w:highlight w:val="none"/>
          <w:lang w:val="en-US" w:eastAsia="zh-CN"/>
        </w:rPr>
        <w:t>溢水河</w:t>
      </w:r>
      <w:r>
        <w:rPr>
          <w:rFonts w:hint="eastAsia" w:ascii="Times New Roman" w:hAnsi="Times New Roman" w:cs="Times New Roman"/>
          <w:b/>
          <w:bCs/>
          <w:color w:val="auto"/>
          <w:sz w:val="21"/>
          <w:szCs w:val="21"/>
          <w:highlight w:val="none"/>
          <w:lang w:val="en-US" w:eastAsia="zh-CN"/>
        </w:rPr>
        <w:t>COD变化趋势图  单位：mg/L</w:t>
      </w:r>
    </w:p>
    <w:p w14:paraId="3AC6C460">
      <w:pPr>
        <w:pStyle w:val="10"/>
        <w:ind w:left="0" w:leftChars="0" w:firstLine="0" w:firstLineChars="0"/>
        <w:jc w:val="center"/>
        <w:rPr>
          <w:rFonts w:hint="eastAsia" w:ascii="Times New Roman" w:hAnsi="Times New Roman" w:cs="Times New Roman"/>
          <w:color w:val="auto"/>
          <w:sz w:val="24"/>
          <w:szCs w:val="24"/>
          <w:highlight w:val="none"/>
        </w:rPr>
      </w:pPr>
      <w:r>
        <w:rPr>
          <w:color w:val="auto"/>
          <w:highlight w:val="none"/>
        </w:rPr>
        <w:drawing>
          <wp:inline distT="0" distB="0" distL="114300" distR="114300">
            <wp:extent cx="4826000" cy="2743200"/>
            <wp:effectExtent l="4445" t="4445" r="825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D12786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eastAsia="zh-CN"/>
        </w:rPr>
        <w:t>图</w:t>
      </w:r>
      <w:r>
        <w:rPr>
          <w:rFonts w:hint="eastAsia" w:ascii="Times New Roman" w:hAnsi="Times New Roman" w:cs="Times New Roman"/>
          <w:b/>
          <w:bCs/>
          <w:color w:val="auto"/>
          <w:sz w:val="21"/>
          <w:szCs w:val="21"/>
          <w:highlight w:val="none"/>
          <w:lang w:val="en-US" w:eastAsia="zh-CN"/>
        </w:rPr>
        <w:t>3.2-3  202</w:t>
      </w:r>
      <w:r>
        <w:rPr>
          <w:rFonts w:hint="eastAsia" w:cs="Times New Roman"/>
          <w:b/>
          <w:bCs/>
          <w:color w:val="auto"/>
          <w:sz w:val="21"/>
          <w:szCs w:val="21"/>
          <w:highlight w:val="none"/>
          <w:lang w:val="en-US" w:eastAsia="zh-CN"/>
        </w:rPr>
        <w:t>3</w:t>
      </w:r>
      <w:r>
        <w:rPr>
          <w:rFonts w:hint="eastAsia" w:ascii="Times New Roman" w:hAnsi="Times New Roman" w:cs="Times New Roman"/>
          <w:b/>
          <w:bCs/>
          <w:color w:val="auto"/>
          <w:sz w:val="21"/>
          <w:szCs w:val="21"/>
          <w:highlight w:val="none"/>
          <w:lang w:val="en-US" w:eastAsia="zh-CN"/>
        </w:rPr>
        <w:t>年~202</w:t>
      </w:r>
      <w:r>
        <w:rPr>
          <w:rFonts w:hint="eastAsia" w:cs="Times New Roman"/>
          <w:b/>
          <w:bCs/>
          <w:color w:val="auto"/>
          <w:sz w:val="21"/>
          <w:szCs w:val="21"/>
          <w:highlight w:val="none"/>
          <w:lang w:val="en-US" w:eastAsia="zh-CN"/>
        </w:rPr>
        <w:t>5</w:t>
      </w:r>
      <w:r>
        <w:rPr>
          <w:rFonts w:hint="eastAsia" w:ascii="Times New Roman" w:hAnsi="Times New Roman" w:cs="Times New Roman"/>
          <w:b/>
          <w:bCs/>
          <w:color w:val="auto"/>
          <w:sz w:val="21"/>
          <w:szCs w:val="21"/>
          <w:highlight w:val="none"/>
          <w:lang w:val="en-US" w:eastAsia="zh-CN"/>
        </w:rPr>
        <w:t>年</w:t>
      </w:r>
      <w:r>
        <w:rPr>
          <w:rFonts w:hint="eastAsia" w:cs="Times New Roman"/>
          <w:b/>
          <w:bCs/>
          <w:color w:val="auto"/>
          <w:sz w:val="21"/>
          <w:szCs w:val="21"/>
          <w:highlight w:val="none"/>
          <w:lang w:val="en-US" w:eastAsia="zh-CN"/>
        </w:rPr>
        <w:t>溢水河</w:t>
      </w:r>
      <w:r>
        <w:rPr>
          <w:rFonts w:hint="eastAsia" w:ascii="Times New Roman" w:hAnsi="Times New Roman" w:cs="Times New Roman"/>
          <w:b/>
          <w:bCs/>
          <w:color w:val="auto"/>
          <w:sz w:val="21"/>
          <w:szCs w:val="21"/>
          <w:highlight w:val="none"/>
          <w:lang w:val="en-US" w:eastAsia="zh-CN"/>
        </w:rPr>
        <w:t>氨氮变化趋势图  单位：mg/L</w:t>
      </w:r>
    </w:p>
    <w:p w14:paraId="7F2D49E5">
      <w:pPr>
        <w:jc w:val="center"/>
        <w:rPr>
          <w:rFonts w:hint="eastAsia"/>
          <w:color w:val="auto"/>
          <w:highlight w:val="none"/>
        </w:rPr>
      </w:pPr>
      <w:r>
        <w:rPr>
          <w:color w:val="auto"/>
          <w:highlight w:val="none"/>
        </w:rP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FE80BB7">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ascii="Times New Roman" w:hAnsi="Times New Roman" w:cs="Times New Roman"/>
          <w:color w:val="auto"/>
          <w:sz w:val="24"/>
          <w:szCs w:val="24"/>
          <w:highlight w:val="none"/>
        </w:rPr>
      </w:pPr>
      <w:r>
        <w:rPr>
          <w:rFonts w:hint="eastAsia" w:ascii="Times New Roman" w:hAnsi="Times New Roman" w:cs="Times New Roman"/>
          <w:b/>
          <w:bCs/>
          <w:color w:val="auto"/>
          <w:sz w:val="21"/>
          <w:szCs w:val="21"/>
          <w:highlight w:val="none"/>
          <w:lang w:eastAsia="zh-CN"/>
        </w:rPr>
        <w:t>图</w:t>
      </w:r>
      <w:r>
        <w:rPr>
          <w:rFonts w:hint="eastAsia" w:ascii="Times New Roman" w:hAnsi="Times New Roman" w:cs="Times New Roman"/>
          <w:b/>
          <w:bCs/>
          <w:color w:val="auto"/>
          <w:sz w:val="21"/>
          <w:szCs w:val="21"/>
          <w:highlight w:val="none"/>
          <w:lang w:val="en-US" w:eastAsia="zh-CN"/>
        </w:rPr>
        <w:t>3.2-4  202</w:t>
      </w:r>
      <w:r>
        <w:rPr>
          <w:rFonts w:hint="eastAsia" w:cs="Times New Roman"/>
          <w:b/>
          <w:bCs/>
          <w:color w:val="auto"/>
          <w:sz w:val="21"/>
          <w:szCs w:val="21"/>
          <w:highlight w:val="none"/>
          <w:lang w:val="en-US" w:eastAsia="zh-CN"/>
        </w:rPr>
        <w:t>3</w:t>
      </w:r>
      <w:r>
        <w:rPr>
          <w:rFonts w:hint="eastAsia" w:ascii="Times New Roman" w:hAnsi="Times New Roman" w:cs="Times New Roman"/>
          <w:b/>
          <w:bCs/>
          <w:color w:val="auto"/>
          <w:sz w:val="21"/>
          <w:szCs w:val="21"/>
          <w:highlight w:val="none"/>
          <w:lang w:val="en-US" w:eastAsia="zh-CN"/>
        </w:rPr>
        <w:t>年~202</w:t>
      </w:r>
      <w:r>
        <w:rPr>
          <w:rFonts w:hint="eastAsia" w:cs="Times New Roman"/>
          <w:b/>
          <w:bCs/>
          <w:color w:val="auto"/>
          <w:sz w:val="21"/>
          <w:szCs w:val="21"/>
          <w:highlight w:val="none"/>
          <w:lang w:val="en-US" w:eastAsia="zh-CN"/>
        </w:rPr>
        <w:t>5</w:t>
      </w:r>
      <w:r>
        <w:rPr>
          <w:rFonts w:hint="eastAsia" w:ascii="Times New Roman" w:hAnsi="Times New Roman" w:cs="Times New Roman"/>
          <w:b/>
          <w:bCs/>
          <w:color w:val="auto"/>
          <w:sz w:val="21"/>
          <w:szCs w:val="21"/>
          <w:highlight w:val="none"/>
          <w:lang w:val="en-US" w:eastAsia="zh-CN"/>
        </w:rPr>
        <w:t>年</w:t>
      </w:r>
      <w:r>
        <w:rPr>
          <w:rFonts w:hint="eastAsia" w:cs="Times New Roman"/>
          <w:b/>
          <w:bCs/>
          <w:color w:val="auto"/>
          <w:sz w:val="21"/>
          <w:szCs w:val="21"/>
          <w:highlight w:val="none"/>
          <w:lang w:val="en-US" w:eastAsia="zh-CN"/>
        </w:rPr>
        <w:t>溢水河</w:t>
      </w:r>
      <w:r>
        <w:rPr>
          <w:rFonts w:hint="eastAsia" w:ascii="Times New Roman" w:hAnsi="Times New Roman" w:cs="Times New Roman"/>
          <w:b/>
          <w:bCs/>
          <w:color w:val="auto"/>
          <w:sz w:val="21"/>
          <w:szCs w:val="21"/>
          <w:highlight w:val="none"/>
          <w:lang w:val="en-US" w:eastAsia="zh-CN"/>
        </w:rPr>
        <w:t>总磷变化趋势图  单位：mg/L</w:t>
      </w:r>
    </w:p>
    <w:p w14:paraId="404DE98D">
      <w:pPr>
        <w:pStyle w:val="2"/>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jc w:val="both"/>
        <w:textAlignment w:val="auto"/>
        <w:rPr>
          <w:color w:val="auto"/>
          <w:sz w:val="24"/>
          <w:szCs w:val="24"/>
          <w:highlight w:val="none"/>
        </w:rPr>
      </w:pPr>
      <w:r>
        <w:rPr>
          <w:rFonts w:hint="eastAsia" w:ascii="Times New Roman" w:hAnsi="Times New Roman" w:cs="Times New Roman"/>
          <w:color w:val="auto"/>
          <w:sz w:val="24"/>
          <w:szCs w:val="24"/>
          <w:highlight w:val="none"/>
        </w:rPr>
        <w:t>根据</w:t>
      </w:r>
      <w:r>
        <w:rPr>
          <w:rFonts w:hint="eastAsia" w:cs="Times New Roman"/>
          <w:color w:val="auto"/>
          <w:sz w:val="24"/>
          <w:szCs w:val="24"/>
          <w:highlight w:val="none"/>
          <w:lang w:val="en-US" w:eastAsia="zh-CN"/>
        </w:rPr>
        <w:t>上</w:t>
      </w:r>
      <w:r>
        <w:rPr>
          <w:rFonts w:hint="eastAsia" w:ascii="Times New Roman" w:hAnsi="Times New Roman" w:cs="Times New Roman"/>
          <w:color w:val="auto"/>
          <w:sz w:val="24"/>
          <w:szCs w:val="24"/>
          <w:highlight w:val="none"/>
        </w:rPr>
        <w:t>表</w:t>
      </w:r>
      <w:r>
        <w:rPr>
          <w:rFonts w:hint="eastAsia" w:ascii="Times New Roman" w:hAnsi="Times New Roman" w:cs="Times New Roman"/>
          <w:color w:val="auto"/>
          <w:sz w:val="24"/>
          <w:szCs w:val="24"/>
          <w:highlight w:val="none"/>
          <w:lang w:val="en-US" w:eastAsia="zh-CN"/>
        </w:rPr>
        <w:t>数据</w:t>
      </w:r>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32"/>
          <w:highlight w:val="none"/>
        </w:rPr>
        <w:t>202</w:t>
      </w:r>
      <w:r>
        <w:rPr>
          <w:rFonts w:hint="eastAsia" w:cs="Times New Roman"/>
          <w:color w:val="auto"/>
          <w:sz w:val="24"/>
          <w:szCs w:val="32"/>
          <w:highlight w:val="none"/>
          <w:lang w:val="en-US" w:eastAsia="zh-CN"/>
        </w:rPr>
        <w:t>3~</w:t>
      </w:r>
      <w:r>
        <w:rPr>
          <w:rFonts w:hint="eastAsia" w:ascii="Times New Roman" w:hAnsi="Times New Roman" w:cs="Times New Roman"/>
          <w:color w:val="auto"/>
          <w:sz w:val="24"/>
          <w:szCs w:val="32"/>
          <w:highlight w:val="none"/>
        </w:rPr>
        <w:t>202</w:t>
      </w:r>
      <w:r>
        <w:rPr>
          <w:rFonts w:hint="eastAsia" w:cs="Times New Roman"/>
          <w:color w:val="auto"/>
          <w:sz w:val="24"/>
          <w:szCs w:val="32"/>
          <w:highlight w:val="none"/>
          <w:lang w:val="en-US" w:eastAsia="zh-CN"/>
        </w:rPr>
        <w:t>5</w:t>
      </w:r>
      <w:r>
        <w:rPr>
          <w:rFonts w:hint="eastAsia" w:ascii="Times New Roman" w:hAnsi="Times New Roman" w:cs="Times New Roman"/>
          <w:color w:val="auto"/>
          <w:sz w:val="24"/>
          <w:szCs w:val="32"/>
          <w:highlight w:val="none"/>
        </w:rPr>
        <w:t>年</w:t>
      </w:r>
      <w:r>
        <w:rPr>
          <w:rFonts w:hint="eastAsia" w:cs="Times New Roman"/>
          <w:color w:val="auto"/>
          <w:sz w:val="24"/>
          <w:szCs w:val="24"/>
          <w:highlight w:val="none"/>
          <w:lang w:eastAsia="zh-CN"/>
        </w:rPr>
        <w:t>溢水桥市</w:t>
      </w:r>
      <w:r>
        <w:rPr>
          <w:rFonts w:hint="eastAsia" w:ascii="Times New Roman" w:hAnsi="Times New Roman" w:cs="Times New Roman"/>
          <w:color w:val="auto"/>
          <w:sz w:val="24"/>
          <w:szCs w:val="24"/>
          <w:highlight w:val="none"/>
        </w:rPr>
        <w:t>控断面</w:t>
      </w:r>
      <w:r>
        <w:rPr>
          <w:rFonts w:hint="eastAsia" w:ascii="Times New Roman" w:hAnsi="Times New Roman" w:cs="Times New Roman"/>
          <w:color w:val="auto"/>
          <w:sz w:val="24"/>
          <w:szCs w:val="24"/>
          <w:highlight w:val="none"/>
          <w:lang w:val="en-US" w:eastAsia="zh-CN"/>
        </w:rPr>
        <w:t>氨氮</w:t>
      </w:r>
      <w:r>
        <w:rPr>
          <w:rFonts w:hint="eastAsia" w:cs="Times New Roman"/>
          <w:color w:val="auto"/>
          <w:sz w:val="24"/>
          <w:szCs w:val="24"/>
          <w:highlight w:val="none"/>
          <w:lang w:val="en-US" w:eastAsia="zh-CN"/>
        </w:rPr>
        <w:t>、</w:t>
      </w:r>
      <w:r>
        <w:rPr>
          <w:rFonts w:hint="eastAsia" w:ascii="Times New Roman" w:hAnsi="Times New Roman" w:cs="Times New Roman"/>
          <w:color w:val="auto"/>
          <w:sz w:val="24"/>
          <w:szCs w:val="24"/>
          <w:highlight w:val="none"/>
        </w:rPr>
        <w:t>COD</w:t>
      </w:r>
      <w:r>
        <w:rPr>
          <w:rFonts w:hint="eastAsia" w:cs="Times New Roman"/>
          <w:color w:val="auto"/>
          <w:sz w:val="24"/>
          <w:szCs w:val="24"/>
          <w:highlight w:val="none"/>
          <w:lang w:eastAsia="zh-CN"/>
        </w:rPr>
        <w:t>整体</w:t>
      </w:r>
      <w:r>
        <w:rPr>
          <w:rFonts w:hint="eastAsia" w:ascii="Times New Roman" w:hAnsi="Times New Roman" w:cs="Times New Roman"/>
          <w:color w:val="auto"/>
          <w:sz w:val="24"/>
          <w:szCs w:val="24"/>
          <w:highlight w:val="none"/>
        </w:rPr>
        <w:t>呈上升趋势，总磷浓度呈下降趋势；COD、氨氮、总磷年均浓度均能满足《地表水环境质量标准》（GB3838-2002）</w:t>
      </w:r>
      <w:r>
        <w:rPr>
          <w:rFonts w:ascii="Times New Roman" w:hAnsi="Times New Roman" w:cs="Times New Roman"/>
          <w:color w:val="auto"/>
          <w:sz w:val="24"/>
          <w:szCs w:val="24"/>
          <w:highlight w:val="none"/>
        </w:rPr>
        <w:fldChar w:fldCharType="begin"/>
      </w:r>
      <w:r>
        <w:rPr>
          <w:rFonts w:ascii="Times New Roman" w:hAnsi="Times New Roman" w:cs="Times New Roman"/>
          <w:color w:val="auto"/>
          <w:sz w:val="24"/>
          <w:szCs w:val="24"/>
          <w:highlight w:val="none"/>
        </w:rPr>
        <w:instrText xml:space="preserve"> = 2 \* ROMAN \* MERGEFORMAT </w:instrText>
      </w:r>
      <w:r>
        <w:rPr>
          <w:rFonts w:ascii="Times New Roman" w:hAnsi="Times New Roman" w:cs="Times New Roman"/>
          <w:color w:val="auto"/>
          <w:sz w:val="24"/>
          <w:szCs w:val="24"/>
          <w:highlight w:val="none"/>
        </w:rPr>
        <w:fldChar w:fldCharType="separate"/>
      </w:r>
      <w:r>
        <w:rPr>
          <w:rFonts w:ascii="Times New Roman" w:hAnsi="Times New Roman" w:cs="Times New Roman"/>
          <w:color w:val="auto"/>
          <w:sz w:val="24"/>
          <w:szCs w:val="24"/>
          <w:highlight w:val="none"/>
        </w:rPr>
        <w:t>II</w:t>
      </w:r>
      <w:r>
        <w:rPr>
          <w:rFonts w:ascii="Times New Roman" w:hAnsi="Times New Roman" w:cs="Times New Roman"/>
          <w:color w:val="auto"/>
          <w:sz w:val="24"/>
          <w:szCs w:val="24"/>
          <w:highlight w:val="none"/>
        </w:rPr>
        <w:fldChar w:fldCharType="end"/>
      </w:r>
      <w:r>
        <w:rPr>
          <w:rFonts w:hint="eastAsia" w:ascii="Times New Roman" w:hAnsi="Times New Roman" w:cs="Times New Roman"/>
          <w:color w:val="auto"/>
          <w:sz w:val="24"/>
          <w:szCs w:val="24"/>
          <w:highlight w:val="none"/>
        </w:rPr>
        <w:t>类标准。</w:t>
      </w:r>
    </w:p>
    <w:p w14:paraId="1818C237">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32" w:name="_Toc17371"/>
      <w:r>
        <w:rPr>
          <w:rFonts w:hint="default" w:ascii="Times New Roman" w:hAnsi="Times New Roman" w:eastAsia="宋体" w:cs="Times New Roman"/>
          <w:color w:val="auto"/>
          <w:kern w:val="2"/>
          <w:sz w:val="24"/>
          <w:szCs w:val="32"/>
          <w:highlight w:val="none"/>
          <w:lang w:val="en-US" w:eastAsia="zh-CN"/>
        </w:rPr>
        <w:t>3.</w:t>
      </w:r>
      <w:r>
        <w:rPr>
          <w:rFonts w:hint="eastAsia" w:ascii="Times New Roman" w:hAnsi="Times New Roman" w:cs="Times New Roman"/>
          <w:color w:val="auto"/>
          <w:kern w:val="2"/>
          <w:sz w:val="24"/>
          <w:szCs w:val="32"/>
          <w:highlight w:val="none"/>
          <w:lang w:val="en-US" w:eastAsia="zh-CN"/>
        </w:rPr>
        <w:t>3</w:t>
      </w:r>
      <w:r>
        <w:rPr>
          <w:rFonts w:hint="default" w:ascii="Times New Roman" w:hAnsi="Times New Roman" w:eastAsia="宋体" w:cs="Times New Roman"/>
          <w:color w:val="auto"/>
          <w:kern w:val="2"/>
          <w:sz w:val="24"/>
          <w:szCs w:val="32"/>
          <w:highlight w:val="none"/>
          <w:lang w:val="en-US" w:eastAsia="zh-CN"/>
        </w:rPr>
        <w:t>监测方案</w:t>
      </w:r>
      <w:bookmarkEnd w:id="132"/>
    </w:p>
    <w:p w14:paraId="224F7E8E">
      <w:pPr>
        <w:pStyle w:val="6"/>
        <w:numPr>
          <w:ilvl w:val="0"/>
          <w:numId w:val="0"/>
        </w:numPr>
        <w:bidi w:val="0"/>
        <w:ind w:leftChars="0"/>
        <w:rPr>
          <w:rFonts w:hint="default" w:ascii="Times New Roman" w:hAnsi="Times New Roman" w:cs="Times New Roman"/>
          <w:color w:val="auto"/>
          <w:sz w:val="24"/>
          <w:szCs w:val="40"/>
          <w:highlight w:val="none"/>
          <w:lang w:val="en-US" w:eastAsia="zh-CN"/>
        </w:rPr>
      </w:pPr>
      <w:bookmarkStart w:id="133" w:name="_Toc3395"/>
      <w:r>
        <w:rPr>
          <w:rFonts w:hint="default" w:ascii="Times New Roman" w:hAnsi="Times New Roman" w:cs="Times New Roman"/>
          <w:color w:val="auto"/>
          <w:sz w:val="24"/>
          <w:szCs w:val="40"/>
          <w:highlight w:val="none"/>
          <w:lang w:val="en-US" w:eastAsia="zh-CN"/>
        </w:rPr>
        <w:t>3.</w:t>
      </w:r>
      <w:r>
        <w:rPr>
          <w:rFonts w:hint="eastAsia" w:cs="Times New Roman"/>
          <w:color w:val="auto"/>
          <w:sz w:val="24"/>
          <w:szCs w:val="40"/>
          <w:highlight w:val="none"/>
          <w:lang w:val="en-US" w:eastAsia="zh-CN"/>
        </w:rPr>
        <w:t>3</w:t>
      </w:r>
      <w:r>
        <w:rPr>
          <w:rFonts w:hint="default" w:ascii="Times New Roman" w:hAnsi="Times New Roman" w:cs="Times New Roman"/>
          <w:color w:val="auto"/>
          <w:sz w:val="24"/>
          <w:szCs w:val="40"/>
          <w:highlight w:val="none"/>
          <w:lang w:val="en-US" w:eastAsia="zh-CN"/>
        </w:rPr>
        <w:t>.1监测因子</w:t>
      </w:r>
      <w:bookmarkEnd w:id="133"/>
    </w:p>
    <w:p w14:paraId="4F2B7F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rPr>
        <w:t>监测项目：</w:t>
      </w:r>
      <w:r>
        <w:rPr>
          <w:rFonts w:hint="default" w:ascii="Times New Roman" w:hAnsi="Times New Roman" w:eastAsia="宋体" w:cs="Times New Roman"/>
          <w:color w:val="auto"/>
          <w:sz w:val="24"/>
          <w:szCs w:val="24"/>
          <w:highlight w:val="none"/>
        </w:rPr>
        <w:t>pH、COD、BOD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-N、SS</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溶解氧、总磷、石油类、</w:t>
      </w:r>
      <w:r>
        <w:rPr>
          <w:rFonts w:hint="eastAsia" w:cs="Times New Roman"/>
          <w:color w:val="auto"/>
          <w:sz w:val="24"/>
          <w:szCs w:val="24"/>
          <w:highlight w:val="none"/>
          <w:lang w:val="en-US" w:eastAsia="zh-CN"/>
        </w:rPr>
        <w:t>硫化物</w:t>
      </w:r>
      <w:r>
        <w:rPr>
          <w:rFonts w:hint="default" w:ascii="Times New Roman" w:hAnsi="Times New Roman" w:eastAsia="宋体" w:cs="Times New Roman"/>
          <w:color w:val="auto"/>
          <w:sz w:val="24"/>
          <w:szCs w:val="24"/>
          <w:highlight w:val="none"/>
          <w:lang w:val="en-US" w:eastAsia="zh-CN"/>
        </w:rPr>
        <w:t>、总氮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连续采样3天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每天取混合样进行分析。</w:t>
      </w:r>
    </w:p>
    <w:p w14:paraId="481CB1B0">
      <w:pPr>
        <w:pStyle w:val="6"/>
        <w:numPr>
          <w:ilvl w:val="0"/>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34" w:name="_Toc17473"/>
      <w:r>
        <w:rPr>
          <w:rFonts w:hint="default" w:ascii="Times New Roman" w:hAnsi="Times New Roman" w:cs="Times New Roman"/>
          <w:color w:val="auto"/>
          <w:sz w:val="24"/>
          <w:szCs w:val="40"/>
          <w:highlight w:val="none"/>
          <w:lang w:val="en-US" w:eastAsia="zh-CN"/>
        </w:rPr>
        <w:t>3.</w:t>
      </w:r>
      <w:r>
        <w:rPr>
          <w:rFonts w:hint="eastAsia" w:cs="Times New Roman"/>
          <w:color w:val="auto"/>
          <w:sz w:val="24"/>
          <w:szCs w:val="40"/>
          <w:highlight w:val="none"/>
          <w:lang w:val="en-US" w:eastAsia="zh-CN"/>
        </w:rPr>
        <w:t>3</w:t>
      </w:r>
      <w:r>
        <w:rPr>
          <w:rFonts w:hint="default" w:ascii="Times New Roman" w:hAnsi="Times New Roman" w:cs="Times New Roman"/>
          <w:color w:val="auto"/>
          <w:sz w:val="24"/>
          <w:szCs w:val="40"/>
          <w:highlight w:val="none"/>
          <w:lang w:val="en-US" w:eastAsia="zh-CN"/>
        </w:rPr>
        <w:t>.2监测点位</w:t>
      </w:r>
      <w:bookmarkEnd w:id="134"/>
    </w:p>
    <w:p w14:paraId="073BE8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项目监测水样</w:t>
      </w:r>
      <w:r>
        <w:rPr>
          <w:rFonts w:hint="default" w:ascii="Times New Roman" w:hAnsi="Times New Roman" w:eastAsia="宋体" w:cs="Times New Roman"/>
          <w:color w:val="auto"/>
          <w:sz w:val="24"/>
          <w:highlight w:val="none"/>
          <w:lang w:val="en-US" w:eastAsia="zh-CN"/>
        </w:rPr>
        <w:t>取自受纳水体</w:t>
      </w:r>
      <w:r>
        <w:rPr>
          <w:rFonts w:hint="eastAsia" w:cs="Times New Roman"/>
          <w:color w:val="auto"/>
          <w:sz w:val="24"/>
          <w:highlight w:val="none"/>
          <w:lang w:val="en-US" w:eastAsia="zh-CN"/>
        </w:rPr>
        <w:t>—溢水</w:t>
      </w:r>
      <w:r>
        <w:rPr>
          <w:rFonts w:hint="default" w:ascii="Times New Roman" w:hAnsi="Times New Roman" w:eastAsia="宋体" w:cs="Times New Roman"/>
          <w:color w:val="auto"/>
          <w:sz w:val="24"/>
          <w:highlight w:val="none"/>
          <w:lang w:val="en-US" w:eastAsia="zh-CN"/>
        </w:rPr>
        <w:t>河，</w:t>
      </w:r>
      <w:r>
        <w:rPr>
          <w:rFonts w:hint="default" w:ascii="Times New Roman" w:hAnsi="Times New Roman" w:cs="Times New Roman"/>
          <w:color w:val="auto"/>
          <w:sz w:val="24"/>
          <w:highlight w:val="none"/>
          <w:lang w:val="en-US" w:eastAsia="zh-CN"/>
        </w:rPr>
        <w:t>2024年</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月</w:t>
      </w:r>
      <w:r>
        <w:rPr>
          <w:rFonts w:hint="eastAsia" w:cs="Times New Roman"/>
          <w:color w:val="auto"/>
          <w:sz w:val="24"/>
          <w:highlight w:val="none"/>
          <w:lang w:val="en-US" w:eastAsia="zh-CN"/>
        </w:rPr>
        <w:t>28</w:t>
      </w:r>
      <w:r>
        <w:rPr>
          <w:rFonts w:hint="default" w:ascii="Times New Roman" w:hAnsi="Times New Roman" w:cs="Times New Roman"/>
          <w:color w:val="auto"/>
          <w:sz w:val="24"/>
          <w:highlight w:val="none"/>
          <w:lang w:val="en-US" w:eastAsia="zh-CN"/>
        </w:rPr>
        <w:t>日-3月</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lang w:val="en-US" w:eastAsia="zh-CN"/>
        </w:rPr>
        <w:t>日</w:t>
      </w:r>
      <w:r>
        <w:rPr>
          <w:rFonts w:hint="default" w:ascii="Times New Roman" w:hAnsi="Times New Roman" w:eastAsia="宋体" w:cs="Times New Roman"/>
          <w:color w:val="auto"/>
          <w:sz w:val="24"/>
          <w:highlight w:val="none"/>
          <w:lang w:val="en-US" w:eastAsia="zh-CN"/>
        </w:rPr>
        <w:t>共设置2个断面，</w:t>
      </w:r>
      <w:r>
        <w:rPr>
          <w:rFonts w:hint="default" w:ascii="Times New Roman" w:hAnsi="Times New Roman" w:cs="Times New Roman"/>
          <w:color w:val="auto"/>
          <w:sz w:val="24"/>
          <w:highlight w:val="none"/>
          <w:lang w:val="en-US" w:eastAsia="zh-CN"/>
        </w:rPr>
        <w:t>1＃断面位于排污口上游500m处、2#断面位于排污口</w:t>
      </w:r>
      <w:r>
        <w:rPr>
          <w:rFonts w:hint="default" w:ascii="Times New Roman" w:hAnsi="Times New Roman" w:eastAsia="宋体" w:cs="Times New Roman"/>
          <w:color w:val="auto"/>
          <w:sz w:val="24"/>
          <w:highlight w:val="none"/>
          <w:lang w:val="en-US" w:eastAsia="zh-CN"/>
        </w:rPr>
        <w:t>下游</w:t>
      </w:r>
      <w:r>
        <w:rPr>
          <w:rFonts w:hint="eastAsia" w:cs="Times New Roman"/>
          <w:color w:val="auto"/>
          <w:sz w:val="24"/>
          <w:highlight w:val="none"/>
          <w:lang w:val="en-US" w:eastAsia="zh-CN"/>
        </w:rPr>
        <w:t>1000m</w:t>
      </w:r>
      <w:r>
        <w:rPr>
          <w:rFonts w:hint="default" w:ascii="Times New Roman" w:hAnsi="Times New Roman" w:eastAsia="宋体" w:cs="Times New Roman"/>
          <w:color w:val="auto"/>
          <w:sz w:val="24"/>
          <w:highlight w:val="none"/>
          <w:lang w:val="en-US" w:eastAsia="zh-CN"/>
        </w:rPr>
        <w:t>处</w:t>
      </w:r>
      <w:r>
        <w:rPr>
          <w:rFonts w:hint="default" w:ascii="Times New Roman" w:hAnsi="Times New Roman" w:eastAsia="宋体" w:cs="Times New Roman"/>
          <w:color w:val="auto"/>
          <w:sz w:val="24"/>
          <w:szCs w:val="24"/>
          <w:highlight w:val="none"/>
          <w:lang w:val="en-US" w:eastAsia="zh-CN"/>
        </w:rPr>
        <w:t>。</w:t>
      </w:r>
    </w:p>
    <w:p w14:paraId="753831AD">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35" w:name="_Toc29144"/>
      <w:r>
        <w:rPr>
          <w:rFonts w:hint="default" w:ascii="Times New Roman" w:hAnsi="Times New Roman" w:eastAsia="宋体" w:cs="Times New Roman"/>
          <w:color w:val="auto"/>
          <w:kern w:val="2"/>
          <w:sz w:val="24"/>
          <w:szCs w:val="32"/>
          <w:highlight w:val="none"/>
          <w:lang w:val="en-US" w:eastAsia="zh-CN"/>
        </w:rPr>
        <w:t>3.</w:t>
      </w:r>
      <w:r>
        <w:rPr>
          <w:rFonts w:hint="eastAsia" w:ascii="Times New Roman" w:hAnsi="Times New Roman" w:eastAsia="宋体" w:cs="Times New Roman"/>
          <w:color w:val="auto"/>
          <w:kern w:val="2"/>
          <w:sz w:val="24"/>
          <w:szCs w:val="32"/>
          <w:highlight w:val="none"/>
          <w:lang w:val="en-US" w:eastAsia="zh-CN"/>
        </w:rPr>
        <w:t>4</w:t>
      </w:r>
      <w:r>
        <w:rPr>
          <w:rFonts w:hint="default" w:ascii="Times New Roman" w:hAnsi="Times New Roman" w:eastAsia="宋体" w:cs="Times New Roman"/>
          <w:color w:val="auto"/>
          <w:kern w:val="2"/>
          <w:sz w:val="24"/>
          <w:szCs w:val="32"/>
          <w:highlight w:val="none"/>
          <w:lang w:val="en-US" w:eastAsia="zh-CN"/>
        </w:rPr>
        <w:t>监测结果与分析评价</w:t>
      </w:r>
      <w:bookmarkEnd w:id="135"/>
    </w:p>
    <w:p w14:paraId="0EA68A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为了解地表水环境现状，项目委托汉环集团陕西名鸿检测有限公司于2024年</w:t>
      </w:r>
      <w:r>
        <w:rPr>
          <w:rFonts w:hint="eastAsia" w:cs="Times New Roman"/>
          <w:color w:val="auto"/>
          <w:kern w:val="2"/>
          <w:sz w:val="24"/>
          <w:szCs w:val="24"/>
          <w:highlight w:val="none"/>
          <w:lang w:val="en-US" w:eastAsia="zh-CN" w:bidi="ar"/>
        </w:rPr>
        <w:t>2</w:t>
      </w:r>
      <w:r>
        <w:rPr>
          <w:rFonts w:hint="default" w:ascii="Times New Roman" w:hAnsi="Times New Roman" w:eastAsia="宋体" w:cs="Times New Roman"/>
          <w:color w:val="auto"/>
          <w:kern w:val="2"/>
          <w:sz w:val="24"/>
          <w:szCs w:val="24"/>
          <w:highlight w:val="none"/>
          <w:lang w:val="en-US" w:eastAsia="zh-CN" w:bidi="ar"/>
        </w:rPr>
        <w:t>月</w:t>
      </w:r>
      <w:r>
        <w:rPr>
          <w:rFonts w:hint="eastAsia" w:cs="Times New Roman"/>
          <w:color w:val="auto"/>
          <w:kern w:val="2"/>
          <w:sz w:val="24"/>
          <w:szCs w:val="24"/>
          <w:highlight w:val="none"/>
          <w:lang w:val="en-US" w:eastAsia="zh-CN" w:bidi="ar"/>
        </w:rPr>
        <w:t>28</w:t>
      </w:r>
      <w:r>
        <w:rPr>
          <w:rFonts w:hint="default" w:ascii="Times New Roman" w:hAnsi="Times New Roman" w:eastAsia="宋体" w:cs="Times New Roman"/>
          <w:color w:val="auto"/>
          <w:kern w:val="2"/>
          <w:sz w:val="24"/>
          <w:szCs w:val="24"/>
          <w:highlight w:val="none"/>
          <w:lang w:val="en-US" w:eastAsia="zh-CN" w:bidi="ar"/>
        </w:rPr>
        <w:t>日~3月</w:t>
      </w:r>
      <w:r>
        <w:rPr>
          <w:rFonts w:hint="eastAsia" w:cs="Times New Roman"/>
          <w:color w:val="auto"/>
          <w:kern w:val="2"/>
          <w:sz w:val="24"/>
          <w:szCs w:val="24"/>
          <w:highlight w:val="none"/>
          <w:lang w:val="en-US" w:eastAsia="zh-CN" w:bidi="ar"/>
        </w:rPr>
        <w:t>1</w:t>
      </w:r>
      <w:r>
        <w:rPr>
          <w:rFonts w:hint="default" w:ascii="Times New Roman" w:hAnsi="Times New Roman" w:eastAsia="宋体" w:cs="Times New Roman"/>
          <w:color w:val="auto"/>
          <w:kern w:val="2"/>
          <w:sz w:val="24"/>
          <w:szCs w:val="24"/>
          <w:highlight w:val="none"/>
          <w:lang w:val="en-US" w:eastAsia="zh-CN" w:bidi="ar"/>
        </w:rPr>
        <w:t>日对</w:t>
      </w:r>
      <w:r>
        <w:rPr>
          <w:rFonts w:hint="eastAsia" w:cs="Times New Roman"/>
          <w:color w:val="auto"/>
          <w:kern w:val="2"/>
          <w:sz w:val="24"/>
          <w:szCs w:val="24"/>
          <w:highlight w:val="none"/>
          <w:lang w:val="en-US" w:eastAsia="zh-CN" w:bidi="ar"/>
        </w:rPr>
        <w:t>溢水</w:t>
      </w:r>
      <w:r>
        <w:rPr>
          <w:rFonts w:hint="default" w:ascii="Times New Roman" w:hAnsi="Times New Roman" w:eastAsia="宋体" w:cs="Times New Roman"/>
          <w:color w:val="auto"/>
          <w:kern w:val="2"/>
          <w:sz w:val="24"/>
          <w:szCs w:val="24"/>
          <w:highlight w:val="none"/>
          <w:lang w:val="en-US" w:eastAsia="zh-CN" w:bidi="ar"/>
        </w:rPr>
        <w:t>河水质进行了现场监测。地表水现状监测结果见</w:t>
      </w:r>
      <w:r>
        <w:rPr>
          <w:rFonts w:hint="eastAsia" w:cs="Times New Roman"/>
          <w:color w:val="auto"/>
          <w:kern w:val="2"/>
          <w:sz w:val="24"/>
          <w:szCs w:val="24"/>
          <w:highlight w:val="none"/>
          <w:lang w:val="en-US" w:eastAsia="zh-CN" w:bidi="ar"/>
        </w:rPr>
        <w:t>下表：</w:t>
      </w:r>
    </w:p>
    <w:p w14:paraId="187A3D70">
      <w:pPr>
        <w:spacing w:line="240" w:lineRule="atLeast"/>
        <w:jc w:val="center"/>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表</w:t>
      </w:r>
      <w:r>
        <w:rPr>
          <w:rFonts w:hint="default" w:ascii="Times New Roman" w:hAnsi="Times New Roman" w:cs="Times New Roman"/>
          <w:b/>
          <w:bCs/>
          <w:color w:val="auto"/>
          <w:szCs w:val="24"/>
          <w:highlight w:val="none"/>
          <w:lang w:val="en-US" w:eastAsia="zh-CN"/>
        </w:rPr>
        <w:t>3</w:t>
      </w:r>
      <w:r>
        <w:rPr>
          <w:rFonts w:hint="eastAsia" w:ascii="Times New Roman" w:hAnsi="Times New Roman" w:cs="Times New Roman"/>
          <w:b/>
          <w:bCs/>
          <w:color w:val="auto"/>
          <w:szCs w:val="24"/>
          <w:highlight w:val="none"/>
          <w:lang w:val="en-US" w:eastAsia="zh-CN"/>
        </w:rPr>
        <w:t>.4</w:t>
      </w:r>
      <w:r>
        <w:rPr>
          <w:rFonts w:hint="default" w:ascii="Times New Roman" w:hAnsi="Times New Roman" w:cs="Times New Roman"/>
          <w:b/>
          <w:bCs/>
          <w:color w:val="auto"/>
          <w:szCs w:val="24"/>
          <w:highlight w:val="none"/>
        </w:rPr>
        <w:t>-</w:t>
      </w:r>
      <w:r>
        <w:rPr>
          <w:rFonts w:hint="eastAsia" w:ascii="Times New Roman" w:hAnsi="Times New Roman" w:cs="Times New Roman"/>
          <w:b/>
          <w:bCs/>
          <w:color w:val="auto"/>
          <w:szCs w:val="24"/>
          <w:highlight w:val="none"/>
          <w:lang w:val="en-US" w:eastAsia="zh-CN"/>
        </w:rPr>
        <w:t>1</w:t>
      </w:r>
      <w:r>
        <w:rPr>
          <w:rFonts w:hint="default" w:ascii="Times New Roman" w:hAnsi="Times New Roman" w:cs="Times New Roman"/>
          <w:b/>
          <w:bCs/>
          <w:color w:val="auto"/>
          <w:szCs w:val="24"/>
          <w:highlight w:val="none"/>
        </w:rPr>
        <w:t xml:space="preserve">  地表水水质</w:t>
      </w:r>
      <w:r>
        <w:rPr>
          <w:rFonts w:hint="eastAsia" w:ascii="Times New Roman" w:hAnsi="Times New Roman" w:cs="Times New Roman"/>
          <w:b/>
          <w:bCs/>
          <w:color w:val="auto"/>
          <w:szCs w:val="24"/>
          <w:highlight w:val="none"/>
          <w:lang w:eastAsia="zh-CN"/>
        </w:rPr>
        <w:t>现状</w:t>
      </w:r>
      <w:r>
        <w:rPr>
          <w:rFonts w:hint="default" w:ascii="Times New Roman" w:hAnsi="Times New Roman" w:cs="Times New Roman"/>
          <w:b/>
          <w:bCs/>
          <w:color w:val="auto"/>
          <w:szCs w:val="24"/>
          <w:highlight w:val="none"/>
        </w:rPr>
        <w:t>监测结果表   单位：mg/L</w:t>
      </w:r>
    </w:p>
    <w:tbl>
      <w:tblPr>
        <w:tblStyle w:val="31"/>
        <w:tblW w:w="800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2900"/>
        <w:gridCol w:w="2686"/>
        <w:gridCol w:w="1080"/>
      </w:tblGrid>
      <w:tr w14:paraId="0F601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37" w:type="pct"/>
            <w:tcBorders>
              <w:tl2br w:val="nil"/>
              <w:tr2bl w:val="nil"/>
            </w:tcBorders>
            <w:noWrap w:val="0"/>
            <w:vAlign w:val="center"/>
          </w:tcPr>
          <w:p w14:paraId="79D9BB32">
            <w:pPr>
              <w:spacing w:line="240" w:lineRule="auto"/>
              <w:ind w:left="0" w:leftChars="0" w:firstLine="0" w:firstLine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监测项目</w:t>
            </w:r>
          </w:p>
        </w:tc>
        <w:tc>
          <w:tcPr>
            <w:tcW w:w="1810" w:type="pct"/>
            <w:tcBorders>
              <w:tl2br w:val="nil"/>
              <w:tr2bl w:val="nil"/>
            </w:tcBorders>
            <w:noWrap w:val="0"/>
            <w:vAlign w:val="center"/>
          </w:tcPr>
          <w:p w14:paraId="5C74C9DC">
            <w:pPr>
              <w:adjustRightInd w:val="0"/>
              <w:snapToGrid w:val="0"/>
              <w:spacing w:line="180" w:lineRule="atLeas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排污口上游500m处</w:t>
            </w:r>
          </w:p>
        </w:tc>
        <w:tc>
          <w:tcPr>
            <w:tcW w:w="1677" w:type="pct"/>
            <w:tcBorders>
              <w:tl2br w:val="nil"/>
              <w:tr2bl w:val="nil"/>
            </w:tcBorders>
            <w:noWrap w:val="0"/>
            <w:vAlign w:val="center"/>
          </w:tcPr>
          <w:p w14:paraId="25C45F85">
            <w:pPr>
              <w:adjustRightInd w:val="0"/>
              <w:snapToGrid w:val="0"/>
              <w:spacing w:line="180" w:lineRule="atLeast"/>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排污口下游</w:t>
            </w:r>
            <w:r>
              <w:rPr>
                <w:rFonts w:hint="eastAsia" w:cs="Times New Roman"/>
                <w:b w:val="0"/>
                <w:bCs w:val="0"/>
                <w:color w:val="auto"/>
                <w:szCs w:val="21"/>
                <w:highlight w:val="none"/>
                <w:lang w:val="en-US" w:eastAsia="zh-CN"/>
              </w:rPr>
              <w:t>1000m</w:t>
            </w:r>
            <w:r>
              <w:rPr>
                <w:rFonts w:hint="default" w:ascii="Times New Roman" w:hAnsi="Times New Roman" w:eastAsia="宋体" w:cs="Times New Roman"/>
                <w:b w:val="0"/>
                <w:bCs w:val="0"/>
                <w:color w:val="auto"/>
                <w:szCs w:val="21"/>
                <w:highlight w:val="none"/>
                <w:lang w:val="en-US" w:eastAsia="zh-CN"/>
              </w:rPr>
              <w:t>处</w:t>
            </w:r>
          </w:p>
        </w:tc>
        <w:tc>
          <w:tcPr>
            <w:tcW w:w="674" w:type="pct"/>
            <w:tcBorders>
              <w:tl2br w:val="nil"/>
              <w:tr2bl w:val="nil"/>
            </w:tcBorders>
            <w:noWrap w:val="0"/>
            <w:vAlign w:val="center"/>
          </w:tcPr>
          <w:p w14:paraId="38AA4185">
            <w:pPr>
              <w:spacing w:line="240" w:lineRule="auto"/>
              <w:ind w:left="0" w:leftChars="0" w:firstLine="0" w:firstLine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Ⅱ类标准</w:t>
            </w:r>
          </w:p>
        </w:tc>
      </w:tr>
      <w:tr w14:paraId="6C58E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37" w:type="pct"/>
            <w:tcBorders>
              <w:tl2br w:val="nil"/>
              <w:tr2bl w:val="nil"/>
            </w:tcBorders>
            <w:noWrap w:val="0"/>
            <w:vAlign w:val="center"/>
          </w:tcPr>
          <w:p w14:paraId="392EC912">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pH值</w:t>
            </w:r>
          </w:p>
        </w:tc>
        <w:tc>
          <w:tcPr>
            <w:tcW w:w="1810" w:type="pct"/>
            <w:tcBorders>
              <w:tl2br w:val="nil"/>
              <w:tr2bl w:val="nil"/>
            </w:tcBorders>
            <w:noWrap w:val="0"/>
            <w:vAlign w:val="center"/>
          </w:tcPr>
          <w:p w14:paraId="0FCB51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8.5~8.7</w:t>
            </w:r>
          </w:p>
        </w:tc>
        <w:tc>
          <w:tcPr>
            <w:tcW w:w="1677" w:type="pct"/>
            <w:tcBorders>
              <w:tl2br w:val="nil"/>
              <w:tr2bl w:val="nil"/>
            </w:tcBorders>
            <w:noWrap w:val="0"/>
            <w:vAlign w:val="center"/>
          </w:tcPr>
          <w:p w14:paraId="6B8071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8.6~8.7</w:t>
            </w:r>
          </w:p>
        </w:tc>
        <w:tc>
          <w:tcPr>
            <w:tcW w:w="674" w:type="pct"/>
            <w:tcBorders>
              <w:tl2br w:val="nil"/>
              <w:tr2bl w:val="nil"/>
            </w:tcBorders>
            <w:noWrap w:val="0"/>
            <w:vAlign w:val="center"/>
          </w:tcPr>
          <w:p w14:paraId="6594D5C9">
            <w:pPr>
              <w:spacing w:line="240" w:lineRule="auto"/>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6～9</w:t>
            </w:r>
          </w:p>
        </w:tc>
      </w:tr>
      <w:tr w14:paraId="64164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37" w:type="pct"/>
            <w:tcBorders>
              <w:tl2br w:val="nil"/>
              <w:tr2bl w:val="nil"/>
            </w:tcBorders>
            <w:noWrap w:val="0"/>
            <w:vAlign w:val="center"/>
          </w:tcPr>
          <w:p w14:paraId="760CC77D">
            <w:pPr>
              <w:adjustRightInd w:val="0"/>
              <w:snapToGrid w:val="0"/>
              <w:spacing w:line="18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溶解氧</w:t>
            </w:r>
          </w:p>
        </w:tc>
        <w:tc>
          <w:tcPr>
            <w:tcW w:w="1810" w:type="pct"/>
            <w:tcBorders>
              <w:tl2br w:val="nil"/>
              <w:tr2bl w:val="nil"/>
            </w:tcBorders>
            <w:noWrap w:val="0"/>
            <w:vAlign w:val="center"/>
          </w:tcPr>
          <w:p w14:paraId="392CFC4F">
            <w:pPr>
              <w:widowControl/>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8.9~9.7</w:t>
            </w:r>
          </w:p>
        </w:tc>
        <w:tc>
          <w:tcPr>
            <w:tcW w:w="1677" w:type="pct"/>
            <w:tcBorders>
              <w:tl2br w:val="nil"/>
              <w:tr2bl w:val="nil"/>
            </w:tcBorders>
            <w:noWrap w:val="0"/>
            <w:vAlign w:val="center"/>
          </w:tcPr>
          <w:p w14:paraId="281F8A56">
            <w:pPr>
              <w:widowControl/>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9.0~10.2</w:t>
            </w:r>
          </w:p>
        </w:tc>
        <w:tc>
          <w:tcPr>
            <w:tcW w:w="674" w:type="pct"/>
            <w:tcBorders>
              <w:tl2br w:val="nil"/>
              <w:tr2bl w:val="nil"/>
            </w:tcBorders>
            <w:noWrap w:val="0"/>
            <w:vAlign w:val="center"/>
          </w:tcPr>
          <w:p w14:paraId="0F92F769">
            <w:pPr>
              <w:spacing w:line="240" w:lineRule="auto"/>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p>
        </w:tc>
      </w:tr>
      <w:tr w14:paraId="25813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7" w:type="pct"/>
            <w:tcBorders>
              <w:tl2br w:val="nil"/>
              <w:tr2bl w:val="nil"/>
            </w:tcBorders>
            <w:noWrap w:val="0"/>
            <w:vAlign w:val="center"/>
          </w:tcPr>
          <w:p w14:paraId="6BC54EE5">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化学需氧量</w:t>
            </w:r>
          </w:p>
        </w:tc>
        <w:tc>
          <w:tcPr>
            <w:tcW w:w="1810" w:type="pct"/>
            <w:tcBorders>
              <w:tl2br w:val="nil"/>
              <w:tr2bl w:val="nil"/>
            </w:tcBorders>
            <w:noWrap w:val="0"/>
            <w:vAlign w:val="center"/>
          </w:tcPr>
          <w:p w14:paraId="0D9CCEF1">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10~12</w:t>
            </w:r>
          </w:p>
        </w:tc>
        <w:tc>
          <w:tcPr>
            <w:tcW w:w="1677" w:type="pct"/>
            <w:tcBorders>
              <w:tl2br w:val="nil"/>
              <w:tr2bl w:val="nil"/>
            </w:tcBorders>
            <w:noWrap w:val="0"/>
            <w:vAlign w:val="center"/>
          </w:tcPr>
          <w:p w14:paraId="0AE908A8">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12~13</w:t>
            </w:r>
          </w:p>
        </w:tc>
        <w:tc>
          <w:tcPr>
            <w:tcW w:w="674" w:type="pct"/>
            <w:tcBorders>
              <w:tl2br w:val="nil"/>
              <w:tr2bl w:val="nil"/>
            </w:tcBorders>
            <w:noWrap w:val="0"/>
            <w:vAlign w:val="center"/>
          </w:tcPr>
          <w:p w14:paraId="4AB575AA">
            <w:pPr>
              <w:spacing w:line="240" w:lineRule="auto"/>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r>
      <w:tr w14:paraId="29D63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7" w:type="pct"/>
            <w:tcBorders>
              <w:tl2br w:val="nil"/>
              <w:tr2bl w:val="nil"/>
            </w:tcBorders>
            <w:noWrap w:val="0"/>
            <w:vAlign w:val="center"/>
          </w:tcPr>
          <w:p w14:paraId="4B0E68F4">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五日生化需氧量</w:t>
            </w:r>
          </w:p>
        </w:tc>
        <w:tc>
          <w:tcPr>
            <w:tcW w:w="1810" w:type="pct"/>
            <w:tcBorders>
              <w:tl2br w:val="nil"/>
              <w:tr2bl w:val="nil"/>
            </w:tcBorders>
            <w:noWrap w:val="0"/>
            <w:vAlign w:val="center"/>
          </w:tcPr>
          <w:p w14:paraId="35FF3254">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1.8~2.3</w:t>
            </w:r>
          </w:p>
        </w:tc>
        <w:tc>
          <w:tcPr>
            <w:tcW w:w="1677" w:type="pct"/>
            <w:tcBorders>
              <w:tl2br w:val="nil"/>
              <w:tr2bl w:val="nil"/>
            </w:tcBorders>
            <w:noWrap w:val="0"/>
            <w:vAlign w:val="center"/>
          </w:tcPr>
          <w:p w14:paraId="67820613">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2.2~2.4</w:t>
            </w:r>
          </w:p>
        </w:tc>
        <w:tc>
          <w:tcPr>
            <w:tcW w:w="674" w:type="pct"/>
            <w:tcBorders>
              <w:tl2br w:val="nil"/>
              <w:tr2bl w:val="nil"/>
            </w:tcBorders>
            <w:noWrap w:val="0"/>
            <w:vAlign w:val="center"/>
          </w:tcPr>
          <w:p w14:paraId="5F8263FA">
            <w:p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p>
        </w:tc>
      </w:tr>
      <w:tr w14:paraId="08B005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37" w:type="pct"/>
            <w:tcBorders>
              <w:tl2br w:val="nil"/>
              <w:tr2bl w:val="nil"/>
            </w:tcBorders>
            <w:noWrap w:val="0"/>
            <w:vAlign w:val="center"/>
          </w:tcPr>
          <w:p w14:paraId="67D84448">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氨氮</w:t>
            </w:r>
          </w:p>
        </w:tc>
        <w:tc>
          <w:tcPr>
            <w:tcW w:w="1810" w:type="pct"/>
            <w:tcBorders>
              <w:tl2br w:val="nil"/>
              <w:tr2bl w:val="nil"/>
            </w:tcBorders>
            <w:noWrap w:val="0"/>
            <w:vAlign w:val="center"/>
          </w:tcPr>
          <w:p w14:paraId="2C9A79E9">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0.193~0.231</w:t>
            </w:r>
          </w:p>
        </w:tc>
        <w:tc>
          <w:tcPr>
            <w:tcW w:w="1677" w:type="pct"/>
            <w:tcBorders>
              <w:tl2br w:val="nil"/>
              <w:tr2bl w:val="nil"/>
            </w:tcBorders>
            <w:noWrap w:val="0"/>
            <w:vAlign w:val="center"/>
          </w:tcPr>
          <w:p w14:paraId="2C18783A">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0.233~0.264</w:t>
            </w:r>
          </w:p>
        </w:tc>
        <w:tc>
          <w:tcPr>
            <w:tcW w:w="674" w:type="pct"/>
            <w:tcBorders>
              <w:tl2br w:val="nil"/>
              <w:tr2bl w:val="nil"/>
            </w:tcBorders>
            <w:noWrap w:val="0"/>
            <w:vAlign w:val="center"/>
          </w:tcPr>
          <w:p w14:paraId="564FB0FE">
            <w:p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≤0.5</w:t>
            </w:r>
          </w:p>
        </w:tc>
      </w:tr>
      <w:tr w14:paraId="5D50E8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37" w:type="pct"/>
            <w:tcBorders>
              <w:tl2br w:val="nil"/>
              <w:tr2bl w:val="nil"/>
            </w:tcBorders>
            <w:noWrap w:val="0"/>
            <w:vAlign w:val="center"/>
          </w:tcPr>
          <w:p w14:paraId="53253D2D">
            <w:pPr>
              <w:adjustRightInd w:val="0"/>
              <w:snapToGrid w:val="0"/>
              <w:spacing w:line="180" w:lineRule="atLeast"/>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悬浮物</w:t>
            </w:r>
          </w:p>
        </w:tc>
        <w:tc>
          <w:tcPr>
            <w:tcW w:w="1810" w:type="pct"/>
            <w:tcBorders>
              <w:tl2br w:val="nil"/>
              <w:tr2bl w:val="nil"/>
            </w:tcBorders>
            <w:noWrap w:val="0"/>
            <w:vAlign w:val="center"/>
          </w:tcPr>
          <w:p w14:paraId="705E0965">
            <w:pPr>
              <w:widowControl/>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10.4~11.4</w:t>
            </w:r>
          </w:p>
        </w:tc>
        <w:tc>
          <w:tcPr>
            <w:tcW w:w="1677" w:type="pct"/>
            <w:tcBorders>
              <w:tl2br w:val="nil"/>
              <w:tr2bl w:val="nil"/>
            </w:tcBorders>
            <w:noWrap w:val="0"/>
            <w:vAlign w:val="center"/>
          </w:tcPr>
          <w:p w14:paraId="5E202CB6">
            <w:pPr>
              <w:widowControl/>
              <w:jc w:val="center"/>
              <w:textAlignment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12.5~14.1</w:t>
            </w:r>
          </w:p>
        </w:tc>
        <w:tc>
          <w:tcPr>
            <w:tcW w:w="674" w:type="pct"/>
            <w:tcBorders>
              <w:tl2br w:val="nil"/>
              <w:tr2bl w:val="nil"/>
            </w:tcBorders>
            <w:noWrap w:val="0"/>
            <w:vAlign w:val="center"/>
          </w:tcPr>
          <w:p w14:paraId="15917274">
            <w:pPr>
              <w:spacing w:line="240" w:lineRule="auto"/>
              <w:ind w:left="0" w:lef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39152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837" w:type="pct"/>
            <w:tcBorders>
              <w:tl2br w:val="nil"/>
              <w:tr2bl w:val="nil"/>
            </w:tcBorders>
            <w:noWrap w:val="0"/>
            <w:vAlign w:val="center"/>
          </w:tcPr>
          <w:p w14:paraId="56DE812B">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总磷</w:t>
            </w:r>
          </w:p>
        </w:tc>
        <w:tc>
          <w:tcPr>
            <w:tcW w:w="1810" w:type="pct"/>
            <w:tcBorders>
              <w:tl2br w:val="nil"/>
              <w:tr2bl w:val="nil"/>
            </w:tcBorders>
            <w:noWrap w:val="0"/>
            <w:vAlign w:val="center"/>
          </w:tcPr>
          <w:p w14:paraId="220C6038">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0.02~0.04</w:t>
            </w:r>
          </w:p>
        </w:tc>
        <w:tc>
          <w:tcPr>
            <w:tcW w:w="1677" w:type="pct"/>
            <w:tcBorders>
              <w:tl2br w:val="nil"/>
              <w:tr2bl w:val="nil"/>
            </w:tcBorders>
            <w:noWrap w:val="0"/>
            <w:vAlign w:val="center"/>
          </w:tcPr>
          <w:p w14:paraId="7EA12073">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0.03~0.05</w:t>
            </w:r>
          </w:p>
        </w:tc>
        <w:tc>
          <w:tcPr>
            <w:tcW w:w="674" w:type="pct"/>
            <w:tcBorders>
              <w:tl2br w:val="nil"/>
              <w:tr2bl w:val="nil"/>
            </w:tcBorders>
            <w:noWrap w:val="0"/>
            <w:vAlign w:val="center"/>
          </w:tcPr>
          <w:p w14:paraId="15B75693">
            <w:pPr>
              <w:spacing w:line="240" w:lineRule="auto"/>
              <w:ind w:left="0" w:leftChars="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1</w:t>
            </w:r>
          </w:p>
        </w:tc>
      </w:tr>
      <w:tr w14:paraId="603CA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37" w:type="pct"/>
            <w:tcBorders>
              <w:tl2br w:val="nil"/>
              <w:tr2bl w:val="nil"/>
            </w:tcBorders>
            <w:noWrap w:val="0"/>
            <w:vAlign w:val="center"/>
          </w:tcPr>
          <w:p w14:paraId="3F7E038A">
            <w:pPr>
              <w:adjustRightInd w:val="0"/>
              <w:snapToGrid w:val="0"/>
              <w:spacing w:line="180" w:lineRule="atLeas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总氮</w:t>
            </w:r>
          </w:p>
        </w:tc>
        <w:tc>
          <w:tcPr>
            <w:tcW w:w="1810" w:type="pct"/>
            <w:tcBorders>
              <w:tl2br w:val="nil"/>
              <w:tr2bl w:val="nil"/>
            </w:tcBorders>
            <w:noWrap w:val="0"/>
            <w:vAlign w:val="center"/>
          </w:tcPr>
          <w:p w14:paraId="2636BE3C">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1.09~1.39</w:t>
            </w:r>
          </w:p>
        </w:tc>
        <w:tc>
          <w:tcPr>
            <w:tcW w:w="1677" w:type="pct"/>
            <w:tcBorders>
              <w:tl2br w:val="nil"/>
              <w:tr2bl w:val="nil"/>
            </w:tcBorders>
            <w:noWrap w:val="0"/>
            <w:vAlign w:val="center"/>
          </w:tcPr>
          <w:p w14:paraId="2A5DF53F">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0.92~1.46</w:t>
            </w:r>
          </w:p>
        </w:tc>
        <w:tc>
          <w:tcPr>
            <w:tcW w:w="674" w:type="pct"/>
            <w:tcBorders>
              <w:tl2br w:val="nil"/>
              <w:tr2bl w:val="nil"/>
            </w:tcBorders>
            <w:noWrap w:val="0"/>
            <w:vAlign w:val="center"/>
          </w:tcPr>
          <w:p w14:paraId="4FC11B2A">
            <w:pPr>
              <w:spacing w:line="240" w:lineRule="auto"/>
              <w:ind w:left="0" w:lef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37B21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37" w:type="pct"/>
            <w:tcBorders>
              <w:tl2br w:val="nil"/>
              <w:tr2bl w:val="nil"/>
            </w:tcBorders>
            <w:noWrap w:val="0"/>
            <w:vAlign w:val="center"/>
          </w:tcPr>
          <w:p w14:paraId="45E13374">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石油类</w:t>
            </w:r>
          </w:p>
        </w:tc>
        <w:tc>
          <w:tcPr>
            <w:tcW w:w="1810" w:type="pct"/>
            <w:tcBorders>
              <w:tl2br w:val="nil"/>
              <w:tr2bl w:val="nil"/>
            </w:tcBorders>
            <w:noWrap w:val="0"/>
            <w:vAlign w:val="center"/>
          </w:tcPr>
          <w:p w14:paraId="7BDE024B">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1677" w:type="pct"/>
            <w:tcBorders>
              <w:tl2br w:val="nil"/>
              <w:tr2bl w:val="nil"/>
            </w:tcBorders>
            <w:noWrap w:val="0"/>
            <w:vAlign w:val="center"/>
          </w:tcPr>
          <w:p w14:paraId="0432454D">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674" w:type="pct"/>
            <w:tcBorders>
              <w:tl2br w:val="nil"/>
              <w:tr2bl w:val="nil"/>
            </w:tcBorders>
            <w:noWrap w:val="0"/>
            <w:vAlign w:val="center"/>
          </w:tcPr>
          <w:p w14:paraId="5FAFFF04">
            <w:p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05</w:t>
            </w:r>
          </w:p>
        </w:tc>
      </w:tr>
      <w:tr w14:paraId="36879D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37" w:type="pct"/>
            <w:tcBorders>
              <w:tl2br w:val="nil"/>
              <w:tr2bl w:val="nil"/>
            </w:tcBorders>
            <w:noWrap w:val="0"/>
            <w:vAlign w:val="center"/>
          </w:tcPr>
          <w:p w14:paraId="6A0DB5B2">
            <w:pPr>
              <w:adjustRightInd w:val="0"/>
              <w:snapToGrid w:val="0"/>
              <w:spacing w:line="1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硫化物</w:t>
            </w:r>
          </w:p>
        </w:tc>
        <w:tc>
          <w:tcPr>
            <w:tcW w:w="1810" w:type="pct"/>
            <w:tcBorders>
              <w:tl2br w:val="nil"/>
              <w:tr2bl w:val="nil"/>
            </w:tcBorders>
            <w:noWrap w:val="0"/>
            <w:vAlign w:val="center"/>
          </w:tcPr>
          <w:p w14:paraId="0CCD8C72">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1677" w:type="pct"/>
            <w:tcBorders>
              <w:tl2br w:val="nil"/>
              <w:tr2bl w:val="nil"/>
            </w:tcBorders>
            <w:noWrap w:val="0"/>
            <w:vAlign w:val="center"/>
          </w:tcPr>
          <w:p w14:paraId="21EE2CEB">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0.01L</w:t>
            </w:r>
          </w:p>
        </w:tc>
        <w:tc>
          <w:tcPr>
            <w:tcW w:w="674" w:type="pct"/>
            <w:tcBorders>
              <w:tl2br w:val="nil"/>
              <w:tr2bl w:val="nil"/>
            </w:tcBorders>
            <w:noWrap w:val="0"/>
            <w:vAlign w:val="center"/>
          </w:tcPr>
          <w:p w14:paraId="54461FF9">
            <w:pPr>
              <w:spacing w:line="240" w:lineRule="auto"/>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0.1</w:t>
            </w:r>
          </w:p>
        </w:tc>
      </w:tr>
      <w:tr w14:paraId="676B2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exact"/>
          <w:jc w:val="center"/>
        </w:trPr>
        <w:tc>
          <w:tcPr>
            <w:tcW w:w="5000" w:type="pct"/>
            <w:gridSpan w:val="4"/>
            <w:tcBorders>
              <w:tl2br w:val="nil"/>
              <w:tr2bl w:val="nil"/>
            </w:tcBorders>
            <w:noWrap w:val="0"/>
            <w:vAlign w:val="center"/>
          </w:tcPr>
          <w:p w14:paraId="7C94A59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注：</w:t>
            </w:r>
            <w:r>
              <w:rPr>
                <w:rFonts w:hint="default" w:ascii="Times New Roman" w:hAnsi="Times New Roman" w:cs="Times New Roman"/>
                <w:b w:val="0"/>
                <w:bCs/>
                <w:color w:val="auto"/>
                <w:sz w:val="21"/>
                <w:szCs w:val="21"/>
                <w:highlight w:val="none"/>
              </w:rPr>
              <w:t>pH值为无量纲</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L</w:t>
            </w:r>
            <w:r>
              <w:rPr>
                <w:rFonts w:hint="eastAsia" w:cs="Times New Roman"/>
                <w:b w:val="0"/>
                <w:bCs/>
                <w:color w:val="auto"/>
                <w:sz w:val="21"/>
                <w:szCs w:val="21"/>
                <w:highlight w:val="none"/>
                <w:lang w:eastAsia="zh-CN"/>
              </w:rPr>
              <w:t>”表示未检出。</w:t>
            </w:r>
          </w:p>
        </w:tc>
      </w:tr>
    </w:tbl>
    <w:p w14:paraId="664049C6">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36" w:name="_Toc3283"/>
      <w:r>
        <w:rPr>
          <w:rFonts w:hint="default" w:ascii="Times New Roman" w:hAnsi="Times New Roman" w:eastAsia="宋体" w:cs="Times New Roman"/>
          <w:color w:val="auto"/>
          <w:kern w:val="2"/>
          <w:sz w:val="24"/>
          <w:szCs w:val="32"/>
          <w:highlight w:val="none"/>
          <w:lang w:val="en-US" w:eastAsia="zh-CN"/>
        </w:rPr>
        <w:t>3.</w:t>
      </w:r>
      <w:r>
        <w:rPr>
          <w:rFonts w:hint="eastAsia" w:ascii="Times New Roman" w:hAnsi="Times New Roman" w:eastAsia="宋体" w:cs="Times New Roman"/>
          <w:color w:val="auto"/>
          <w:kern w:val="2"/>
          <w:sz w:val="24"/>
          <w:szCs w:val="32"/>
          <w:highlight w:val="none"/>
          <w:lang w:val="en-US" w:eastAsia="zh-CN"/>
        </w:rPr>
        <w:t>5</w:t>
      </w:r>
      <w:r>
        <w:rPr>
          <w:rFonts w:hint="default" w:ascii="Times New Roman" w:hAnsi="Times New Roman" w:eastAsia="宋体" w:cs="Times New Roman"/>
          <w:color w:val="auto"/>
          <w:kern w:val="2"/>
          <w:sz w:val="24"/>
          <w:szCs w:val="32"/>
          <w:highlight w:val="none"/>
          <w:lang w:val="en-US" w:eastAsia="zh-CN"/>
        </w:rPr>
        <w:t>环境现状评价结论</w:t>
      </w:r>
      <w:bookmarkEnd w:id="136"/>
    </w:p>
    <w:p w14:paraId="133BCAC1">
      <w:pPr>
        <w:pStyle w:val="14"/>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根据水质监测结果可知，各监测断面所测监测因子的监测结果均满足《地表水环境质量标准》（GB3838-2002）中Ⅱ类区标准，说明项目所在区域水环境质量良好。</w:t>
      </w:r>
      <w:r>
        <w:rPr>
          <w:rFonts w:hint="eastAsia" w:ascii="Times New Roman" w:hAnsi="Times New Roman" w:eastAsia="宋体" w:cs="Times New Roman"/>
          <w:color w:val="auto"/>
          <w:kern w:val="2"/>
          <w:sz w:val="24"/>
          <w:szCs w:val="24"/>
          <w:highlight w:val="none"/>
          <w:lang w:val="en-US" w:eastAsia="zh-CN" w:bidi="ar"/>
        </w:rPr>
        <w:t>本项目</w:t>
      </w:r>
      <w:r>
        <w:rPr>
          <w:rFonts w:hint="eastAsia" w:cs="Times New Roman"/>
          <w:color w:val="auto"/>
          <w:kern w:val="2"/>
          <w:sz w:val="24"/>
          <w:szCs w:val="24"/>
          <w:highlight w:val="none"/>
          <w:lang w:val="en-US" w:eastAsia="zh-CN" w:bidi="ar"/>
        </w:rPr>
        <w:t>运营期可</w:t>
      </w:r>
      <w:r>
        <w:rPr>
          <w:rFonts w:hint="eastAsia" w:ascii="Times New Roman" w:hAnsi="Times New Roman" w:eastAsia="宋体" w:cs="Times New Roman"/>
          <w:color w:val="auto"/>
          <w:kern w:val="2"/>
          <w:sz w:val="24"/>
          <w:szCs w:val="24"/>
          <w:highlight w:val="none"/>
          <w:lang w:val="en-US" w:eastAsia="zh-CN" w:bidi="ar"/>
        </w:rPr>
        <w:t>将</w:t>
      </w:r>
      <w:r>
        <w:rPr>
          <w:rFonts w:hint="eastAsia" w:cs="Times New Roman"/>
          <w:color w:val="auto"/>
          <w:kern w:val="2"/>
          <w:sz w:val="24"/>
          <w:szCs w:val="24"/>
          <w:highlight w:val="none"/>
          <w:lang w:val="en-US" w:eastAsia="zh-CN" w:bidi="ar"/>
        </w:rPr>
        <w:t>谢村镇四〇五社区</w:t>
      </w:r>
      <w:r>
        <w:rPr>
          <w:rFonts w:hint="eastAsia" w:ascii="Times New Roman" w:hAnsi="Times New Roman" w:eastAsia="宋体" w:cs="Times New Roman"/>
          <w:color w:val="auto"/>
          <w:kern w:val="2"/>
          <w:sz w:val="24"/>
          <w:szCs w:val="24"/>
          <w:highlight w:val="none"/>
          <w:lang w:val="en-US" w:eastAsia="zh-CN" w:bidi="ar"/>
        </w:rPr>
        <w:t>区域的生活污水集中收集，处理达标后排入</w:t>
      </w:r>
      <w:r>
        <w:rPr>
          <w:rFonts w:hint="eastAsia" w:cs="Times New Roman"/>
          <w:color w:val="auto"/>
          <w:kern w:val="2"/>
          <w:sz w:val="24"/>
          <w:szCs w:val="24"/>
          <w:highlight w:val="none"/>
          <w:lang w:val="en-US" w:eastAsia="zh-CN" w:bidi="ar"/>
        </w:rPr>
        <w:t>溢水</w:t>
      </w:r>
      <w:r>
        <w:rPr>
          <w:rFonts w:hint="eastAsia" w:ascii="Times New Roman" w:hAnsi="Times New Roman" w:eastAsia="宋体" w:cs="Times New Roman"/>
          <w:color w:val="auto"/>
          <w:kern w:val="2"/>
          <w:sz w:val="24"/>
          <w:szCs w:val="24"/>
          <w:highlight w:val="none"/>
          <w:lang w:val="en-US" w:eastAsia="zh-CN" w:bidi="ar"/>
        </w:rPr>
        <w:t>河，项目的建设</w:t>
      </w:r>
      <w:r>
        <w:rPr>
          <w:rFonts w:hint="default" w:ascii="Times New Roman" w:hAnsi="Times New Roman" w:eastAsia="宋体" w:cs="Times New Roman"/>
          <w:color w:val="auto"/>
          <w:kern w:val="2"/>
          <w:sz w:val="24"/>
          <w:szCs w:val="24"/>
          <w:highlight w:val="none"/>
          <w:lang w:val="en-US" w:eastAsia="zh-CN" w:bidi="ar"/>
        </w:rPr>
        <w:t>能有效改善部分散排废水水质，减轻河道水质污染问题，</w:t>
      </w:r>
      <w:r>
        <w:rPr>
          <w:rFonts w:hint="eastAsia" w:ascii="Times New Roman" w:hAnsi="Times New Roman" w:eastAsia="宋体" w:cs="Times New Roman"/>
          <w:color w:val="auto"/>
          <w:kern w:val="2"/>
          <w:sz w:val="24"/>
          <w:szCs w:val="24"/>
          <w:highlight w:val="none"/>
          <w:lang w:val="en-US" w:eastAsia="zh-CN" w:bidi="ar"/>
        </w:rPr>
        <w:t>其对改善当地纳污水体</w:t>
      </w:r>
      <w:r>
        <w:rPr>
          <w:rFonts w:hint="eastAsia" w:cs="Times New Roman"/>
          <w:color w:val="auto"/>
          <w:kern w:val="2"/>
          <w:sz w:val="24"/>
          <w:szCs w:val="24"/>
          <w:highlight w:val="none"/>
          <w:lang w:val="en-US" w:eastAsia="zh-CN" w:bidi="ar"/>
        </w:rPr>
        <w:t>溢水河</w:t>
      </w:r>
      <w:r>
        <w:rPr>
          <w:rFonts w:hint="eastAsia" w:ascii="Times New Roman" w:hAnsi="Times New Roman" w:eastAsia="宋体" w:cs="Times New Roman"/>
          <w:color w:val="auto"/>
          <w:kern w:val="2"/>
          <w:sz w:val="24"/>
          <w:szCs w:val="24"/>
          <w:highlight w:val="none"/>
          <w:lang w:val="en-US" w:eastAsia="zh-CN" w:bidi="ar"/>
        </w:rPr>
        <w:t>及汉江干流的水质意义重大，对环境的影响是正向的。</w:t>
      </w:r>
    </w:p>
    <w:p w14:paraId="73F7DA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firstLine="480" w:firstLineChars="200"/>
        <w:jc w:val="left"/>
        <w:textAlignment w:val="auto"/>
        <w:rPr>
          <w:rFonts w:hint="default" w:ascii="Times New Roman" w:hAnsi="Times New Roman" w:eastAsia="宋体" w:cs="Times New Roman"/>
          <w:color w:val="auto"/>
          <w:kern w:val="2"/>
          <w:sz w:val="24"/>
          <w:szCs w:val="24"/>
          <w:highlight w:val="none"/>
          <w:lang w:val="en-US" w:eastAsia="zh-CN" w:bidi="ar"/>
        </w:rPr>
      </w:pPr>
    </w:p>
    <w:p w14:paraId="3489B610">
      <w:pPr>
        <w:pStyle w:val="3"/>
        <w:numPr>
          <w:ilvl w:val="0"/>
          <w:numId w:val="0"/>
        </w:numPr>
        <w:tabs>
          <w:tab w:val="left" w:pos="0"/>
        </w:tabs>
        <w:bidi w:val="0"/>
        <w:ind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br w:type="page"/>
      </w:r>
      <w:bookmarkStart w:id="137" w:name="_Toc15953"/>
      <w:r>
        <w:rPr>
          <w:rFonts w:hint="default" w:ascii="Times New Roman" w:hAnsi="Times New Roman" w:eastAsia="黑体" w:cs="Times New Roman"/>
          <w:b/>
          <w:bCs/>
          <w:color w:val="auto"/>
          <w:kern w:val="44"/>
          <w:sz w:val="30"/>
          <w:szCs w:val="30"/>
          <w:highlight w:val="none"/>
          <w:lang w:val="en-US" w:eastAsia="zh-CN" w:bidi="ar-SA"/>
        </w:rPr>
        <w:t>4 地表水环境影响分析评价</w:t>
      </w:r>
      <w:bookmarkEnd w:id="137"/>
    </w:p>
    <w:p w14:paraId="7AAB1873">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38" w:name="_Toc6516"/>
      <w:r>
        <w:rPr>
          <w:rFonts w:hint="default" w:ascii="Times New Roman" w:hAnsi="Times New Roman" w:eastAsia="宋体" w:cs="Times New Roman"/>
          <w:color w:val="auto"/>
          <w:kern w:val="2"/>
          <w:sz w:val="24"/>
          <w:szCs w:val="32"/>
          <w:highlight w:val="none"/>
          <w:lang w:val="en-US" w:eastAsia="zh-CN"/>
        </w:rPr>
        <w:t>4.1施工期环境影响评价</w:t>
      </w:r>
      <w:bookmarkEnd w:id="138"/>
    </w:p>
    <w:p w14:paraId="2F0CB6CB">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eastAsia" w:cs="Times New Roman"/>
          <w:bCs/>
          <w:color w:val="auto"/>
          <w:spacing w:val="-10"/>
          <w:sz w:val="24"/>
          <w:szCs w:val="24"/>
          <w:highlight w:val="none"/>
          <w:lang w:val="en-US" w:eastAsia="zh-CN"/>
        </w:rPr>
        <w:t>根据前文分析，</w:t>
      </w:r>
      <w:r>
        <w:rPr>
          <w:rFonts w:hint="default" w:ascii="Times New Roman" w:hAnsi="Times New Roman" w:eastAsia="宋体" w:cs="Times New Roman"/>
          <w:bCs/>
          <w:color w:val="auto"/>
          <w:spacing w:val="-10"/>
          <w:sz w:val="24"/>
          <w:szCs w:val="24"/>
          <w:highlight w:val="none"/>
          <w:lang w:val="en-US" w:eastAsia="zh-CN"/>
        </w:rPr>
        <w:t>项目施工期废水为生产废水和施工人员生活污水。</w:t>
      </w:r>
    </w:p>
    <w:p w14:paraId="6C8E8D3F">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（1）施工废水</w:t>
      </w:r>
      <w:r>
        <w:rPr>
          <w:rFonts w:hint="eastAsia"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项目施工过程会产生进出车辆和设备冲洗废水，主要污染物是SS</w:t>
      </w:r>
      <w:r>
        <w:rPr>
          <w:rFonts w:hint="eastAsia"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因此应在施工场地设置沉淀池，</w:t>
      </w:r>
      <w:r>
        <w:rPr>
          <w:rFonts w:hint="eastAsia" w:cs="Times New Roman"/>
          <w:bCs/>
          <w:color w:val="auto"/>
          <w:spacing w:val="-10"/>
          <w:sz w:val="24"/>
          <w:szCs w:val="24"/>
          <w:highlight w:val="none"/>
          <w:lang w:val="en-US" w:eastAsia="zh-CN"/>
        </w:rPr>
        <w:t>废水</w:t>
      </w:r>
      <w:r>
        <w:rPr>
          <w:rFonts w:hint="default" w:ascii="Times New Roman" w:hAnsi="Times New Roman" w:eastAsia="宋体" w:cs="Times New Roman"/>
          <w:bCs/>
          <w:color w:val="auto"/>
          <w:spacing w:val="-10"/>
          <w:sz w:val="24"/>
          <w:szCs w:val="24"/>
          <w:highlight w:val="none"/>
          <w:lang w:val="en-US" w:eastAsia="zh-CN"/>
        </w:rPr>
        <w:t>经沉淀后</w:t>
      </w:r>
      <w:r>
        <w:rPr>
          <w:rFonts w:hint="eastAsia" w:cs="Times New Roman"/>
          <w:bCs/>
          <w:color w:val="auto"/>
          <w:spacing w:val="-10"/>
          <w:sz w:val="24"/>
          <w:szCs w:val="24"/>
          <w:highlight w:val="none"/>
          <w:lang w:val="en-US" w:eastAsia="zh-CN"/>
        </w:rPr>
        <w:t>全部回用</w:t>
      </w:r>
      <w:r>
        <w:rPr>
          <w:rFonts w:hint="default" w:ascii="Times New Roman" w:hAnsi="Times New Roman" w:eastAsia="宋体" w:cs="Times New Roman"/>
          <w:bCs/>
          <w:color w:val="auto"/>
          <w:spacing w:val="-10"/>
          <w:sz w:val="24"/>
          <w:szCs w:val="24"/>
          <w:highlight w:val="none"/>
          <w:lang w:val="en-US" w:eastAsia="zh-CN"/>
        </w:rPr>
        <w:t>。</w:t>
      </w:r>
    </w:p>
    <w:p w14:paraId="47C536FE">
      <w:pPr>
        <w:snapToGrid w:val="0"/>
        <w:spacing w:line="360" w:lineRule="auto"/>
        <w:ind w:left="479" w:leftChars="228" w:firstLine="0" w:firstLineChars="0"/>
        <w:jc w:val="left"/>
        <w:rPr>
          <w:rFonts w:hint="default" w:ascii="Times New Roman" w:hAnsi="Times New Roman" w:eastAsia="宋体" w:cs="Times New Roman"/>
          <w:color w:val="auto"/>
          <w:kern w:val="0"/>
          <w:sz w:val="24"/>
          <w:szCs w:val="21"/>
          <w:highlight w:val="none"/>
          <w:vertAlign w:val="baseline"/>
          <w:lang w:val="en-US" w:eastAsia="zh-CN" w:bidi="ar"/>
        </w:rPr>
      </w:pPr>
      <w:r>
        <w:rPr>
          <w:rFonts w:hint="default" w:ascii="Times New Roman" w:hAnsi="Times New Roman" w:eastAsia="宋体" w:cs="Times New Roman"/>
          <w:bCs/>
          <w:color w:val="auto"/>
          <w:spacing w:val="-10"/>
          <w:sz w:val="24"/>
          <w:szCs w:val="24"/>
          <w:highlight w:val="none"/>
          <w:lang w:val="en-US" w:eastAsia="zh-CN"/>
        </w:rPr>
        <w:t>（2）生活污水</w:t>
      </w:r>
      <w:r>
        <w:rPr>
          <w:rFonts w:hint="eastAsia"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项目施工期施工人员所产生的生活污水</w:t>
      </w:r>
      <w:r>
        <w:rPr>
          <w:rFonts w:hint="eastAsia" w:cs="Times New Roman"/>
          <w:bCs/>
          <w:color w:val="auto"/>
          <w:spacing w:val="-10"/>
          <w:sz w:val="24"/>
          <w:szCs w:val="24"/>
          <w:highlight w:val="none"/>
          <w:lang w:val="en-US" w:eastAsia="zh-CN"/>
        </w:rPr>
        <w:t>经</w:t>
      </w:r>
      <w:r>
        <w:rPr>
          <w:rFonts w:hint="default" w:ascii="Times New Roman" w:hAnsi="Times New Roman" w:eastAsia="宋体" w:cs="Times New Roman"/>
          <w:bCs/>
          <w:color w:val="auto"/>
          <w:spacing w:val="-10"/>
          <w:sz w:val="24"/>
          <w:szCs w:val="24"/>
          <w:highlight w:val="none"/>
          <w:lang w:val="en-US" w:eastAsia="zh-CN"/>
        </w:rPr>
        <w:t>化粪池处理后综合利用。</w:t>
      </w:r>
      <w:r>
        <w:rPr>
          <w:rFonts w:hint="eastAsia" w:cs="Times New Roman"/>
          <w:bCs/>
          <w:color w:val="auto"/>
          <w:spacing w:val="-10"/>
          <w:sz w:val="24"/>
          <w:szCs w:val="24"/>
          <w:highlight w:val="none"/>
          <w:lang w:val="en-US" w:eastAsia="zh-CN"/>
        </w:rPr>
        <w:t>综上，</w:t>
      </w:r>
      <w:r>
        <w:rPr>
          <w:rFonts w:hint="default" w:ascii="Times New Roman" w:hAnsi="Times New Roman" w:eastAsia="宋体" w:cs="Times New Roman"/>
          <w:bCs/>
          <w:color w:val="auto"/>
          <w:spacing w:val="-10"/>
          <w:sz w:val="24"/>
          <w:szCs w:val="24"/>
          <w:highlight w:val="none"/>
          <w:lang w:val="en-US" w:eastAsia="zh-CN"/>
        </w:rPr>
        <w:t>在采取以上措施后，施工期</w:t>
      </w:r>
      <w:r>
        <w:rPr>
          <w:rFonts w:hint="eastAsia" w:cs="Times New Roman"/>
          <w:bCs/>
          <w:color w:val="auto"/>
          <w:spacing w:val="-10"/>
          <w:sz w:val="24"/>
          <w:szCs w:val="24"/>
          <w:highlight w:val="none"/>
          <w:lang w:val="en-US" w:eastAsia="zh-CN"/>
        </w:rPr>
        <w:t>废</w:t>
      </w:r>
      <w:r>
        <w:rPr>
          <w:rFonts w:hint="default" w:ascii="Times New Roman" w:hAnsi="Times New Roman" w:eastAsia="宋体" w:cs="Times New Roman"/>
          <w:bCs/>
          <w:color w:val="auto"/>
          <w:spacing w:val="-10"/>
          <w:sz w:val="24"/>
          <w:szCs w:val="24"/>
          <w:highlight w:val="none"/>
          <w:lang w:val="en-US" w:eastAsia="zh-CN"/>
        </w:rPr>
        <w:t>污水对周</w:t>
      </w:r>
      <w:r>
        <w:rPr>
          <w:rFonts w:hint="eastAsia" w:cs="Times New Roman"/>
          <w:bCs/>
          <w:color w:val="auto"/>
          <w:spacing w:val="-10"/>
          <w:sz w:val="24"/>
          <w:szCs w:val="24"/>
          <w:highlight w:val="none"/>
          <w:lang w:val="en-US" w:eastAsia="zh-CN"/>
        </w:rPr>
        <w:t>边</w:t>
      </w:r>
      <w:r>
        <w:rPr>
          <w:rFonts w:hint="default" w:ascii="Times New Roman" w:hAnsi="Times New Roman" w:eastAsia="宋体" w:cs="Times New Roman"/>
          <w:bCs/>
          <w:color w:val="auto"/>
          <w:spacing w:val="-10"/>
          <w:sz w:val="24"/>
          <w:szCs w:val="24"/>
          <w:highlight w:val="none"/>
          <w:lang w:val="en-US" w:eastAsia="zh-CN"/>
        </w:rPr>
        <w:t>水环境</w:t>
      </w:r>
      <w:r>
        <w:rPr>
          <w:rFonts w:hint="eastAsia" w:cs="Times New Roman"/>
          <w:bCs/>
          <w:color w:val="auto"/>
          <w:spacing w:val="-10"/>
          <w:sz w:val="24"/>
          <w:szCs w:val="24"/>
          <w:highlight w:val="none"/>
          <w:lang w:val="en-US" w:eastAsia="zh-CN"/>
        </w:rPr>
        <w:t>基本</w:t>
      </w:r>
      <w:r>
        <w:rPr>
          <w:rFonts w:hint="default" w:ascii="Times New Roman" w:hAnsi="Times New Roman" w:eastAsia="宋体" w:cs="Times New Roman"/>
          <w:bCs/>
          <w:color w:val="auto"/>
          <w:spacing w:val="-10"/>
          <w:sz w:val="24"/>
          <w:szCs w:val="24"/>
          <w:highlight w:val="none"/>
          <w:lang w:val="en-US" w:eastAsia="zh-CN"/>
        </w:rPr>
        <w:t>不会造成影响。</w:t>
      </w:r>
    </w:p>
    <w:p w14:paraId="380F9704">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39" w:name="_Toc5222"/>
      <w:r>
        <w:rPr>
          <w:rFonts w:hint="default" w:ascii="Times New Roman" w:hAnsi="Times New Roman" w:eastAsia="宋体" w:cs="Times New Roman"/>
          <w:color w:val="auto"/>
          <w:kern w:val="2"/>
          <w:sz w:val="24"/>
          <w:szCs w:val="32"/>
          <w:highlight w:val="none"/>
          <w:lang w:val="en-US" w:eastAsia="zh-CN"/>
        </w:rPr>
        <w:t>4.2运营期环境影响评价</w:t>
      </w:r>
      <w:bookmarkEnd w:id="139"/>
    </w:p>
    <w:p w14:paraId="45D57DCD">
      <w:pPr>
        <w:snapToGrid w:val="0"/>
        <w:spacing w:line="360" w:lineRule="auto"/>
        <w:ind w:firstLine="48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地表水环境影响预测</w:t>
      </w:r>
    </w:p>
    <w:p w14:paraId="25E5ACA7">
      <w:pPr>
        <w:snapToGrid w:val="0"/>
        <w:spacing w:line="360" w:lineRule="auto"/>
        <w:ind w:firstLine="480"/>
        <w:jc w:val="both"/>
        <w:rPr>
          <w:rFonts w:hint="default"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根据运营期污染源源强分析，按照污水处理站设计进出水水质进行计算，污水处理站污染物产生、排放及处理量见表4.2-</w:t>
      </w:r>
      <w:r>
        <w:rPr>
          <w:rFonts w:hint="eastAsia" w:cs="Times New Roman"/>
          <w:color w:val="auto"/>
          <w:sz w:val="24"/>
          <w:highlight w:val="none"/>
          <w:lang w:val="en-US" w:eastAsia="zh-CN"/>
        </w:rPr>
        <w:t>1</w:t>
      </w:r>
      <w:r>
        <w:rPr>
          <w:rFonts w:hint="eastAsia" w:ascii="Times New Roman" w:hAnsi="Times New Roman" w:cs="Times New Roman"/>
          <w:color w:val="auto"/>
          <w:sz w:val="24"/>
          <w:highlight w:val="none"/>
          <w:lang w:eastAsia="zh-CN"/>
        </w:rPr>
        <w:t>。</w:t>
      </w:r>
    </w:p>
    <w:p w14:paraId="17B1ED3B">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表4.2-2  污染物产生、排放及削减量  单位：t/a</w:t>
      </w:r>
    </w:p>
    <w:tbl>
      <w:tblPr>
        <w:tblStyle w:val="31"/>
        <w:tblW w:w="473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1609"/>
        <w:gridCol w:w="1609"/>
        <w:gridCol w:w="1609"/>
        <w:gridCol w:w="1609"/>
      </w:tblGrid>
      <w:tr w14:paraId="33F4A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000" w:type="pct"/>
            <w:tcBorders>
              <w:tl2br w:val="nil"/>
              <w:tr2bl w:val="nil"/>
            </w:tcBorders>
            <w:noWrap/>
            <w:vAlign w:val="center"/>
          </w:tcPr>
          <w:p w14:paraId="7D0635D3">
            <w:pPr>
              <w:pStyle w:val="2"/>
              <w:widowControl w:val="0"/>
              <w:snapToGrid/>
              <w:spacing w:beforeLines="30" w:afterLines="30" w:line="240" w:lineRule="auto"/>
              <w:ind w:right="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指标</w:t>
            </w:r>
          </w:p>
        </w:tc>
        <w:tc>
          <w:tcPr>
            <w:tcW w:w="1000" w:type="pct"/>
            <w:tcBorders>
              <w:tl2br w:val="nil"/>
              <w:tr2bl w:val="nil"/>
            </w:tcBorders>
            <w:noWrap/>
            <w:vAlign w:val="center"/>
          </w:tcPr>
          <w:p w14:paraId="78CDAF27">
            <w:pPr>
              <w:pStyle w:val="2"/>
              <w:widowControl w:val="0"/>
              <w:snapToGrid/>
              <w:spacing w:beforeLines="30" w:afterLines="30" w:line="240" w:lineRule="auto"/>
              <w:ind w:right="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BOD</w:t>
            </w:r>
            <w:r>
              <w:rPr>
                <w:rFonts w:ascii="Times New Roman" w:hAnsi="Times New Roman" w:cs="Times New Roman"/>
                <w:b/>
                <w:bCs/>
                <w:color w:val="auto"/>
                <w:sz w:val="21"/>
                <w:szCs w:val="21"/>
                <w:highlight w:val="none"/>
                <w:vertAlign w:val="subscript"/>
              </w:rPr>
              <w:t>5</w:t>
            </w:r>
          </w:p>
        </w:tc>
        <w:tc>
          <w:tcPr>
            <w:tcW w:w="1000" w:type="pct"/>
            <w:tcBorders>
              <w:tl2br w:val="nil"/>
              <w:tr2bl w:val="nil"/>
            </w:tcBorders>
            <w:noWrap/>
            <w:vAlign w:val="center"/>
          </w:tcPr>
          <w:p w14:paraId="083D5EFC">
            <w:pPr>
              <w:pStyle w:val="2"/>
              <w:widowControl w:val="0"/>
              <w:snapToGrid/>
              <w:spacing w:beforeLines="30" w:afterLines="30" w:line="240" w:lineRule="auto"/>
              <w:ind w:right="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COD</w:t>
            </w:r>
          </w:p>
        </w:tc>
        <w:tc>
          <w:tcPr>
            <w:tcW w:w="1000" w:type="pct"/>
            <w:tcBorders>
              <w:tl2br w:val="nil"/>
              <w:tr2bl w:val="nil"/>
            </w:tcBorders>
            <w:noWrap/>
            <w:vAlign w:val="center"/>
          </w:tcPr>
          <w:p w14:paraId="4CE5D1BD">
            <w:pPr>
              <w:pStyle w:val="2"/>
              <w:widowControl w:val="0"/>
              <w:tabs>
                <w:tab w:val="center" w:pos="316"/>
              </w:tabs>
              <w:snapToGrid/>
              <w:spacing w:beforeLines="30" w:afterLines="30" w:line="240" w:lineRule="auto"/>
              <w:ind w:right="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SS</w:t>
            </w:r>
          </w:p>
        </w:tc>
        <w:tc>
          <w:tcPr>
            <w:tcW w:w="1000" w:type="pct"/>
            <w:tcBorders>
              <w:tl2br w:val="nil"/>
              <w:tr2bl w:val="nil"/>
            </w:tcBorders>
            <w:noWrap/>
            <w:vAlign w:val="center"/>
          </w:tcPr>
          <w:p w14:paraId="5705D5DD">
            <w:pPr>
              <w:pStyle w:val="2"/>
              <w:widowControl w:val="0"/>
              <w:snapToGrid/>
              <w:spacing w:beforeLines="30" w:afterLines="30" w:line="240" w:lineRule="auto"/>
              <w:ind w:right="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NH</w:t>
            </w:r>
            <w:r>
              <w:rPr>
                <w:rFonts w:ascii="Times New Roman" w:hAnsi="Times New Roman" w:cs="Times New Roman"/>
                <w:b/>
                <w:bCs/>
                <w:color w:val="auto"/>
                <w:sz w:val="21"/>
                <w:szCs w:val="21"/>
                <w:highlight w:val="none"/>
                <w:vertAlign w:val="subscript"/>
              </w:rPr>
              <w:t>3</w:t>
            </w:r>
            <w:r>
              <w:rPr>
                <w:rFonts w:ascii="Times New Roman" w:hAnsi="Times New Roman" w:cs="Times New Roman"/>
                <w:b/>
                <w:bCs/>
                <w:color w:val="auto"/>
                <w:sz w:val="21"/>
                <w:szCs w:val="21"/>
                <w:highlight w:val="none"/>
              </w:rPr>
              <w:t>-N</w:t>
            </w:r>
          </w:p>
        </w:tc>
      </w:tr>
      <w:tr w14:paraId="621A8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00" w:type="pct"/>
            <w:tcBorders>
              <w:tl2br w:val="nil"/>
              <w:tr2bl w:val="nil"/>
            </w:tcBorders>
            <w:noWrap/>
            <w:vAlign w:val="center"/>
          </w:tcPr>
          <w:p w14:paraId="2D06187C">
            <w:pPr>
              <w:pStyle w:val="2"/>
              <w:widowControl w:val="0"/>
              <w:snapToGrid/>
              <w:spacing w:beforeLines="30" w:afterLines="30" w:line="240" w:lineRule="auto"/>
              <w:ind w:right="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污染物产生量</w:t>
            </w:r>
          </w:p>
        </w:tc>
        <w:tc>
          <w:tcPr>
            <w:tcW w:w="1000" w:type="pct"/>
            <w:tcBorders>
              <w:tl2br w:val="nil"/>
              <w:tr2bl w:val="nil"/>
            </w:tcBorders>
            <w:noWrap/>
            <w:vAlign w:val="center"/>
          </w:tcPr>
          <w:p w14:paraId="34BA3EB1">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136.87</w:t>
            </w:r>
          </w:p>
        </w:tc>
        <w:tc>
          <w:tcPr>
            <w:tcW w:w="1000" w:type="pct"/>
            <w:tcBorders>
              <w:tl2br w:val="nil"/>
              <w:tr2bl w:val="nil"/>
            </w:tcBorders>
            <w:noWrap/>
            <w:vAlign w:val="center"/>
          </w:tcPr>
          <w:p w14:paraId="03E9CD65">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246.37</w:t>
            </w:r>
          </w:p>
        </w:tc>
        <w:tc>
          <w:tcPr>
            <w:tcW w:w="1000" w:type="pct"/>
            <w:tcBorders>
              <w:tl2br w:val="nil"/>
              <w:tr2bl w:val="nil"/>
            </w:tcBorders>
            <w:noWrap/>
            <w:vAlign w:val="center"/>
          </w:tcPr>
          <w:p w14:paraId="7FA08C0E">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164.25</w:t>
            </w:r>
          </w:p>
        </w:tc>
        <w:tc>
          <w:tcPr>
            <w:tcW w:w="1000" w:type="pct"/>
            <w:tcBorders>
              <w:tl2br w:val="nil"/>
              <w:tr2bl w:val="nil"/>
            </w:tcBorders>
            <w:noWrap/>
            <w:vAlign w:val="center"/>
          </w:tcPr>
          <w:p w14:paraId="7640A422">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27.37</w:t>
            </w:r>
          </w:p>
        </w:tc>
      </w:tr>
      <w:tr w14:paraId="4A18B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00" w:type="pct"/>
            <w:tcBorders>
              <w:tl2br w:val="nil"/>
              <w:tr2bl w:val="nil"/>
            </w:tcBorders>
            <w:noWrap/>
            <w:vAlign w:val="center"/>
          </w:tcPr>
          <w:p w14:paraId="0A511BB9">
            <w:pPr>
              <w:pStyle w:val="2"/>
              <w:widowControl w:val="0"/>
              <w:snapToGrid/>
              <w:spacing w:beforeLines="30" w:afterLines="30" w:line="240" w:lineRule="auto"/>
              <w:ind w:right="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污染物排放量</w:t>
            </w:r>
          </w:p>
        </w:tc>
        <w:tc>
          <w:tcPr>
            <w:tcW w:w="1000" w:type="pct"/>
            <w:tcBorders>
              <w:tl2br w:val="nil"/>
              <w:tr2bl w:val="nil"/>
            </w:tcBorders>
            <w:noWrap/>
            <w:vAlign w:val="center"/>
          </w:tcPr>
          <w:p w14:paraId="1941410C">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5.47</w:t>
            </w:r>
          </w:p>
        </w:tc>
        <w:tc>
          <w:tcPr>
            <w:tcW w:w="1000" w:type="pct"/>
            <w:tcBorders>
              <w:tl2br w:val="nil"/>
              <w:tr2bl w:val="nil"/>
            </w:tcBorders>
            <w:noWrap/>
            <w:vAlign w:val="center"/>
          </w:tcPr>
          <w:p w14:paraId="099FF0AB">
            <w:pPr>
              <w:spacing w:beforeLines="30" w:afterLines="3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27.37</w:t>
            </w:r>
          </w:p>
        </w:tc>
        <w:tc>
          <w:tcPr>
            <w:tcW w:w="1000" w:type="pct"/>
            <w:tcBorders>
              <w:tl2br w:val="nil"/>
              <w:tr2bl w:val="nil"/>
            </w:tcBorders>
            <w:noWrap/>
            <w:vAlign w:val="center"/>
          </w:tcPr>
          <w:p w14:paraId="5647739B">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5.47</w:t>
            </w:r>
          </w:p>
        </w:tc>
        <w:tc>
          <w:tcPr>
            <w:tcW w:w="1000" w:type="pct"/>
            <w:tcBorders>
              <w:tl2br w:val="nil"/>
              <w:tr2bl w:val="nil"/>
            </w:tcBorders>
            <w:noWrap/>
            <w:vAlign w:val="center"/>
          </w:tcPr>
          <w:p w14:paraId="06238C1F">
            <w:pPr>
              <w:spacing w:beforeLines="30" w:afterLines="3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2.73</w:t>
            </w:r>
          </w:p>
        </w:tc>
      </w:tr>
      <w:tr w14:paraId="68243D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000" w:type="pct"/>
            <w:tcBorders>
              <w:tl2br w:val="nil"/>
              <w:tr2bl w:val="nil"/>
            </w:tcBorders>
            <w:noWrap/>
            <w:vAlign w:val="center"/>
          </w:tcPr>
          <w:p w14:paraId="2D9A9C7B">
            <w:pPr>
              <w:pStyle w:val="2"/>
              <w:widowControl w:val="0"/>
              <w:snapToGrid/>
              <w:spacing w:beforeLines="30" w:afterLines="30" w:line="240" w:lineRule="auto"/>
              <w:ind w:right="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污染物削减量</w:t>
            </w:r>
          </w:p>
        </w:tc>
        <w:tc>
          <w:tcPr>
            <w:tcW w:w="1609" w:type="dxa"/>
            <w:tcBorders>
              <w:tl2br w:val="nil"/>
              <w:tr2bl w:val="nil"/>
            </w:tcBorders>
            <w:noWrap/>
            <w:vAlign w:val="center"/>
          </w:tcPr>
          <w:p w14:paraId="5E87056A">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131.4</w:t>
            </w:r>
          </w:p>
        </w:tc>
        <w:tc>
          <w:tcPr>
            <w:tcW w:w="1609" w:type="dxa"/>
            <w:tcBorders>
              <w:tl2br w:val="nil"/>
              <w:tr2bl w:val="nil"/>
            </w:tcBorders>
            <w:noWrap/>
            <w:vAlign w:val="center"/>
          </w:tcPr>
          <w:p w14:paraId="6AFBD347">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219</w:t>
            </w:r>
          </w:p>
        </w:tc>
        <w:tc>
          <w:tcPr>
            <w:tcW w:w="1609" w:type="dxa"/>
            <w:tcBorders>
              <w:tl2br w:val="nil"/>
              <w:tr2bl w:val="nil"/>
            </w:tcBorders>
            <w:noWrap/>
            <w:vAlign w:val="center"/>
          </w:tcPr>
          <w:p w14:paraId="0E4BB164">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158.78</w:t>
            </w:r>
          </w:p>
        </w:tc>
        <w:tc>
          <w:tcPr>
            <w:tcW w:w="1609" w:type="dxa"/>
            <w:tcBorders>
              <w:tl2br w:val="nil"/>
              <w:tr2bl w:val="nil"/>
            </w:tcBorders>
            <w:noWrap/>
            <w:vAlign w:val="center"/>
          </w:tcPr>
          <w:p w14:paraId="1A87D97E">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24.64</w:t>
            </w:r>
          </w:p>
        </w:tc>
      </w:tr>
    </w:tbl>
    <w:p w14:paraId="535E0AEB">
      <w:pPr>
        <w:spacing w:beforeLines="50" w:line="360" w:lineRule="auto"/>
        <w:ind w:firstLine="480" w:firstLineChars="200"/>
        <w:rPr>
          <w:rFonts w:ascii="Times New Roman" w:hAnsi="Times New Roman" w:cs="Times New Roman"/>
          <w:color w:val="auto"/>
          <w:sz w:val="24"/>
          <w:highlight w:val="none"/>
        </w:rPr>
      </w:pPr>
      <w:r>
        <w:rPr>
          <w:rFonts w:ascii="Times New Roman" w:hAnsi="Times New Roman" w:cs="Times New Roman"/>
          <w:color w:val="auto"/>
          <w:sz w:val="24"/>
          <w:highlight w:val="none"/>
        </w:rPr>
        <w:t>根据调查，</w:t>
      </w:r>
      <w:r>
        <w:rPr>
          <w:rFonts w:hint="eastAsia" w:cs="Times New Roman"/>
          <w:color w:val="auto"/>
          <w:sz w:val="24"/>
          <w:highlight w:val="none"/>
          <w:lang w:eastAsia="zh-CN"/>
        </w:rPr>
        <w:t>目前</w:t>
      </w:r>
      <w:r>
        <w:rPr>
          <w:rFonts w:ascii="Times New Roman" w:hAnsi="Times New Roman" w:cs="Times New Roman"/>
          <w:color w:val="auto"/>
          <w:sz w:val="24"/>
          <w:highlight w:val="none"/>
        </w:rPr>
        <w:t>当地农村生活污水</w:t>
      </w:r>
      <w:r>
        <w:rPr>
          <w:rFonts w:hint="eastAsia" w:cs="Times New Roman"/>
          <w:color w:val="auto"/>
          <w:sz w:val="24"/>
          <w:highlight w:val="none"/>
          <w:lang w:eastAsia="zh-CN"/>
        </w:rPr>
        <w:t>存在散排、乱排现象</w:t>
      </w:r>
      <w:r>
        <w:rPr>
          <w:rFonts w:ascii="Times New Roman" w:hAnsi="Times New Roman" w:cs="Times New Roman"/>
          <w:color w:val="auto"/>
          <w:sz w:val="24"/>
          <w:highlight w:val="none"/>
        </w:rPr>
        <w:t>，废水未经处理直接排放至</w:t>
      </w:r>
      <w:r>
        <w:rPr>
          <w:rFonts w:hint="eastAsia" w:cs="Times New Roman"/>
          <w:color w:val="auto"/>
          <w:sz w:val="24"/>
          <w:highlight w:val="none"/>
          <w:lang w:val="en-US" w:eastAsia="zh-CN"/>
        </w:rPr>
        <w:t>溢水</w:t>
      </w:r>
      <w:r>
        <w:rPr>
          <w:rFonts w:ascii="Times New Roman" w:hAnsi="Times New Roman" w:cs="Times New Roman"/>
          <w:color w:val="auto"/>
          <w:sz w:val="24"/>
          <w:highlight w:val="none"/>
        </w:rPr>
        <w:t>河中。本项目的建设能够将</w:t>
      </w:r>
      <w:r>
        <w:rPr>
          <w:rFonts w:hint="eastAsia" w:cs="Times New Roman"/>
          <w:color w:val="auto"/>
          <w:sz w:val="24"/>
          <w:highlight w:val="none"/>
          <w:lang w:eastAsia="zh-CN"/>
        </w:rPr>
        <w:t>谢村镇四〇五社区</w:t>
      </w:r>
      <w:r>
        <w:rPr>
          <w:rFonts w:ascii="Times New Roman" w:hAnsi="Times New Roman" w:cs="Times New Roman"/>
          <w:color w:val="auto"/>
          <w:sz w:val="24"/>
          <w:highlight w:val="none"/>
        </w:rPr>
        <w:t>区域</w:t>
      </w:r>
      <w:r>
        <w:rPr>
          <w:rFonts w:hint="eastAsia" w:cs="Times New Roman"/>
          <w:color w:val="auto"/>
          <w:sz w:val="24"/>
          <w:highlight w:val="none"/>
          <w:lang w:eastAsia="zh-CN"/>
        </w:rPr>
        <w:t>内</w:t>
      </w:r>
      <w:r>
        <w:rPr>
          <w:rFonts w:ascii="Times New Roman" w:hAnsi="Times New Roman" w:cs="Times New Roman"/>
          <w:color w:val="auto"/>
          <w:sz w:val="24"/>
          <w:highlight w:val="none"/>
        </w:rPr>
        <w:t>生活污水集中收集处理，处理</w:t>
      </w:r>
      <w:r>
        <w:rPr>
          <w:rFonts w:hint="default" w:ascii="Times New Roman" w:hAnsi="Times New Roman" w:cs="Times New Roman"/>
          <w:color w:val="auto"/>
          <w:sz w:val="24"/>
          <w:highlight w:val="none"/>
        </w:rPr>
        <w:t>达到《</w:t>
      </w:r>
      <w:r>
        <w:rPr>
          <w:rFonts w:hint="default" w:ascii="Times New Roman" w:hAnsi="Times New Roman" w:cs="Times New Roman"/>
          <w:color w:val="auto"/>
          <w:sz w:val="24"/>
          <w:highlight w:val="none"/>
          <w:lang w:eastAsia="zh-CN"/>
        </w:rPr>
        <w:t>城镇污水处理厂</w:t>
      </w:r>
      <w:r>
        <w:rPr>
          <w:rFonts w:hint="default" w:ascii="Times New Roman" w:hAnsi="Times New Roman" w:cs="Times New Roman"/>
          <w:color w:val="auto"/>
          <w:sz w:val="24"/>
          <w:highlight w:val="none"/>
        </w:rPr>
        <w:t>污染物排放标准》（GB18918-2002）一级A标准后排放。</w:t>
      </w:r>
      <w:r>
        <w:rPr>
          <w:rFonts w:ascii="Times New Roman" w:hAnsi="Times New Roman" w:cs="Times New Roman"/>
          <w:color w:val="auto"/>
          <w:sz w:val="24"/>
          <w:highlight w:val="none"/>
        </w:rPr>
        <w:t>项目的建设能够</w:t>
      </w:r>
      <w:r>
        <w:rPr>
          <w:rFonts w:hint="eastAsia" w:cs="Times New Roman"/>
          <w:color w:val="auto"/>
          <w:sz w:val="24"/>
          <w:highlight w:val="none"/>
          <w:lang w:eastAsia="zh-CN"/>
        </w:rPr>
        <w:t>削减</w:t>
      </w:r>
      <w:r>
        <w:rPr>
          <w:rFonts w:ascii="Times New Roman" w:hAnsi="Times New Roman" w:cs="Times New Roman"/>
          <w:color w:val="auto"/>
          <w:sz w:val="24"/>
          <w:highlight w:val="none"/>
        </w:rPr>
        <w:t>BOD</w:t>
      </w:r>
      <w:r>
        <w:rPr>
          <w:rFonts w:ascii="Times New Roman" w:hAnsi="Times New Roman" w:cs="Times New Roman"/>
          <w:color w:val="auto"/>
          <w:sz w:val="24"/>
          <w:highlight w:val="none"/>
          <w:vertAlign w:val="subscript"/>
        </w:rPr>
        <w:t>5</w:t>
      </w:r>
      <w:r>
        <w:rPr>
          <w:rFonts w:ascii="Times New Roman" w:hAnsi="Times New Roman" w:cs="Times New Roman"/>
          <w:color w:val="auto"/>
          <w:sz w:val="24"/>
          <w:highlight w:val="none"/>
        </w:rPr>
        <w:t>、COD、SS、NH</w:t>
      </w:r>
      <w:r>
        <w:rPr>
          <w:rFonts w:ascii="Times New Roman" w:hAnsi="Times New Roman" w:cs="Times New Roman"/>
          <w:color w:val="auto"/>
          <w:sz w:val="24"/>
          <w:highlight w:val="none"/>
          <w:vertAlign w:val="subscript"/>
        </w:rPr>
        <w:t>3</w:t>
      </w:r>
      <w:r>
        <w:rPr>
          <w:rFonts w:ascii="Times New Roman" w:hAnsi="Times New Roman" w:cs="Times New Roman"/>
          <w:color w:val="auto"/>
          <w:sz w:val="24"/>
          <w:highlight w:val="none"/>
        </w:rPr>
        <w:t>-N的量分别为</w:t>
      </w:r>
      <w:r>
        <w:rPr>
          <w:rFonts w:hint="eastAsia" w:cs="Times New Roman"/>
          <w:color w:val="auto"/>
          <w:sz w:val="24"/>
          <w:highlight w:val="none"/>
          <w:lang w:val="en-US" w:eastAsia="zh-CN"/>
        </w:rPr>
        <w:t>131.4</w:t>
      </w:r>
      <w:r>
        <w:rPr>
          <w:rFonts w:hint="eastAsia" w:ascii="Times New Roman" w:hAnsi="Times New Roman" w:cs="Times New Roman"/>
          <w:color w:val="auto"/>
          <w:sz w:val="24"/>
          <w:highlight w:val="none"/>
          <w:lang w:val="en-US" w:eastAsia="zh-CN"/>
        </w:rPr>
        <w:t>t/a、</w:t>
      </w:r>
      <w:r>
        <w:rPr>
          <w:rFonts w:hint="eastAsia" w:cs="Times New Roman"/>
          <w:color w:val="auto"/>
          <w:sz w:val="24"/>
          <w:highlight w:val="none"/>
          <w:lang w:val="en-US" w:eastAsia="zh-CN"/>
        </w:rPr>
        <w:t>219</w:t>
      </w:r>
      <w:r>
        <w:rPr>
          <w:rFonts w:hint="eastAsia" w:ascii="Times New Roman" w:hAnsi="Times New Roman" w:cs="Times New Roman"/>
          <w:color w:val="auto"/>
          <w:sz w:val="24"/>
          <w:highlight w:val="none"/>
          <w:lang w:val="en-US" w:eastAsia="zh-CN"/>
        </w:rPr>
        <w:t>t/a、</w:t>
      </w:r>
      <w:r>
        <w:rPr>
          <w:rFonts w:hint="eastAsia" w:cs="Times New Roman"/>
          <w:color w:val="auto"/>
          <w:sz w:val="24"/>
          <w:highlight w:val="none"/>
          <w:lang w:val="en-US" w:eastAsia="zh-CN"/>
        </w:rPr>
        <w:t>158.78</w:t>
      </w:r>
      <w:r>
        <w:rPr>
          <w:rFonts w:hint="eastAsia" w:ascii="Times New Roman" w:hAnsi="Times New Roman" w:cs="Times New Roman"/>
          <w:color w:val="auto"/>
          <w:sz w:val="24"/>
          <w:highlight w:val="none"/>
          <w:lang w:val="en-US" w:eastAsia="zh-CN"/>
        </w:rPr>
        <w:t>t/a、</w:t>
      </w:r>
      <w:r>
        <w:rPr>
          <w:rFonts w:hint="eastAsia" w:cs="Times New Roman"/>
          <w:color w:val="auto"/>
          <w:sz w:val="24"/>
          <w:highlight w:val="none"/>
          <w:lang w:val="en-US" w:eastAsia="zh-CN"/>
        </w:rPr>
        <w:t>24.64</w:t>
      </w:r>
      <w:r>
        <w:rPr>
          <w:rFonts w:hint="eastAsia" w:ascii="Times New Roman" w:hAnsi="Times New Roman" w:cs="Times New Roman"/>
          <w:color w:val="auto"/>
          <w:sz w:val="24"/>
          <w:highlight w:val="none"/>
          <w:lang w:val="en-US" w:eastAsia="zh-CN"/>
        </w:rPr>
        <w:t>t/a</w:t>
      </w:r>
      <w:r>
        <w:rPr>
          <w:rFonts w:ascii="Times New Roman" w:hAnsi="Times New Roman" w:cs="Times New Roman"/>
          <w:color w:val="auto"/>
          <w:sz w:val="24"/>
          <w:highlight w:val="none"/>
        </w:rPr>
        <w:t>，</w:t>
      </w:r>
      <w:r>
        <w:rPr>
          <w:rFonts w:ascii="Times New Roman" w:hAnsi="Times New Roman" w:cs="Times New Roman"/>
          <w:color w:val="auto"/>
          <w:sz w:val="24"/>
          <w:highlight w:val="none"/>
        </w:rPr>
        <w:t>能有效改善部分散排废水水质，减轻河道水质污染问题，对环境的影响是正向的。</w:t>
      </w:r>
    </w:p>
    <w:p w14:paraId="64777804">
      <w:pPr>
        <w:pStyle w:val="106"/>
        <w:adjustRightInd w:val="0"/>
        <w:snapToGrid w:val="0"/>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本次评价选择</w:t>
      </w:r>
      <w:r>
        <w:rPr>
          <w:rFonts w:hint="eastAsia" w:cs="Times New Roman"/>
          <w:color w:val="auto"/>
          <w:highlight w:val="none"/>
          <w:lang w:eastAsia="zh-CN"/>
        </w:rPr>
        <w:t>溢水</w:t>
      </w:r>
      <w:r>
        <w:rPr>
          <w:rFonts w:hint="default" w:ascii="Times New Roman" w:hAnsi="Times New Roman" w:eastAsia="宋体" w:cs="Times New Roman"/>
          <w:color w:val="auto"/>
          <w:kern w:val="2"/>
          <w:sz w:val="24"/>
          <w:szCs w:val="24"/>
          <w:highlight w:val="none"/>
          <w:lang w:val="en-US" w:eastAsia="zh-CN" w:bidi="ar-SA"/>
        </w:rPr>
        <w:t>河枯水期</w:t>
      </w:r>
      <w:r>
        <w:rPr>
          <w:rFonts w:hint="default" w:ascii="Times New Roman" w:hAnsi="Times New Roman" w:cs="Times New Roman"/>
          <w:color w:val="auto"/>
          <w:highlight w:val="none"/>
        </w:rPr>
        <w:t>作为预测时段，预测因子选择污染物：</w:t>
      </w:r>
      <w:r>
        <w:rPr>
          <w:rFonts w:hint="default" w:ascii="Times New Roman" w:hAnsi="Times New Roman" w:cs="Times New Roman"/>
          <w:color w:val="auto"/>
          <w:highlight w:val="none"/>
        </w:rPr>
        <w:t>COD</w:t>
      </w:r>
      <w:r>
        <w:rPr>
          <w:rFonts w:hint="eastAsia" w:cs="Times New Roman"/>
          <w:color w:val="auto"/>
          <w:highlight w:val="none"/>
          <w:lang w:eastAsia="zh-CN"/>
        </w:rPr>
        <w:t>、</w:t>
      </w: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w:t>
      </w:r>
      <w:r>
        <w:rPr>
          <w:rFonts w:hint="eastAsia" w:cs="Times New Roman"/>
          <w:color w:val="auto"/>
          <w:highlight w:val="none"/>
          <w:lang w:eastAsia="zh-CN"/>
        </w:rPr>
        <w:t>、</w:t>
      </w:r>
      <w:r>
        <w:rPr>
          <w:rFonts w:hint="eastAsia" w:cs="Times New Roman"/>
          <w:color w:val="auto"/>
          <w:highlight w:val="none"/>
          <w:lang w:val="en-US" w:eastAsia="zh-CN"/>
        </w:rPr>
        <w:t>TP</w:t>
      </w:r>
      <w:r>
        <w:rPr>
          <w:rFonts w:hint="default" w:ascii="Times New Roman" w:hAnsi="Times New Roman" w:cs="Times New Roman"/>
          <w:color w:val="auto"/>
          <w:highlight w:val="none"/>
        </w:rPr>
        <w:t>。</w:t>
      </w:r>
    </w:p>
    <w:p w14:paraId="258F8335">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①预测范围</w:t>
      </w:r>
    </w:p>
    <w:p w14:paraId="638D139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本次评价预测范围为污水</w:t>
      </w:r>
      <w:r>
        <w:rPr>
          <w:rFonts w:hint="default" w:ascii="Times New Roman" w:hAnsi="Times New Roman" w:cs="Times New Roman"/>
          <w:color w:val="auto"/>
          <w:sz w:val="24"/>
          <w:highlight w:val="none"/>
          <w:lang w:eastAsia="zh-CN"/>
        </w:rPr>
        <w:t>处理站</w:t>
      </w:r>
      <w:r>
        <w:rPr>
          <w:rFonts w:hint="default" w:ascii="Times New Roman" w:hAnsi="Times New Roman" w:cs="Times New Roman"/>
          <w:color w:val="auto"/>
          <w:sz w:val="24"/>
          <w:highlight w:val="none"/>
        </w:rPr>
        <w:t>尾水排放口</w:t>
      </w:r>
      <w:r>
        <w:rPr>
          <w:rFonts w:hint="eastAsia" w:cs="Times New Roman"/>
          <w:color w:val="auto"/>
          <w:sz w:val="24"/>
          <w:szCs w:val="24"/>
          <w:highlight w:val="none"/>
          <w:lang w:val="en-US" w:eastAsia="zh-CN"/>
        </w:rPr>
        <w:t>上游500m</w:t>
      </w:r>
      <w:r>
        <w:rPr>
          <w:rFonts w:hint="default" w:ascii="Times New Roman" w:hAnsi="Times New Roman" w:eastAsia="宋体" w:cs="Times New Roman"/>
          <w:color w:val="auto"/>
          <w:sz w:val="24"/>
          <w:szCs w:val="24"/>
          <w:highlight w:val="none"/>
          <w:lang w:val="en-US" w:eastAsia="zh-CN"/>
        </w:rPr>
        <w:t>至</w:t>
      </w:r>
      <w:r>
        <w:rPr>
          <w:rFonts w:hint="eastAsia" w:cs="Times New Roman"/>
          <w:color w:val="auto"/>
          <w:sz w:val="24"/>
          <w:szCs w:val="24"/>
          <w:highlight w:val="none"/>
          <w:lang w:val="en-US" w:eastAsia="zh-CN"/>
        </w:rPr>
        <w:t>溢水</w:t>
      </w:r>
      <w:r>
        <w:rPr>
          <w:rFonts w:hint="default" w:ascii="Times New Roman" w:hAnsi="Times New Roman" w:eastAsia="宋体" w:cs="Times New Roman"/>
          <w:color w:val="auto"/>
          <w:sz w:val="24"/>
          <w:szCs w:val="24"/>
          <w:highlight w:val="none"/>
          <w:lang w:val="en-US" w:eastAsia="zh-CN"/>
        </w:rPr>
        <w:t>河入汉江汇入口，</w:t>
      </w:r>
      <w:r>
        <w:rPr>
          <w:rFonts w:hint="default" w:ascii="Times New Roman" w:hAnsi="Times New Roman" w:eastAsia="宋体" w:cs="Times New Roman"/>
          <w:color w:val="auto"/>
          <w:sz w:val="24"/>
          <w:szCs w:val="24"/>
          <w:highlight w:val="none"/>
          <w:lang w:val="en-US" w:eastAsia="zh-CN"/>
        </w:rPr>
        <w:t>长度约</w:t>
      </w:r>
      <w:r>
        <w:rPr>
          <w:rFonts w:hint="eastAsia" w:cs="Times New Roman"/>
          <w:color w:val="auto"/>
          <w:sz w:val="24"/>
          <w:szCs w:val="24"/>
          <w:highlight w:val="none"/>
          <w:lang w:val="en-US" w:eastAsia="zh-CN"/>
        </w:rPr>
        <w:t>4.7</w:t>
      </w:r>
      <w:r>
        <w:rPr>
          <w:rFonts w:hint="default" w:ascii="Times New Roman" w:hAnsi="Times New Roman" w:eastAsia="宋体" w:cs="Times New Roman"/>
          <w:color w:val="auto"/>
          <w:sz w:val="24"/>
          <w:szCs w:val="24"/>
          <w:highlight w:val="none"/>
          <w:lang w:val="en-US" w:eastAsia="zh-CN"/>
        </w:rPr>
        <w:t>km</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highlight w:val="none"/>
        </w:rPr>
        <w:t>预测范围及对应水质目标见表</w:t>
      </w:r>
      <w:r>
        <w:rPr>
          <w:rFonts w:hint="default" w:ascii="Times New Roman" w:hAnsi="Times New Roman" w:cs="Times New Roman"/>
          <w:color w:val="auto"/>
          <w:sz w:val="24"/>
          <w:highlight w:val="none"/>
          <w:lang w:val="en-US" w:eastAsia="zh-CN"/>
        </w:rPr>
        <w:t>4.2-</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w:t>
      </w:r>
    </w:p>
    <w:p w14:paraId="75D2CCD3">
      <w:pPr>
        <w:pStyle w:val="102"/>
        <w:snapToGrid w:val="0"/>
        <w:spacing w:line="240" w:lineRule="auto"/>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表</w:t>
      </w:r>
      <w:r>
        <w:rPr>
          <w:rFonts w:hint="default" w:ascii="Times New Roman" w:hAnsi="Times New Roman" w:cs="Times New Roman"/>
          <w:b/>
          <w:bCs/>
          <w:color w:val="auto"/>
          <w:sz w:val="21"/>
          <w:highlight w:val="none"/>
          <w:lang w:val="en-US" w:eastAsia="zh-CN"/>
        </w:rPr>
        <w:t>4.2-</w:t>
      </w:r>
      <w:r>
        <w:rPr>
          <w:rFonts w:hint="eastAsia" w:ascii="Times New Roman" w:cs="Times New Roman"/>
          <w:b/>
          <w:bCs/>
          <w:color w:val="auto"/>
          <w:sz w:val="21"/>
          <w:highlight w:val="none"/>
          <w:lang w:val="en-US" w:eastAsia="zh-CN"/>
        </w:rPr>
        <w:t>2</w:t>
      </w:r>
      <w:r>
        <w:rPr>
          <w:rFonts w:hint="default" w:ascii="Times New Roman" w:hAnsi="Times New Roman" w:cs="Times New Roman"/>
          <w:b/>
          <w:bCs/>
          <w:color w:val="auto"/>
          <w:sz w:val="21"/>
          <w:highlight w:val="none"/>
        </w:rPr>
        <w:t xml:space="preserve">  本项目预测范围</w:t>
      </w:r>
    </w:p>
    <w:tbl>
      <w:tblPr>
        <w:tblStyle w:val="31"/>
        <w:tblW w:w="876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56"/>
        <w:gridCol w:w="2821"/>
        <w:gridCol w:w="3684"/>
      </w:tblGrid>
      <w:tr w14:paraId="380167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256" w:type="dxa"/>
            <w:tcBorders>
              <w:tl2br w:val="nil"/>
              <w:tr2bl w:val="nil"/>
            </w:tcBorders>
            <w:noWrap w:val="0"/>
            <w:vAlign w:val="center"/>
          </w:tcPr>
          <w:p w14:paraId="6FB77F46">
            <w:pPr>
              <w:pStyle w:val="64"/>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预测范围</w:t>
            </w:r>
          </w:p>
        </w:tc>
        <w:tc>
          <w:tcPr>
            <w:tcW w:w="2821" w:type="dxa"/>
            <w:tcBorders>
              <w:tl2br w:val="nil"/>
              <w:tr2bl w:val="nil"/>
            </w:tcBorders>
            <w:noWrap w:val="0"/>
            <w:vAlign w:val="center"/>
          </w:tcPr>
          <w:p w14:paraId="2E00BE24">
            <w:pPr>
              <w:pStyle w:val="64"/>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水质目标</w:t>
            </w:r>
          </w:p>
        </w:tc>
        <w:tc>
          <w:tcPr>
            <w:tcW w:w="3684" w:type="dxa"/>
            <w:tcBorders>
              <w:tl2br w:val="nil"/>
              <w:tr2bl w:val="nil"/>
            </w:tcBorders>
            <w:noWrap w:val="0"/>
            <w:vAlign w:val="center"/>
          </w:tcPr>
          <w:p w14:paraId="15A13D67">
            <w:pPr>
              <w:pStyle w:val="64"/>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备注</w:t>
            </w:r>
          </w:p>
        </w:tc>
      </w:tr>
      <w:tr w14:paraId="71F77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2256" w:type="dxa"/>
            <w:tcBorders>
              <w:tl2br w:val="nil"/>
              <w:tr2bl w:val="nil"/>
            </w:tcBorders>
            <w:noWrap w:val="0"/>
            <w:vAlign w:val="center"/>
          </w:tcPr>
          <w:p w14:paraId="30ED3909">
            <w:pPr>
              <w:pStyle w:val="64"/>
              <w:rPr>
                <w:rFonts w:hint="default" w:ascii="Times New Roman" w:hAnsi="Times New Roman" w:cs="Times New Roman"/>
                <w:color w:val="auto"/>
                <w:sz w:val="21"/>
                <w:szCs w:val="21"/>
                <w:highlight w:val="none"/>
              </w:rPr>
            </w:pPr>
            <w:r>
              <w:rPr>
                <w:rFonts w:hint="eastAsia" w:ascii="Times New Roman" w:cs="Times New Roman"/>
                <w:color w:val="auto"/>
                <w:sz w:val="21"/>
                <w:szCs w:val="21"/>
                <w:highlight w:val="none"/>
                <w:lang w:val="en-US" w:eastAsia="zh-CN"/>
              </w:rPr>
              <w:t>尾水排放口上游500m至溢水河入汉江汇入口约4.7</w:t>
            </w:r>
            <w:r>
              <w:rPr>
                <w:rFonts w:hint="default" w:ascii="Times New Roman" w:hAnsi="Times New Roman" w:eastAsia="宋体" w:cs="Times New Roman"/>
                <w:color w:val="auto"/>
                <w:kern w:val="2"/>
                <w:sz w:val="21"/>
                <w:szCs w:val="21"/>
                <w:highlight w:val="none"/>
                <w:lang w:val="en-US" w:eastAsia="zh-CN" w:bidi="ar-SA"/>
              </w:rPr>
              <w:t>km</w:t>
            </w:r>
          </w:p>
        </w:tc>
        <w:tc>
          <w:tcPr>
            <w:tcW w:w="2821" w:type="dxa"/>
            <w:tcBorders>
              <w:tl2br w:val="nil"/>
              <w:tr2bl w:val="nil"/>
            </w:tcBorders>
            <w:noWrap w:val="0"/>
            <w:vAlign w:val="center"/>
          </w:tcPr>
          <w:p w14:paraId="0F30AE32">
            <w:pPr>
              <w:pStyle w:val="64"/>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《地表水环境质量标准》（GB3838-2002）Ⅱ类标准</w:t>
            </w:r>
          </w:p>
        </w:tc>
        <w:tc>
          <w:tcPr>
            <w:tcW w:w="3684" w:type="dxa"/>
            <w:tcBorders>
              <w:tl2br w:val="nil"/>
              <w:tr2bl w:val="nil"/>
            </w:tcBorders>
            <w:noWrap w:val="0"/>
            <w:vAlign w:val="center"/>
          </w:tcPr>
          <w:p w14:paraId="7259299B">
            <w:pPr>
              <w:pStyle w:val="64"/>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根据《陕西省水功能区划》，</w:t>
            </w:r>
            <w:r>
              <w:rPr>
                <w:rFonts w:hint="eastAsia" w:ascii="Times New Roman" w:cs="Times New Roman"/>
                <w:color w:val="auto"/>
                <w:sz w:val="21"/>
                <w:szCs w:val="21"/>
                <w:highlight w:val="none"/>
                <w:lang w:val="en-US" w:eastAsia="zh-CN"/>
              </w:rPr>
              <w:t>溢水</w:t>
            </w:r>
            <w:r>
              <w:rPr>
                <w:rFonts w:hint="default" w:ascii="Times New Roman" w:hAnsi="Times New Roman" w:cs="Times New Roman"/>
                <w:color w:val="auto"/>
                <w:sz w:val="21"/>
                <w:szCs w:val="21"/>
                <w:highlight w:val="none"/>
                <w:lang w:val="en-US" w:eastAsia="zh-CN"/>
              </w:rPr>
              <w:t>河</w:t>
            </w:r>
            <w:r>
              <w:rPr>
                <w:rFonts w:hint="eastAsia" w:ascii="Times New Roman" w:cs="Times New Roman"/>
                <w:color w:val="auto"/>
                <w:sz w:val="21"/>
                <w:szCs w:val="21"/>
                <w:highlight w:val="none"/>
                <w:lang w:val="en-US" w:eastAsia="zh-CN"/>
              </w:rPr>
              <w:t>河</w:t>
            </w:r>
            <w:r>
              <w:rPr>
                <w:rFonts w:hint="default" w:ascii="Times New Roman" w:hAnsi="Times New Roman" w:cs="Times New Roman"/>
                <w:color w:val="auto"/>
                <w:sz w:val="21"/>
                <w:szCs w:val="21"/>
                <w:highlight w:val="none"/>
              </w:rPr>
              <w:t>段为</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2 \* ROMAN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II</w:t>
            </w:r>
            <w:r>
              <w:rPr>
                <w:rFonts w:hint="default" w:ascii="Times New Roman" w:hAnsi="Times New Roman" w:cs="Times New Roman"/>
                <w:color w:val="auto"/>
                <w:sz w:val="21"/>
                <w:szCs w:val="21"/>
                <w:highlight w:val="none"/>
              </w:rPr>
              <w:fldChar w:fldCharType="end"/>
            </w:r>
            <w:r>
              <w:rPr>
                <w:rFonts w:hint="default" w:ascii="Times New Roman" w:hAnsi="Times New Roman" w:cs="Times New Roman"/>
                <w:color w:val="auto"/>
                <w:sz w:val="21"/>
                <w:szCs w:val="21"/>
                <w:highlight w:val="none"/>
              </w:rPr>
              <w:t>类水体</w:t>
            </w:r>
          </w:p>
        </w:tc>
      </w:tr>
    </w:tbl>
    <w:p w14:paraId="1CF5C58E">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②预测内容</w:t>
      </w:r>
    </w:p>
    <w:p w14:paraId="7CDB8CA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枯水期尾水正常排放（达标排放）对</w:t>
      </w:r>
      <w:r>
        <w:rPr>
          <w:rFonts w:hint="eastAsia" w:cs="Times New Roman"/>
          <w:color w:val="auto"/>
          <w:sz w:val="24"/>
          <w:highlight w:val="none"/>
          <w:lang w:val="en-US" w:eastAsia="zh-CN"/>
        </w:rPr>
        <w:t>溢水</w:t>
      </w:r>
      <w:r>
        <w:rPr>
          <w:rFonts w:hint="default" w:ascii="Times New Roman" w:hAnsi="Times New Roman" w:cs="Times New Roman"/>
          <w:color w:val="auto"/>
          <w:sz w:val="24"/>
          <w:highlight w:val="none"/>
          <w:lang w:eastAsia="zh-CN"/>
        </w:rPr>
        <w:t>河</w:t>
      </w:r>
      <w:r>
        <w:rPr>
          <w:rFonts w:hint="default" w:ascii="Times New Roman" w:hAnsi="Times New Roman" w:cs="Times New Roman"/>
          <w:color w:val="auto"/>
          <w:sz w:val="24"/>
          <w:highlight w:val="none"/>
        </w:rPr>
        <w:t>的环境影响。</w:t>
      </w:r>
    </w:p>
    <w:p w14:paraId="65322AF3">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③预测模式</w:t>
      </w:r>
    </w:p>
    <w:p w14:paraId="60B0543B">
      <w:pPr>
        <w:pStyle w:val="107"/>
        <w:adjustRightInd w:val="0"/>
        <w:snapToGrid w:val="0"/>
        <w:ind w:firstLine="48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A混合过程段长度计算</w:t>
      </w:r>
    </w:p>
    <w:p w14:paraId="7CD6470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本项目预测范围内的河段分为充分混合段、混合过程段。充分混合段是指污染物浓度在断面上均匀分布的河段。当断面上任意一点的浓度与断面平均浓度</w:t>
      </w:r>
      <w:r>
        <w:rPr>
          <w:rFonts w:hint="default" w:ascii="Times New Roman" w:hAnsi="Times New Roman" w:cs="Times New Roman"/>
          <w:color w:val="auto"/>
          <w:sz w:val="24"/>
          <w:highlight w:val="none"/>
          <w:lang w:eastAsia="zh-CN"/>
        </w:rPr>
        <w:t>之差小于</w:t>
      </w:r>
      <w:r>
        <w:rPr>
          <w:rFonts w:hint="default" w:ascii="Times New Roman" w:hAnsi="Times New Roman" w:cs="Times New Roman"/>
          <w:color w:val="auto"/>
          <w:sz w:val="24"/>
          <w:highlight w:val="none"/>
        </w:rPr>
        <w:t>平均浓度的5%时，可以认为达到均匀分布。混合过程是指排放口下游达到充分混合以前的河段。</w:t>
      </w:r>
    </w:p>
    <w:p w14:paraId="676844E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混合过程的长度</w:t>
      </w:r>
      <w:r>
        <w:rPr>
          <w:rFonts w:hint="default" w:ascii="Times New Roman" w:hAnsi="Times New Roman" w:cs="Times New Roman"/>
          <w:color w:val="auto"/>
          <w:sz w:val="24"/>
          <w:highlight w:val="none"/>
          <w:lang w:eastAsia="zh-CN"/>
        </w:rPr>
        <w:t>计算公式</w:t>
      </w:r>
      <w:r>
        <w:rPr>
          <w:rFonts w:hint="default" w:ascii="Times New Roman" w:hAnsi="Times New Roman" w:cs="Times New Roman"/>
          <w:color w:val="auto"/>
          <w:sz w:val="24"/>
          <w:highlight w:val="none"/>
        </w:rPr>
        <w:t>如下：</w:t>
      </w:r>
    </w:p>
    <w:p w14:paraId="71F0ABE4">
      <w:pPr>
        <w:adjustRightInd w:val="0"/>
        <w:snapToGrid w:val="0"/>
        <w:spacing w:line="360" w:lineRule="auto"/>
        <w:ind w:firstLine="4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position w:val="-36"/>
          <w:sz w:val="24"/>
          <w:highlight w:val="none"/>
        </w:rPr>
        <w:object>
          <v:shape id="_x0000_i1030" o:spt="75" type="#_x0000_t75" style="height:45.2pt;width:233.6pt;" o:ole="t" filled="f" o:preferrelative="t" stroked="f" coordsize="21600,21600">
            <v:path/>
            <v:fill on="f" focussize="0,0"/>
            <v:stroke on="f"/>
            <v:imagedata r:id="rId34" o:title=""/>
            <o:lock v:ext="edit" aspectratio="t"/>
            <w10:wrap type="none"/>
            <w10:anchorlock/>
          </v:shape>
          <o:OLEObject Type="Embed" ProgID="Equation.3" ShapeID="_x0000_i1030" DrawAspect="Content" ObjectID="_1468075730" r:id="rId33">
            <o:LockedField>false</o:LockedField>
          </o:OLEObject>
        </w:object>
      </w:r>
    </w:p>
    <w:p w14:paraId="043F1CC9">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式中：L—混合过程段长度，m；</w:t>
      </w:r>
    </w:p>
    <w:p w14:paraId="38ADC7AC">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a—排放口至岸边的距离，（岸边排放a=0）；</w:t>
      </w:r>
    </w:p>
    <w:p w14:paraId="23E4DA07">
      <w:pPr>
        <w:adjustRightInd w:val="0"/>
        <w:snapToGrid w:val="0"/>
        <w:spacing w:line="360" w:lineRule="auto"/>
        <w:ind w:firstLine="1168" w:firstLineChars="48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B—水面宽度</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m，本次枯水期取</w:t>
      </w:r>
      <w:r>
        <w:rPr>
          <w:rFonts w:hint="eastAsia" w:cs="Times New Roman"/>
          <w:color w:val="auto"/>
          <w:sz w:val="24"/>
          <w:highlight w:val="none"/>
          <w:lang w:val="en-US" w:eastAsia="zh-CN"/>
        </w:rPr>
        <w:t>30</w:t>
      </w:r>
      <w:r>
        <w:rPr>
          <w:rFonts w:hint="default" w:ascii="Times New Roman" w:hAnsi="Times New Roman" w:cs="Times New Roman"/>
          <w:color w:val="auto"/>
          <w:sz w:val="24"/>
          <w:highlight w:val="none"/>
          <w:lang w:val="en-US" w:eastAsia="zh-CN"/>
        </w:rPr>
        <w:t>m</w:t>
      </w:r>
      <w:r>
        <w:rPr>
          <w:rFonts w:hint="default" w:ascii="Times New Roman" w:hAnsi="Times New Roman" w:cs="Times New Roman"/>
          <w:color w:val="auto"/>
          <w:sz w:val="24"/>
          <w:highlight w:val="none"/>
        </w:rPr>
        <w:t>；</w:t>
      </w:r>
    </w:p>
    <w:p w14:paraId="03C9613B">
      <w:pPr>
        <w:adjustRightInd w:val="0"/>
        <w:snapToGrid w:val="0"/>
        <w:spacing w:line="360" w:lineRule="auto"/>
        <w:ind w:firstLine="1168" w:firstLineChars="48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u—断面流速，m/s</w:t>
      </w:r>
      <w:r>
        <w:rPr>
          <w:rFonts w:hint="eastAsia" w:cs="Times New Roman"/>
          <w:color w:val="auto"/>
          <w:sz w:val="24"/>
          <w:highlight w:val="none"/>
          <w:lang w:eastAsia="zh-CN"/>
        </w:rPr>
        <w:t>，本次取</w:t>
      </w:r>
      <w:r>
        <w:rPr>
          <w:rFonts w:hint="eastAsia" w:cs="Times New Roman"/>
          <w:color w:val="auto"/>
          <w:sz w:val="24"/>
          <w:highlight w:val="none"/>
          <w:lang w:val="en-US" w:eastAsia="zh-CN"/>
        </w:rPr>
        <w:t>0.41m/s</w:t>
      </w:r>
      <w:r>
        <w:rPr>
          <w:rFonts w:hint="default" w:ascii="Times New Roman" w:hAnsi="Times New Roman" w:cs="Times New Roman"/>
          <w:color w:val="auto"/>
          <w:sz w:val="24"/>
          <w:highlight w:val="none"/>
        </w:rPr>
        <w:t>；</w:t>
      </w:r>
    </w:p>
    <w:p w14:paraId="2C36EFC3">
      <w:pPr>
        <w:adjustRightInd w:val="0"/>
        <w:snapToGrid w:val="0"/>
        <w:spacing w:line="360" w:lineRule="auto"/>
        <w:ind w:firstLine="1168" w:firstLineChars="48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w:t>
      </w:r>
      <w:r>
        <w:rPr>
          <w:rFonts w:hint="default" w:ascii="Times New Roman" w:hAnsi="Times New Roman" w:cs="Times New Roman"/>
          <w:color w:val="auto"/>
          <w:sz w:val="24"/>
          <w:highlight w:val="none"/>
          <w:vertAlign w:val="subscript"/>
        </w:rPr>
        <w:t>y</w:t>
      </w:r>
      <w:r>
        <w:rPr>
          <w:rFonts w:hint="default" w:ascii="Times New Roman" w:hAnsi="Times New Roman" w:cs="Times New Roman"/>
          <w:color w:val="auto"/>
          <w:sz w:val="24"/>
          <w:highlight w:val="none"/>
        </w:rPr>
        <w:t>—污染物横向扩散系数，m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/s</w:t>
      </w:r>
      <w:r>
        <w:rPr>
          <w:rFonts w:hint="eastAsia" w:cs="Times New Roman"/>
          <w:color w:val="auto"/>
          <w:sz w:val="24"/>
          <w:highlight w:val="none"/>
          <w:lang w:eastAsia="zh-CN"/>
        </w:rPr>
        <w:t>，本次取</w:t>
      </w:r>
      <w:r>
        <w:rPr>
          <w:rFonts w:hint="eastAsia" w:cs="Times New Roman"/>
          <w:color w:val="auto"/>
          <w:sz w:val="24"/>
          <w:highlight w:val="none"/>
          <w:lang w:val="en-US" w:eastAsia="zh-CN"/>
        </w:rPr>
        <w:t>0.08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/s。</w:t>
      </w:r>
    </w:p>
    <w:p w14:paraId="7E0C32E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根据计算，本项目</w:t>
      </w:r>
      <w:r>
        <w:rPr>
          <w:rFonts w:hint="eastAsia" w:cs="Times New Roman"/>
          <w:color w:val="auto"/>
          <w:sz w:val="24"/>
          <w:highlight w:val="none"/>
          <w:lang w:eastAsia="zh-CN"/>
        </w:rPr>
        <w:t>处理达标后的</w:t>
      </w:r>
      <w:r>
        <w:rPr>
          <w:rFonts w:hint="default" w:ascii="Times New Roman" w:hAnsi="Times New Roman" w:cs="Times New Roman"/>
          <w:color w:val="auto"/>
          <w:sz w:val="24"/>
          <w:highlight w:val="none"/>
        </w:rPr>
        <w:t>水在枯水期排入</w:t>
      </w:r>
      <w:r>
        <w:rPr>
          <w:rFonts w:hint="eastAsia" w:cs="Times New Roman"/>
          <w:bCs/>
          <w:color w:val="auto"/>
          <w:sz w:val="24"/>
          <w:highlight w:val="none"/>
          <w:lang w:eastAsia="zh-CN"/>
        </w:rPr>
        <w:t>溢水</w:t>
      </w:r>
      <w:r>
        <w:rPr>
          <w:rFonts w:hint="default" w:ascii="Times New Roman" w:hAnsi="Times New Roman" w:cs="Times New Roman"/>
          <w:bCs/>
          <w:color w:val="auto"/>
          <w:sz w:val="24"/>
          <w:highlight w:val="none"/>
          <w:lang w:eastAsia="zh-CN"/>
        </w:rPr>
        <w:t>河</w:t>
      </w:r>
      <w:r>
        <w:rPr>
          <w:rFonts w:hint="default" w:ascii="Times New Roman" w:hAnsi="Times New Roman" w:cs="Times New Roman"/>
          <w:color w:val="auto"/>
          <w:sz w:val="24"/>
          <w:highlight w:val="none"/>
        </w:rPr>
        <w:t>混合过程段长度为</w:t>
      </w:r>
      <w:r>
        <w:rPr>
          <w:rFonts w:hint="eastAsia" w:cs="Times New Roman"/>
          <w:color w:val="auto"/>
          <w:kern w:val="2"/>
          <w:sz w:val="24"/>
          <w:szCs w:val="24"/>
          <w:highlight w:val="none"/>
          <w:lang w:val="en-US" w:eastAsia="zh-CN" w:bidi="ar-SA"/>
        </w:rPr>
        <w:t>2.38k</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cs="Times New Roman"/>
          <w:color w:val="auto"/>
          <w:sz w:val="24"/>
          <w:highlight w:val="none"/>
        </w:rPr>
        <w:t>，说明废水排入</w:t>
      </w:r>
      <w:r>
        <w:rPr>
          <w:rFonts w:hint="eastAsia" w:cs="Times New Roman"/>
          <w:bCs/>
          <w:color w:val="auto"/>
          <w:sz w:val="24"/>
          <w:highlight w:val="none"/>
          <w:lang w:eastAsia="zh-CN"/>
        </w:rPr>
        <w:t>溢水</w:t>
      </w:r>
      <w:r>
        <w:rPr>
          <w:rFonts w:hint="default" w:ascii="Times New Roman" w:hAnsi="Times New Roman" w:cs="Times New Roman"/>
          <w:bCs/>
          <w:color w:val="auto"/>
          <w:sz w:val="24"/>
          <w:highlight w:val="none"/>
          <w:lang w:eastAsia="zh-CN"/>
        </w:rPr>
        <w:t>河</w:t>
      </w:r>
      <w:r>
        <w:rPr>
          <w:rFonts w:hint="default" w:ascii="Times New Roman" w:hAnsi="Times New Roman" w:cs="Times New Roman"/>
          <w:color w:val="auto"/>
          <w:sz w:val="24"/>
          <w:highlight w:val="none"/>
        </w:rPr>
        <w:t>后，枯水期下游</w:t>
      </w:r>
      <w:r>
        <w:rPr>
          <w:rFonts w:hint="eastAsia" w:cs="Times New Roman"/>
          <w:color w:val="auto"/>
          <w:kern w:val="2"/>
          <w:sz w:val="24"/>
          <w:szCs w:val="24"/>
          <w:highlight w:val="none"/>
          <w:lang w:val="en-US" w:eastAsia="zh-CN" w:bidi="ar-SA"/>
        </w:rPr>
        <w:t>2.38k</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cs="Times New Roman"/>
          <w:color w:val="auto"/>
          <w:sz w:val="24"/>
          <w:highlight w:val="none"/>
        </w:rPr>
        <w:t>处可完全混合。</w:t>
      </w:r>
    </w:p>
    <w:p w14:paraId="0EDCA5E1">
      <w:pPr>
        <w:pStyle w:val="107"/>
        <w:adjustRightInd w:val="0"/>
        <w:snapToGrid w:val="0"/>
        <w:ind w:firstLine="482" w:firstLineChars="200"/>
        <w:rPr>
          <w:rFonts w:hint="default" w:ascii="Times New Roman" w:hAnsi="Times New Roman" w:cs="Times New Roman"/>
          <w:bCs/>
          <w:color w:val="auto"/>
          <w:highlight w:val="none"/>
        </w:rPr>
      </w:pPr>
      <w:r>
        <w:rPr>
          <w:rFonts w:hint="default" w:ascii="Times New Roman" w:hAnsi="Times New Roman" w:cs="Times New Roman"/>
          <w:color w:val="auto"/>
          <w:highlight w:val="none"/>
        </w:rPr>
        <w:t>B</w:t>
      </w:r>
      <w:r>
        <w:rPr>
          <w:rFonts w:hint="default" w:ascii="Times New Roman" w:hAnsi="Times New Roman" w:cs="Times New Roman"/>
          <w:bCs/>
          <w:color w:val="auto"/>
          <w:highlight w:val="none"/>
        </w:rPr>
        <w:t>混合过程段</w:t>
      </w:r>
    </w:p>
    <w:p w14:paraId="3B8D9D9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污水排入</w:t>
      </w:r>
      <w:r>
        <w:rPr>
          <w:rFonts w:hint="eastAsia" w:cs="Times New Roman"/>
          <w:bCs/>
          <w:color w:val="auto"/>
          <w:sz w:val="24"/>
          <w:highlight w:val="none"/>
          <w:lang w:eastAsia="zh-CN"/>
        </w:rPr>
        <w:t>溢</w:t>
      </w:r>
      <w:r>
        <w:rPr>
          <w:rFonts w:hint="default" w:ascii="Times New Roman" w:hAnsi="Times New Roman" w:cs="Times New Roman"/>
          <w:bCs/>
          <w:color w:val="auto"/>
          <w:sz w:val="24"/>
          <w:highlight w:val="none"/>
          <w:lang w:eastAsia="zh-CN"/>
        </w:rPr>
        <w:t>河</w:t>
      </w:r>
      <w:r>
        <w:rPr>
          <w:rFonts w:hint="default" w:ascii="Times New Roman" w:hAnsi="Times New Roman" w:cs="Times New Roman"/>
          <w:color w:val="auto"/>
          <w:sz w:val="24"/>
          <w:highlight w:val="none"/>
        </w:rPr>
        <w:t>后不可能马上混合均匀，存在一段距离的混合过程段，会形成污染带，根据《环境影响评价技术导则  地表水环境》（HJ2.2-2018），在混合过程段采用推荐的平面二维数学模型中连续稳定排放情形，不考虑岸边反射的宽浅型平直恒定均匀河流，浓度分布公式为：</w:t>
      </w:r>
    </w:p>
    <w:p w14:paraId="7728996C">
      <w:pPr>
        <w:adjustRightInd w:val="0"/>
        <w:snapToGrid w:val="0"/>
        <w:spacing w:line="360" w:lineRule="auto"/>
        <w:ind w:firstLine="480" w:firstLineChars="200"/>
        <w:jc w:val="center"/>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position w:val="-56"/>
          <w:sz w:val="24"/>
          <w:highlight w:val="none"/>
        </w:rPr>
        <w:object>
          <v:shape id="_x0000_i1031" o:spt="75" type="#_x0000_t75" style="height:62pt;width:220pt;" o:ole="t" filled="f" o:preferrelative="t" stroked="f" coordsize="21600,21600">
            <v:path/>
            <v:fill on="f" focussize="0,0"/>
            <v:stroke on="f"/>
            <v:imagedata r:id="rId36" o:title=""/>
            <o:lock v:ext="edit" aspectratio="t"/>
            <w10:wrap type="none"/>
            <w10:anchorlock/>
          </v:shape>
          <o:OLEObject Type="Embed" ProgID="Equation.KSEE3" ShapeID="_x0000_i1031" DrawAspect="Content" ObjectID="_1468075731" r:id="rId35">
            <o:LockedField>false</o:LockedField>
          </o:OLEObject>
        </w:object>
      </w:r>
    </w:p>
    <w:p w14:paraId="5CF33311">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r>
        <w:rPr>
          <w:rFonts w:hint="default" w:ascii="Times New Roman" w:hAnsi="Times New Roman" w:cs="Times New Roman"/>
          <w:color w:val="auto"/>
          <w:spacing w:val="-1"/>
          <w:sz w:val="24"/>
          <w:highlight w:val="none"/>
        </w:rPr>
        <w:t>C（</w:t>
      </w:r>
      <w:r>
        <w:rPr>
          <w:rFonts w:hint="default" w:ascii="Times New Roman" w:hAnsi="Times New Roman" w:cs="Times New Roman"/>
          <w:color w:val="auto"/>
          <w:spacing w:val="-1"/>
          <w:position w:val="-2"/>
          <w:sz w:val="24"/>
          <w:highlight w:val="none"/>
        </w:rPr>
        <w:t>x，y）</w:t>
      </w:r>
      <w:r>
        <w:rPr>
          <w:rFonts w:hint="default" w:ascii="Times New Roman" w:hAnsi="Times New Roman" w:cs="Times New Roman"/>
          <w:color w:val="auto"/>
          <w:spacing w:val="-1"/>
          <w:sz w:val="24"/>
          <w:highlight w:val="none"/>
        </w:rPr>
        <w:t>——预测点（x，y）处污染物浓度，mg/L；</w:t>
      </w:r>
    </w:p>
    <w:p w14:paraId="00F3691F">
      <w:pPr>
        <w:pStyle w:val="2"/>
        <w:adjustRightInd w:val="0"/>
        <w:snapToGrid w:val="0"/>
        <w:spacing w:after="0" w:line="360" w:lineRule="auto"/>
        <w:ind w:firstLine="1190" w:firstLineChars="500"/>
        <w:jc w:val="left"/>
        <w:rPr>
          <w:rFonts w:hint="default" w:ascii="Times New Roman" w:hAnsi="Times New Roman" w:cs="Times New Roman"/>
          <w:color w:val="auto"/>
          <w:sz w:val="24"/>
          <w:highlight w:val="none"/>
        </w:rPr>
      </w:pPr>
      <w:r>
        <w:rPr>
          <w:rFonts w:hint="default" w:ascii="Times New Roman" w:hAnsi="Times New Roman" w:cs="Times New Roman"/>
          <w:i/>
          <w:color w:val="auto"/>
          <w:spacing w:val="-1"/>
          <w:sz w:val="24"/>
          <w:highlight w:val="none"/>
        </w:rPr>
        <w:t>u</w:t>
      </w:r>
      <w:r>
        <w:rPr>
          <w:rFonts w:hint="default" w:ascii="Times New Roman" w:hAnsi="Times New Roman" w:cs="Times New Roman"/>
          <w:color w:val="auto"/>
          <w:sz w:val="24"/>
          <w:highlight w:val="none"/>
        </w:rPr>
        <w:t>——</w:t>
      </w:r>
      <w:r>
        <w:rPr>
          <w:rFonts w:hint="default" w:ascii="Times New Roman" w:hAnsi="Times New Roman" w:cs="Times New Roman"/>
          <w:i/>
          <w:color w:val="auto"/>
          <w:sz w:val="24"/>
          <w:highlight w:val="none"/>
        </w:rPr>
        <w:t>x</w:t>
      </w:r>
      <w:r>
        <w:rPr>
          <w:rFonts w:hint="default" w:ascii="Times New Roman" w:hAnsi="Times New Roman" w:cs="Times New Roman"/>
          <w:color w:val="auto"/>
          <w:sz w:val="24"/>
          <w:highlight w:val="none"/>
        </w:rPr>
        <w:t>方向河流流速（表示河流中断面平均流速</w:t>
      </w:r>
      <w:r>
        <w:rPr>
          <w:rFonts w:hint="default" w:ascii="Times New Roman" w:hAnsi="Times New Roman" w:cs="Times New Roman"/>
          <w:color w:val="auto"/>
          <w:spacing w:val="-120"/>
          <w:sz w:val="24"/>
          <w:highlight w:val="none"/>
        </w:rPr>
        <w:t>）</w:t>
      </w:r>
      <w:r>
        <w:rPr>
          <w:rFonts w:hint="default" w:ascii="Times New Roman" w:hAnsi="Times New Roman" w:cs="Times New Roman"/>
          <w:color w:val="auto"/>
          <w:spacing w:val="1"/>
          <w:sz w:val="24"/>
          <w:highlight w:val="none"/>
        </w:rPr>
        <w:t>，</w:t>
      </w:r>
      <w:r>
        <w:rPr>
          <w:rFonts w:hint="default" w:ascii="Times New Roman" w:hAnsi="Times New Roman" w:cs="Times New Roman"/>
          <w:color w:val="auto"/>
          <w:spacing w:val="-2"/>
          <w:sz w:val="24"/>
          <w:highlight w:val="none"/>
        </w:rPr>
        <w:t>m</w:t>
      </w:r>
      <w:r>
        <w:rPr>
          <w:rFonts w:hint="default" w:ascii="Times New Roman" w:hAnsi="Times New Roman" w:cs="Times New Roman"/>
          <w:color w:val="auto"/>
          <w:sz w:val="24"/>
          <w:highlight w:val="none"/>
        </w:rPr>
        <w:t>/s；</w:t>
      </w:r>
    </w:p>
    <w:p w14:paraId="0D068C77">
      <w:pPr>
        <w:pStyle w:val="2"/>
        <w:adjustRightInd w:val="0"/>
        <w:snapToGrid w:val="0"/>
        <w:spacing w:after="0" w:line="360" w:lineRule="auto"/>
        <w:ind w:firstLine="1190" w:firstLineChars="500"/>
        <w:jc w:val="left"/>
        <w:rPr>
          <w:rFonts w:hint="default" w:ascii="Times New Roman" w:hAnsi="Times New Roman" w:cs="Times New Roman"/>
          <w:color w:val="auto"/>
          <w:spacing w:val="34"/>
          <w:sz w:val="24"/>
          <w:highlight w:val="none"/>
        </w:rPr>
      </w:pPr>
      <w:r>
        <w:rPr>
          <w:rFonts w:hint="default" w:ascii="Times New Roman" w:hAnsi="Times New Roman" w:cs="Times New Roman"/>
          <w:i/>
          <w:color w:val="auto"/>
          <w:spacing w:val="-1"/>
          <w:sz w:val="24"/>
          <w:highlight w:val="none"/>
        </w:rPr>
        <w:t>x</w:t>
      </w:r>
      <w:r>
        <w:rPr>
          <w:rFonts w:hint="default" w:ascii="Times New Roman" w:hAnsi="Times New Roman" w:cs="Times New Roman"/>
          <w:color w:val="auto"/>
          <w:spacing w:val="-1"/>
          <w:sz w:val="24"/>
          <w:highlight w:val="none"/>
        </w:rPr>
        <w:t>——预测点离排污口的纵向距离，m；</w:t>
      </w:r>
    </w:p>
    <w:p w14:paraId="3EFCB1C1">
      <w:pPr>
        <w:pStyle w:val="2"/>
        <w:adjustRightInd w:val="0"/>
        <w:snapToGrid w:val="0"/>
        <w:spacing w:after="0" w:line="360" w:lineRule="auto"/>
        <w:ind w:firstLine="1190" w:firstLineChars="500"/>
        <w:jc w:val="left"/>
        <w:rPr>
          <w:rFonts w:hint="default" w:ascii="Times New Roman" w:hAnsi="Times New Roman" w:cs="Times New Roman"/>
          <w:color w:val="auto"/>
          <w:spacing w:val="-1"/>
          <w:sz w:val="24"/>
          <w:highlight w:val="none"/>
        </w:rPr>
      </w:pPr>
      <w:r>
        <w:rPr>
          <w:rFonts w:hint="default" w:ascii="Times New Roman" w:hAnsi="Times New Roman" w:cs="Times New Roman"/>
          <w:i/>
          <w:color w:val="auto"/>
          <w:spacing w:val="-1"/>
          <w:sz w:val="24"/>
          <w:highlight w:val="none"/>
        </w:rPr>
        <w:t>y</w:t>
      </w:r>
      <w:r>
        <w:rPr>
          <w:rFonts w:hint="default" w:ascii="Times New Roman" w:hAnsi="Times New Roman" w:cs="Times New Roman"/>
          <w:color w:val="auto"/>
          <w:spacing w:val="-1"/>
          <w:sz w:val="24"/>
          <w:highlight w:val="none"/>
        </w:rPr>
        <w:t>——预测点离排污口的横向距离，m；</w:t>
      </w:r>
    </w:p>
    <w:p w14:paraId="0F087EED">
      <w:pPr>
        <w:pStyle w:val="2"/>
        <w:adjustRightInd w:val="0"/>
        <w:snapToGrid w:val="0"/>
        <w:spacing w:after="0" w:line="360" w:lineRule="auto"/>
        <w:ind w:firstLine="1190" w:firstLineChars="500"/>
        <w:jc w:val="left"/>
        <w:rPr>
          <w:rFonts w:hint="default" w:ascii="Times New Roman" w:hAnsi="Times New Roman" w:cs="Times New Roman"/>
          <w:color w:val="auto"/>
          <w:spacing w:val="-1"/>
          <w:sz w:val="24"/>
          <w:highlight w:val="none"/>
        </w:rPr>
      </w:pPr>
      <w:r>
        <w:rPr>
          <w:rFonts w:hint="default" w:ascii="Times New Roman" w:hAnsi="Times New Roman" w:cs="Times New Roman"/>
          <w:color w:val="auto"/>
          <w:spacing w:val="-1"/>
          <w:sz w:val="24"/>
          <w:highlight w:val="none"/>
        </w:rPr>
        <w:t>K——河流中污染物降解系数，1/d；</w:t>
      </w:r>
    </w:p>
    <w:p w14:paraId="7533F105">
      <w:pPr>
        <w:pStyle w:val="2"/>
        <w:adjustRightInd w:val="0"/>
        <w:snapToGrid w:val="0"/>
        <w:spacing w:after="0" w:line="360" w:lineRule="auto"/>
        <w:ind w:firstLine="1190" w:firstLineChars="500"/>
        <w:jc w:val="left"/>
        <w:rPr>
          <w:rFonts w:hint="default" w:ascii="Times New Roman" w:hAnsi="Times New Roman" w:cs="Times New Roman"/>
          <w:color w:val="auto"/>
          <w:spacing w:val="29"/>
          <w:sz w:val="24"/>
          <w:highlight w:val="none"/>
        </w:rPr>
      </w:pPr>
      <w:r>
        <w:rPr>
          <w:rFonts w:hint="default" w:ascii="Times New Roman" w:hAnsi="Times New Roman" w:cs="Times New Roman"/>
          <w:color w:val="auto"/>
          <w:spacing w:val="-1"/>
          <w:sz w:val="24"/>
          <w:highlight w:val="none"/>
        </w:rPr>
        <w:t>C</w:t>
      </w:r>
      <w:r>
        <w:rPr>
          <w:rFonts w:hint="default" w:ascii="Times New Roman" w:hAnsi="Times New Roman" w:cs="Times New Roman"/>
          <w:color w:val="auto"/>
          <w:spacing w:val="-1"/>
          <w:position w:val="-2"/>
          <w:sz w:val="24"/>
          <w:highlight w:val="none"/>
          <w:vertAlign w:val="subscript"/>
        </w:rPr>
        <w:t>p</w:t>
      </w:r>
      <w:r>
        <w:rPr>
          <w:rFonts w:hint="default" w:ascii="Times New Roman" w:hAnsi="Times New Roman" w:cs="Times New Roman"/>
          <w:color w:val="auto"/>
          <w:spacing w:val="-1"/>
          <w:sz w:val="24"/>
          <w:highlight w:val="none"/>
        </w:rPr>
        <w:t>——污染物排放浓度，mg/L；</w:t>
      </w:r>
    </w:p>
    <w:p w14:paraId="1F7544C5">
      <w:pPr>
        <w:pStyle w:val="2"/>
        <w:adjustRightInd w:val="0"/>
        <w:snapToGrid w:val="0"/>
        <w:spacing w:after="0" w:line="360" w:lineRule="auto"/>
        <w:ind w:firstLine="1190" w:firstLineChars="500"/>
        <w:jc w:val="left"/>
        <w:rPr>
          <w:rFonts w:hint="default" w:ascii="Times New Roman" w:hAnsi="Times New Roman" w:cs="Times New Roman"/>
          <w:color w:val="auto"/>
          <w:sz w:val="24"/>
          <w:highlight w:val="none"/>
        </w:rPr>
      </w:pPr>
      <w:r>
        <w:rPr>
          <w:rFonts w:hint="default" w:ascii="Times New Roman" w:hAnsi="Times New Roman" w:cs="Times New Roman"/>
          <w:color w:val="auto"/>
          <w:spacing w:val="-1"/>
          <w:sz w:val="24"/>
          <w:highlight w:val="none"/>
        </w:rPr>
        <w:t>C</w:t>
      </w:r>
      <w:r>
        <w:rPr>
          <w:rFonts w:hint="default" w:ascii="Times New Roman" w:hAnsi="Times New Roman" w:cs="Times New Roman"/>
          <w:color w:val="auto"/>
          <w:position w:val="-2"/>
          <w:sz w:val="24"/>
          <w:highlight w:val="none"/>
          <w:vertAlign w:val="subscript"/>
        </w:rPr>
        <w:t>h</w:t>
      </w:r>
      <w:r>
        <w:rPr>
          <w:rFonts w:hint="default" w:ascii="Times New Roman" w:hAnsi="Times New Roman" w:cs="Times New Roman"/>
          <w:color w:val="auto"/>
          <w:sz w:val="24"/>
          <w:highlight w:val="none"/>
        </w:rPr>
        <w:t>——河流上游污染物浓度（本底浓度</w:t>
      </w:r>
      <w:r>
        <w:rPr>
          <w:rFonts w:hint="default" w:ascii="Times New Roman" w:hAnsi="Times New Roman" w:cs="Times New Roman"/>
          <w:color w:val="auto"/>
          <w:spacing w:val="-120"/>
          <w:sz w:val="24"/>
          <w:highlight w:val="none"/>
        </w:rPr>
        <w:t>）</w:t>
      </w:r>
      <w:r>
        <w:rPr>
          <w:rFonts w:hint="default" w:ascii="Times New Roman" w:hAnsi="Times New Roman" w:cs="Times New Roman"/>
          <w:color w:val="auto"/>
          <w:spacing w:val="1"/>
          <w:sz w:val="24"/>
          <w:highlight w:val="none"/>
        </w:rPr>
        <w:t>，</w:t>
      </w:r>
      <w:r>
        <w:rPr>
          <w:rFonts w:hint="default" w:ascii="Times New Roman" w:hAnsi="Times New Roman" w:cs="Times New Roman"/>
          <w:color w:val="auto"/>
          <w:spacing w:val="-2"/>
          <w:sz w:val="24"/>
          <w:highlight w:val="none"/>
        </w:rPr>
        <w:t>m</w:t>
      </w:r>
      <w:r>
        <w:rPr>
          <w:rFonts w:hint="default" w:ascii="Times New Roman" w:hAnsi="Times New Roman" w:cs="Times New Roman"/>
          <w:color w:val="auto"/>
          <w:sz w:val="24"/>
          <w:highlight w:val="none"/>
        </w:rPr>
        <w:t>g/</w:t>
      </w:r>
      <w:r>
        <w:rPr>
          <w:rFonts w:hint="default" w:ascii="Times New Roman" w:hAnsi="Times New Roman" w:cs="Times New Roman"/>
          <w:color w:val="auto"/>
          <w:spacing w:val="-1"/>
          <w:sz w:val="24"/>
          <w:highlight w:val="none"/>
        </w:rPr>
        <w:t>L</w:t>
      </w:r>
      <w:r>
        <w:rPr>
          <w:rFonts w:hint="default" w:ascii="Times New Roman" w:hAnsi="Times New Roman" w:cs="Times New Roman"/>
          <w:color w:val="auto"/>
          <w:sz w:val="24"/>
          <w:highlight w:val="none"/>
        </w:rPr>
        <w:t>；</w:t>
      </w:r>
    </w:p>
    <w:p w14:paraId="60024251">
      <w:pPr>
        <w:pStyle w:val="2"/>
        <w:adjustRightInd w:val="0"/>
        <w:snapToGrid w:val="0"/>
        <w:spacing w:after="0" w:line="360" w:lineRule="auto"/>
        <w:ind w:firstLine="1190" w:firstLineChars="500"/>
        <w:jc w:val="left"/>
        <w:rPr>
          <w:rFonts w:hint="default" w:ascii="Times New Roman" w:hAnsi="Times New Roman" w:cs="Times New Roman"/>
          <w:color w:val="auto"/>
          <w:sz w:val="24"/>
          <w:highlight w:val="none"/>
        </w:rPr>
      </w:pPr>
      <w:r>
        <w:rPr>
          <w:rFonts w:hint="default" w:ascii="Times New Roman" w:hAnsi="Times New Roman" w:cs="Times New Roman"/>
          <w:i/>
          <w:color w:val="auto"/>
          <w:spacing w:val="-1"/>
          <w:sz w:val="24"/>
          <w:highlight w:val="none"/>
        </w:rPr>
        <w:t>Q</w:t>
      </w:r>
      <w:r>
        <w:rPr>
          <w:rFonts w:hint="default" w:ascii="Times New Roman" w:hAnsi="Times New Roman" w:cs="Times New Roman"/>
          <w:color w:val="auto"/>
          <w:spacing w:val="-1"/>
          <w:position w:val="-2"/>
          <w:sz w:val="24"/>
          <w:highlight w:val="none"/>
          <w:vertAlign w:val="subscript"/>
        </w:rPr>
        <w:t>p</w:t>
      </w:r>
      <w:r>
        <w:rPr>
          <w:rFonts w:hint="default" w:ascii="Times New Roman" w:hAnsi="Times New Roman" w:cs="Times New Roman"/>
          <w:color w:val="auto"/>
          <w:spacing w:val="-1"/>
          <w:sz w:val="24"/>
          <w:highlight w:val="none"/>
        </w:rPr>
        <w:t>——废水排放量，m</w:t>
      </w:r>
      <w:r>
        <w:rPr>
          <w:rFonts w:hint="default" w:ascii="Times New Roman" w:hAnsi="Times New Roman" w:cs="Times New Roman"/>
          <w:color w:val="auto"/>
          <w:spacing w:val="-1"/>
          <w:sz w:val="24"/>
          <w:highlight w:val="none"/>
          <w:vertAlign w:val="superscript"/>
        </w:rPr>
        <w:t>3</w:t>
      </w:r>
      <w:r>
        <w:rPr>
          <w:rFonts w:hint="default" w:ascii="Times New Roman" w:hAnsi="Times New Roman" w:cs="Times New Roman"/>
          <w:color w:val="auto"/>
          <w:spacing w:val="-1"/>
          <w:sz w:val="24"/>
          <w:highlight w:val="none"/>
        </w:rPr>
        <w:t>/s；</w:t>
      </w:r>
    </w:p>
    <w:p w14:paraId="7BD08E4C">
      <w:pPr>
        <w:pStyle w:val="2"/>
        <w:adjustRightInd w:val="0"/>
        <w:snapToGrid w:val="0"/>
        <w:spacing w:after="0" w:line="360" w:lineRule="auto"/>
        <w:ind w:firstLine="1190" w:firstLineChars="500"/>
        <w:jc w:val="left"/>
        <w:rPr>
          <w:rFonts w:hint="default" w:ascii="Times New Roman" w:hAnsi="Times New Roman" w:cs="Times New Roman"/>
          <w:color w:val="auto"/>
          <w:spacing w:val="29"/>
          <w:sz w:val="24"/>
          <w:highlight w:val="none"/>
        </w:rPr>
      </w:pPr>
      <w:r>
        <w:rPr>
          <w:rFonts w:hint="default" w:ascii="Times New Roman" w:hAnsi="Times New Roman" w:cs="Times New Roman"/>
          <w:color w:val="auto"/>
          <w:spacing w:val="-1"/>
          <w:sz w:val="24"/>
          <w:highlight w:val="none"/>
        </w:rPr>
        <w:t>h——河流平均水深，m；</w:t>
      </w:r>
    </w:p>
    <w:p w14:paraId="6EBB1C52">
      <w:pPr>
        <w:pStyle w:val="2"/>
        <w:adjustRightInd w:val="0"/>
        <w:snapToGrid w:val="0"/>
        <w:spacing w:after="0" w:line="360" w:lineRule="auto"/>
        <w:ind w:firstLine="1190" w:firstLineChars="500"/>
        <w:jc w:val="left"/>
        <w:rPr>
          <w:rFonts w:hint="default" w:ascii="Times New Roman" w:hAnsi="Times New Roman" w:cs="Times New Roman"/>
          <w:color w:val="auto"/>
          <w:spacing w:val="28"/>
          <w:sz w:val="24"/>
          <w:highlight w:val="none"/>
        </w:rPr>
      </w:pPr>
      <w:r>
        <w:rPr>
          <w:rFonts w:hint="default" w:ascii="Times New Roman" w:hAnsi="Times New Roman" w:cs="Times New Roman"/>
          <w:color w:val="auto"/>
          <w:spacing w:val="-1"/>
          <w:sz w:val="24"/>
          <w:highlight w:val="none"/>
        </w:rPr>
        <w:t>E</w:t>
      </w:r>
      <w:r>
        <w:rPr>
          <w:rFonts w:hint="default" w:ascii="Times New Roman" w:hAnsi="Times New Roman" w:cs="Times New Roman"/>
          <w:color w:val="auto"/>
          <w:spacing w:val="-1"/>
          <w:position w:val="-2"/>
          <w:sz w:val="24"/>
          <w:highlight w:val="none"/>
          <w:vertAlign w:val="subscript"/>
        </w:rPr>
        <w:t>y</w:t>
      </w:r>
      <w:r>
        <w:rPr>
          <w:rFonts w:hint="default" w:ascii="Times New Roman" w:hAnsi="Times New Roman" w:cs="Times New Roman"/>
          <w:color w:val="auto"/>
          <w:spacing w:val="-1"/>
          <w:sz w:val="24"/>
          <w:highlight w:val="none"/>
        </w:rPr>
        <w:t>——横向混合系数，m</w:t>
      </w:r>
      <w:r>
        <w:rPr>
          <w:rFonts w:hint="default" w:ascii="Times New Roman" w:hAnsi="Times New Roman" w:cs="Times New Roman"/>
          <w:color w:val="auto"/>
          <w:spacing w:val="-1"/>
          <w:sz w:val="24"/>
          <w:highlight w:val="none"/>
          <w:vertAlign w:val="superscript"/>
        </w:rPr>
        <w:t>2</w:t>
      </w:r>
      <w:r>
        <w:rPr>
          <w:rFonts w:hint="default" w:ascii="Times New Roman" w:hAnsi="Times New Roman" w:cs="Times New Roman"/>
          <w:color w:val="auto"/>
          <w:spacing w:val="-1"/>
          <w:sz w:val="24"/>
          <w:highlight w:val="none"/>
        </w:rPr>
        <w:t>/s；</w:t>
      </w:r>
    </w:p>
    <w:p w14:paraId="6A2ADC0C">
      <w:pPr>
        <w:pStyle w:val="2"/>
        <w:adjustRightInd w:val="0"/>
        <w:snapToGrid w:val="0"/>
        <w:spacing w:after="0" w:line="360" w:lineRule="auto"/>
        <w:ind w:firstLine="1190" w:firstLineChars="500"/>
        <w:jc w:val="left"/>
        <w:rPr>
          <w:rFonts w:hint="default" w:ascii="Times New Roman" w:hAnsi="Times New Roman" w:cs="Times New Roman"/>
          <w:color w:val="auto"/>
          <w:spacing w:val="-1"/>
          <w:sz w:val="24"/>
          <w:highlight w:val="none"/>
        </w:rPr>
      </w:pPr>
      <w:r>
        <w:rPr>
          <w:rFonts w:hint="default" w:ascii="Times New Roman" w:hAnsi="Times New Roman" w:cs="Times New Roman"/>
          <w:color w:val="auto"/>
          <w:spacing w:val="-1"/>
          <w:sz w:val="24"/>
          <w:highlight w:val="none"/>
        </w:rPr>
        <w:t>π——圆周率。</w:t>
      </w:r>
    </w:p>
    <w:p w14:paraId="7CEE8622">
      <w:pPr>
        <w:adjustRightInd w:val="0"/>
        <w:snapToGrid w:val="0"/>
        <w:spacing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充分混合段</w:t>
      </w:r>
    </w:p>
    <w:p w14:paraId="56B8DA0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充分混合段的预测采用纵向一维数学模型中连续稳定排放情形，不考虑岸边反射的宽浅型平直恒定均匀河流，浓度分布公式为：</w:t>
      </w:r>
    </w:p>
    <w:p w14:paraId="55BAA04B">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position w:val="-28"/>
          <w:sz w:val="24"/>
          <w:highlight w:val="none"/>
        </w:rPr>
        <w:object>
          <v:shape id="_x0000_i1032" o:spt="75" type="#_x0000_t75" style="height:34pt;width:93pt;" o:ole="t" filled="f" o:preferrelative="t" stroked="f" coordsize="21600,21600">
            <v:path/>
            <v:fill on="f" focussize="0,0"/>
            <v:stroke on="f"/>
            <v:imagedata r:id="rId38" o:title=""/>
            <o:lock v:ext="edit" aspectratio="t"/>
            <w10:wrap type="none"/>
            <w10:anchorlock/>
          </v:shape>
          <o:OLEObject Type="Embed" ProgID="Equation.KSEE3" ShapeID="_x0000_i1032" DrawAspect="Content" ObjectID="_1468075732" r:id="rId37">
            <o:LockedField>false</o:LockedField>
          </o:OLEObject>
        </w:object>
      </w:r>
    </w:p>
    <w:p w14:paraId="1400E07A">
      <w:pPr>
        <w:adjustRightInd w:val="0"/>
        <w:snapToGrid w:val="0"/>
        <w:spacing w:line="360" w:lineRule="auto"/>
        <w:ind w:firstLine="1200" w:firstLineChars="500"/>
        <w:jc w:val="center"/>
        <w:rPr>
          <w:rFonts w:hint="default" w:ascii="Times New Roman" w:hAnsi="Times New Roman" w:cs="Times New Roman"/>
          <w:color w:val="auto"/>
          <w:sz w:val="24"/>
          <w:highlight w:val="none"/>
        </w:rPr>
      </w:pPr>
      <w:r>
        <w:rPr>
          <w:rFonts w:hint="default" w:ascii="Times New Roman" w:hAnsi="Times New Roman" w:cs="Times New Roman"/>
          <w:color w:val="auto"/>
          <w:position w:val="-32"/>
          <w:sz w:val="24"/>
          <w:highlight w:val="none"/>
        </w:rPr>
        <w:object>
          <v:shape id="_x0000_i1033" o:spt="75" type="#_x0000_t75" style="height:37pt;width:93pt;" o:ole="t" filled="f" o:preferrelative="t" stroked="f" coordsize="21600,21600">
            <v:path/>
            <v:fill on="f" focussize="0,0"/>
            <v:stroke on="f"/>
            <v:imagedata r:id="rId40" o:title=""/>
            <o:lock v:ext="edit" aspectratio="t"/>
            <w10:wrap type="none"/>
            <w10:anchorlock/>
          </v:shape>
          <o:OLEObject Type="Embed" ProgID="Equation.KSEE3" ShapeID="_x0000_i1033" DrawAspect="Content" ObjectID="_1468075733" r:id="rId39">
            <o:LockedField>false</o:LockedField>
          </o:OLEObject>
        </w:object>
      </w:r>
    </w:p>
    <w:p w14:paraId="5AFC0B71">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式中：C——预测断面污染物的平均浓度，mg/L；</w:t>
      </w:r>
    </w:p>
    <w:p w14:paraId="17F0D9EA">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w:t>
      </w:r>
      <w:r>
        <w:rPr>
          <w:rFonts w:hint="default" w:ascii="Times New Roman" w:hAnsi="Times New Roman" w:cs="Times New Roman"/>
          <w:color w:val="auto"/>
          <w:sz w:val="24"/>
          <w:highlight w:val="none"/>
          <w:vertAlign w:val="subscript"/>
        </w:rPr>
        <w:t>0</w:t>
      </w:r>
      <w:r>
        <w:rPr>
          <w:rFonts w:hint="default" w:ascii="Times New Roman" w:hAnsi="Times New Roman" w:cs="Times New Roman"/>
          <w:color w:val="auto"/>
          <w:sz w:val="24"/>
          <w:highlight w:val="none"/>
        </w:rPr>
        <w:t>——河流起始断面污染物的平均浓度，mg/L；</w:t>
      </w:r>
    </w:p>
    <w:p w14:paraId="6E03B30B">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w:t>
      </w:r>
      <w:r>
        <w:rPr>
          <w:rFonts w:hint="default" w:ascii="Times New Roman" w:hAnsi="Times New Roman" w:cs="Times New Roman"/>
          <w:color w:val="auto"/>
          <w:sz w:val="24"/>
          <w:highlight w:val="none"/>
          <w:vertAlign w:val="subscript"/>
        </w:rPr>
        <w:t>p</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污水处理站</w:t>
      </w:r>
      <w:r>
        <w:rPr>
          <w:rFonts w:hint="default" w:ascii="Times New Roman" w:hAnsi="Times New Roman" w:cs="Times New Roman"/>
          <w:color w:val="auto"/>
          <w:sz w:val="24"/>
          <w:highlight w:val="none"/>
        </w:rPr>
        <w:t>出水污染物排放浓度，mg/L；</w:t>
      </w:r>
    </w:p>
    <w:p w14:paraId="7CCEFA22">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w:t>
      </w:r>
      <w:r>
        <w:rPr>
          <w:rFonts w:hint="default" w:ascii="Times New Roman" w:hAnsi="Times New Roman" w:cs="Times New Roman"/>
          <w:color w:val="auto"/>
          <w:sz w:val="24"/>
          <w:highlight w:val="none"/>
          <w:vertAlign w:val="subscript"/>
        </w:rPr>
        <w:t>h</w:t>
      </w:r>
      <w:r>
        <w:rPr>
          <w:rFonts w:hint="default" w:ascii="Times New Roman" w:hAnsi="Times New Roman" w:cs="Times New Roman"/>
          <w:color w:val="auto"/>
          <w:sz w:val="24"/>
          <w:highlight w:val="none"/>
        </w:rPr>
        <w:t>——河流上游污染物浓度，mg/L；</w:t>
      </w:r>
    </w:p>
    <w:p w14:paraId="35FF2275">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p</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污水处理站</w:t>
      </w:r>
      <w:r>
        <w:rPr>
          <w:rFonts w:hint="default" w:ascii="Times New Roman" w:hAnsi="Times New Roman" w:cs="Times New Roman"/>
          <w:color w:val="auto"/>
          <w:sz w:val="24"/>
          <w:highlight w:val="none"/>
        </w:rPr>
        <w:t>处理（排放）水量，m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/s；</w:t>
      </w:r>
    </w:p>
    <w:p w14:paraId="73454551">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h</w:t>
      </w:r>
      <w:r>
        <w:rPr>
          <w:rFonts w:hint="default" w:ascii="Times New Roman" w:hAnsi="Times New Roman" w:cs="Times New Roman"/>
          <w:color w:val="auto"/>
          <w:sz w:val="24"/>
          <w:highlight w:val="none"/>
        </w:rPr>
        <w:t>——河流流量，m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/s；</w:t>
      </w:r>
    </w:p>
    <w:p w14:paraId="018C6E91">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X——预测断面到初始点的距离(m)；</w:t>
      </w:r>
    </w:p>
    <w:p w14:paraId="3FC8E0A7">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U——河水断面平均流速(m/s)；</w:t>
      </w:r>
    </w:p>
    <w:p w14:paraId="13F7487C">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K——降解系数(1/d)。</w:t>
      </w:r>
    </w:p>
    <w:p w14:paraId="411598E4">
      <w:pPr>
        <w:pStyle w:val="107"/>
        <w:adjustRightInd w:val="0"/>
        <w:snapToGrid w:val="0"/>
        <w:ind w:firstLine="482"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C相关参数确定</w:t>
      </w:r>
    </w:p>
    <w:p w14:paraId="6DE1FCD8">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eastAsia" w:cs="Times New Roman"/>
          <w:b/>
          <w:bCs/>
          <w:color w:val="auto"/>
          <w:sz w:val="24"/>
          <w:highlight w:val="none"/>
          <w:lang w:eastAsia="zh-CN"/>
        </w:rPr>
        <w:t>溢水</w:t>
      </w:r>
      <w:r>
        <w:rPr>
          <w:rFonts w:hint="default" w:ascii="Times New Roman" w:hAnsi="Times New Roman" w:cs="Times New Roman"/>
          <w:b/>
          <w:bCs/>
          <w:color w:val="auto"/>
          <w:sz w:val="24"/>
          <w:highlight w:val="none"/>
          <w:lang w:eastAsia="zh-CN"/>
        </w:rPr>
        <w:t>河</w:t>
      </w:r>
      <w:r>
        <w:rPr>
          <w:rFonts w:hint="default" w:ascii="Times New Roman" w:hAnsi="Times New Roman" w:cs="Times New Roman"/>
          <w:b/>
          <w:bCs/>
          <w:color w:val="auto"/>
          <w:sz w:val="24"/>
          <w:highlight w:val="none"/>
        </w:rPr>
        <w:t>水文参数</w:t>
      </w:r>
    </w:p>
    <w:p w14:paraId="3367AF52">
      <w:pPr>
        <w:adjustRightInd w:val="0"/>
        <w:snapToGrid w:val="0"/>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根据</w:t>
      </w:r>
      <w:r>
        <w:rPr>
          <w:rFonts w:hint="eastAsia" w:cs="Times New Roman"/>
          <w:color w:val="auto"/>
          <w:sz w:val="24"/>
          <w:highlight w:val="none"/>
          <w:lang w:eastAsia="zh-CN"/>
        </w:rPr>
        <w:t>调查</w:t>
      </w:r>
      <w:r>
        <w:rPr>
          <w:rFonts w:hint="default" w:ascii="Times New Roman" w:hAnsi="Times New Roman" w:cs="Times New Roman"/>
          <w:color w:val="auto"/>
          <w:sz w:val="24"/>
          <w:highlight w:val="none"/>
        </w:rPr>
        <w:t>，项目区河段与长滩村水文站同属溢水河流域，</w:t>
      </w:r>
      <w:r>
        <w:rPr>
          <w:rFonts w:hint="eastAsia" w:cs="Times New Roman"/>
          <w:color w:val="auto"/>
          <w:sz w:val="24"/>
          <w:highlight w:val="none"/>
          <w:lang w:eastAsia="zh-CN"/>
        </w:rPr>
        <w:t>该水文站集水面积为303</w:t>
      </w:r>
      <w:r>
        <w:rPr>
          <w:rFonts w:hint="eastAsia" w:cs="Times New Roman"/>
          <w:color w:val="auto"/>
          <w:sz w:val="24"/>
          <w:highlight w:val="none"/>
          <w:lang w:val="en-US" w:eastAsia="zh-CN"/>
        </w:rPr>
        <w:t>km</w:t>
      </w:r>
      <w:r>
        <w:rPr>
          <w:rFonts w:hint="eastAsia" w:cs="Times New Roman"/>
          <w:color w:val="auto"/>
          <w:sz w:val="24"/>
          <w:highlight w:val="none"/>
          <w:vertAlign w:val="superscript"/>
          <w:lang w:val="en-US" w:eastAsia="zh-CN"/>
        </w:rPr>
        <w:t>2</w:t>
      </w:r>
      <w:r>
        <w:rPr>
          <w:rFonts w:hint="eastAsia" w:cs="Times New Roman"/>
          <w:color w:val="auto"/>
          <w:sz w:val="24"/>
          <w:highlight w:val="none"/>
          <w:lang w:eastAsia="zh-CN"/>
        </w:rPr>
        <w:t>，</w:t>
      </w:r>
      <w:r>
        <w:rPr>
          <w:rFonts w:hint="eastAsia" w:cs="Times New Roman"/>
          <w:color w:val="auto"/>
          <w:sz w:val="24"/>
          <w:highlight w:val="none"/>
          <w:lang w:val="en-US" w:eastAsia="zh-CN"/>
        </w:rPr>
        <w:t>本项目</w:t>
      </w:r>
      <w:r>
        <w:rPr>
          <w:rFonts w:hint="default" w:ascii="Times New Roman" w:hAnsi="Times New Roman" w:cs="Times New Roman"/>
          <w:color w:val="auto"/>
          <w:sz w:val="24"/>
          <w:highlight w:val="none"/>
          <w:lang w:val="en-US" w:eastAsia="zh-CN"/>
        </w:rPr>
        <w:t>入河排污口</w:t>
      </w:r>
      <w:r>
        <w:rPr>
          <w:rFonts w:hint="default" w:ascii="Times New Roman" w:hAnsi="Times New Roman" w:cs="Times New Roman"/>
          <w:color w:val="auto"/>
          <w:sz w:val="24"/>
          <w:highlight w:val="none"/>
        </w:rPr>
        <w:t>距长滩村水文站</w:t>
      </w:r>
      <w:r>
        <w:rPr>
          <w:rFonts w:hint="default" w:ascii="Times New Roman" w:hAnsi="Times New Roman" w:cs="Times New Roman"/>
          <w:color w:val="auto"/>
          <w:sz w:val="24"/>
          <w:highlight w:val="none"/>
          <w:lang w:eastAsia="zh-CN"/>
        </w:rPr>
        <w:t>约</w:t>
      </w:r>
      <w:r>
        <w:rPr>
          <w:rFonts w:hint="default" w:ascii="Times New Roman" w:hAnsi="Times New Roman" w:cs="Times New Roman"/>
          <w:color w:val="auto"/>
          <w:sz w:val="24"/>
          <w:highlight w:val="none"/>
        </w:rPr>
        <w:t>8.5km</w:t>
      </w:r>
      <w:r>
        <w:rPr>
          <w:rFonts w:hint="eastAsia" w:cs="Times New Roman"/>
          <w:color w:val="auto"/>
          <w:sz w:val="24"/>
          <w:highlight w:val="none"/>
          <w:lang w:eastAsia="zh-CN"/>
        </w:rPr>
        <w:t>。</w:t>
      </w:r>
    </w:p>
    <w:p w14:paraId="2127C20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本次收集到水文资料选用长滩村水文站1971～2015年共45年经正式整编刊印的年径流量资料，在45年资料系列中，年最大洪峰流量最大值为576m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/s</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1981年8月21日</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，年最大流量最小值为10.8m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s（1997年3月15日）。本次评价长滩站1971-2015年月最小平均流量资料，长滩水文站为省级重要站，国家基本站，流域上游无较大水利工程，历年水文资料经多次复核审查，其可靠性、代表性和一致性良好，故此处不再进行</w:t>
      </w:r>
      <w:r>
        <w:rPr>
          <w:rFonts w:hint="eastAsia" w:ascii="Times New Roman" w:hAnsi="Times New Roman" w:cs="Times New Roman"/>
          <w:color w:val="auto"/>
          <w:sz w:val="24"/>
          <w:highlight w:val="none"/>
          <w:lang w:val="en-US" w:eastAsia="zh-CN"/>
        </w:rPr>
        <w:t>可靠性、代表性和一致性</w:t>
      </w:r>
      <w:r>
        <w:rPr>
          <w:rFonts w:hint="default" w:ascii="Times New Roman" w:hAnsi="Times New Roman" w:cs="Times New Roman"/>
          <w:color w:val="auto"/>
          <w:sz w:val="24"/>
          <w:highlight w:val="none"/>
          <w:lang w:val="en-US" w:eastAsia="zh-CN"/>
        </w:rPr>
        <w:t>分析。</w:t>
      </w:r>
    </w:p>
    <w:p w14:paraId="1ED2D3DE">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依据长滩水文站1971～2015年共45年最枯月平均流量资料系列进行频率计算，采用皮尔逊Ⅲ型曲线适线，由于本项目论证比较关注的是枯水时段的来水保证率情况，适线时适当照顾小流量数据，经矩法计算和计算机适线后确定的统计参数为：多年平均流量</w:t>
      </w:r>
      <w:r>
        <w:rPr>
          <w:rFonts w:hint="eastAsia" w:ascii="Times New Roman" w:hAnsi="Times New Roman" w:cs="Times New Roman"/>
          <w:color w:val="auto"/>
          <w:sz w:val="24"/>
          <w:highlight w:val="none"/>
          <w:lang w:val="en-US" w:eastAsia="zh-CN"/>
        </w:rPr>
        <w:t>Q均</w:t>
      </w:r>
      <w:r>
        <w:rPr>
          <w:rFonts w:hint="default" w:ascii="Times New Roman" w:hAnsi="Times New Roman" w:cs="Times New Roman"/>
          <w:color w:val="auto"/>
          <w:sz w:val="24"/>
          <w:highlight w:val="none"/>
          <w:lang w:val="en-US" w:eastAsia="zh-CN"/>
        </w:rPr>
        <w:t>=0.55m³/s，变差系数Cv=0.28，偏态系数按Cs=0.84。长滩水文站1971-2015年月最枯平均流量频率曲线图</w:t>
      </w:r>
      <w:r>
        <w:rPr>
          <w:rFonts w:hint="eastAsia" w:ascii="Times New Roman" w:hAnsi="Times New Roman" w:cs="Times New Roman"/>
          <w:color w:val="auto"/>
          <w:sz w:val="24"/>
          <w:highlight w:val="none"/>
          <w:lang w:val="en-US" w:eastAsia="zh-CN"/>
        </w:rPr>
        <w:t>4.</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lang w:val="en-US" w:eastAsia="zh-CN"/>
        </w:rPr>
        <w:t>，长滩水文站1971～2015年不同频率多年平均流量频率分析成果见表</w:t>
      </w:r>
      <w:r>
        <w:rPr>
          <w:rFonts w:hint="eastAsia" w:ascii="Times New Roman" w:hAnsi="Times New Roman" w:cs="Times New Roman"/>
          <w:color w:val="auto"/>
          <w:sz w:val="24"/>
          <w:highlight w:val="none"/>
          <w:lang w:val="en-US" w:eastAsia="zh-CN"/>
        </w:rPr>
        <w:t>4.</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lang w:val="en-US" w:eastAsia="zh-CN"/>
        </w:rPr>
        <w:t>。</w:t>
      </w:r>
    </w:p>
    <w:p w14:paraId="75363E6D">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表</w:t>
      </w:r>
      <w:r>
        <w:rPr>
          <w:rFonts w:hint="eastAsia" w:ascii="Times New Roman" w:hAnsi="Times New Roman"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w:t>
      </w:r>
      <w:r>
        <w:rPr>
          <w:rFonts w:hint="eastAsia" w:ascii="Times New Roman" w:cs="Times New Roman"/>
          <w:b/>
          <w:bCs/>
          <w:color w:val="auto"/>
          <w:sz w:val="21"/>
          <w:szCs w:val="21"/>
          <w:highlight w:val="none"/>
          <w:lang w:val="en-US" w:eastAsia="zh-CN"/>
        </w:rPr>
        <w:t>2-3</w:t>
      </w: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lang w:val="en-US" w:eastAsia="zh-CN"/>
        </w:rPr>
        <w:t>长滩水文站不同频率最枯月平均流量表  单位：m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/s</w:t>
      </w:r>
    </w:p>
    <w:tbl>
      <w:tblPr>
        <w:tblStyle w:val="32"/>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1132"/>
        <w:gridCol w:w="1323"/>
        <w:gridCol w:w="1133"/>
        <w:gridCol w:w="1133"/>
        <w:gridCol w:w="1133"/>
        <w:gridCol w:w="1140"/>
      </w:tblGrid>
      <w:tr w14:paraId="473BE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331" w:type="pct"/>
            <w:gridSpan w:val="3"/>
            <w:tcBorders>
              <w:tl2br w:val="nil"/>
              <w:tr2bl w:val="nil"/>
            </w:tcBorders>
            <w:noWrap w:val="0"/>
            <w:vAlign w:val="center"/>
          </w:tcPr>
          <w:p w14:paraId="52A71E32">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统计参数</w:t>
            </w:r>
          </w:p>
        </w:tc>
        <w:tc>
          <w:tcPr>
            <w:tcW w:w="2668" w:type="pct"/>
            <w:gridSpan w:val="4"/>
            <w:tcBorders>
              <w:tl2br w:val="nil"/>
              <w:tr2bl w:val="nil"/>
            </w:tcBorders>
            <w:noWrap w:val="0"/>
            <w:vAlign w:val="center"/>
          </w:tcPr>
          <w:p w14:paraId="05BCDC35">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P（%）</w:t>
            </w:r>
          </w:p>
        </w:tc>
      </w:tr>
      <w:tr w14:paraId="54CCB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7" w:type="pct"/>
            <w:tcBorders>
              <w:tl2br w:val="nil"/>
              <w:tr2bl w:val="nil"/>
            </w:tcBorders>
            <w:noWrap w:val="0"/>
            <w:vAlign w:val="center"/>
          </w:tcPr>
          <w:p w14:paraId="44052B50">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Q均（m³/s）</w:t>
            </w:r>
          </w:p>
        </w:tc>
        <w:tc>
          <w:tcPr>
            <w:tcW w:w="666" w:type="pct"/>
            <w:tcBorders>
              <w:tl2br w:val="nil"/>
              <w:tr2bl w:val="nil"/>
            </w:tcBorders>
            <w:noWrap w:val="0"/>
            <w:vAlign w:val="center"/>
          </w:tcPr>
          <w:p w14:paraId="26D0147D">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Cv</w:t>
            </w:r>
          </w:p>
        </w:tc>
        <w:tc>
          <w:tcPr>
            <w:tcW w:w="778" w:type="pct"/>
            <w:tcBorders>
              <w:tl2br w:val="nil"/>
              <w:tr2bl w:val="nil"/>
            </w:tcBorders>
            <w:noWrap w:val="0"/>
            <w:vAlign w:val="center"/>
          </w:tcPr>
          <w:p w14:paraId="41F824D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Cs/cv</w:t>
            </w:r>
          </w:p>
        </w:tc>
        <w:tc>
          <w:tcPr>
            <w:tcW w:w="666" w:type="pct"/>
            <w:tcBorders>
              <w:tl2br w:val="nil"/>
              <w:tr2bl w:val="nil"/>
            </w:tcBorders>
            <w:noWrap w:val="0"/>
            <w:vAlign w:val="center"/>
          </w:tcPr>
          <w:p w14:paraId="7FA34430">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50</w:t>
            </w:r>
          </w:p>
        </w:tc>
        <w:tc>
          <w:tcPr>
            <w:tcW w:w="666" w:type="pct"/>
            <w:tcBorders>
              <w:tl2br w:val="nil"/>
              <w:tr2bl w:val="nil"/>
            </w:tcBorders>
            <w:noWrap w:val="0"/>
            <w:vAlign w:val="center"/>
          </w:tcPr>
          <w:p w14:paraId="24EE549A">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75</w:t>
            </w:r>
          </w:p>
        </w:tc>
        <w:tc>
          <w:tcPr>
            <w:tcW w:w="666" w:type="pct"/>
            <w:tcBorders>
              <w:tl2br w:val="nil"/>
              <w:tr2bl w:val="nil"/>
            </w:tcBorders>
            <w:noWrap w:val="0"/>
            <w:vAlign w:val="center"/>
          </w:tcPr>
          <w:p w14:paraId="3C20B29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90</w:t>
            </w:r>
          </w:p>
        </w:tc>
        <w:tc>
          <w:tcPr>
            <w:tcW w:w="668" w:type="pct"/>
            <w:tcBorders>
              <w:tl2br w:val="nil"/>
              <w:tr2bl w:val="nil"/>
            </w:tcBorders>
            <w:noWrap w:val="0"/>
            <w:vAlign w:val="center"/>
          </w:tcPr>
          <w:p w14:paraId="17176190">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95</w:t>
            </w:r>
          </w:p>
        </w:tc>
      </w:tr>
      <w:tr w14:paraId="70A157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7" w:type="pct"/>
            <w:tcBorders>
              <w:tl2br w:val="nil"/>
              <w:tr2bl w:val="nil"/>
            </w:tcBorders>
            <w:noWrap w:val="0"/>
            <w:vAlign w:val="center"/>
          </w:tcPr>
          <w:p w14:paraId="54645E0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0.55</w:t>
            </w:r>
          </w:p>
        </w:tc>
        <w:tc>
          <w:tcPr>
            <w:tcW w:w="666" w:type="pct"/>
            <w:tcBorders>
              <w:tl2br w:val="nil"/>
              <w:tr2bl w:val="nil"/>
            </w:tcBorders>
            <w:noWrap w:val="0"/>
            <w:vAlign w:val="center"/>
          </w:tcPr>
          <w:p w14:paraId="65DE405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0.28</w:t>
            </w:r>
          </w:p>
        </w:tc>
        <w:tc>
          <w:tcPr>
            <w:tcW w:w="778" w:type="pct"/>
            <w:tcBorders>
              <w:tl2br w:val="nil"/>
              <w:tr2bl w:val="nil"/>
            </w:tcBorders>
            <w:noWrap w:val="0"/>
            <w:vAlign w:val="center"/>
          </w:tcPr>
          <w:p w14:paraId="720299F1">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3</w:t>
            </w:r>
          </w:p>
        </w:tc>
        <w:tc>
          <w:tcPr>
            <w:tcW w:w="666" w:type="pct"/>
            <w:tcBorders>
              <w:tl2br w:val="nil"/>
              <w:tr2bl w:val="nil"/>
            </w:tcBorders>
            <w:noWrap w:val="0"/>
            <w:vAlign w:val="center"/>
          </w:tcPr>
          <w:p w14:paraId="4FF961F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0.53</w:t>
            </w:r>
          </w:p>
        </w:tc>
        <w:tc>
          <w:tcPr>
            <w:tcW w:w="666" w:type="pct"/>
            <w:tcBorders>
              <w:tl2br w:val="nil"/>
              <w:tr2bl w:val="nil"/>
            </w:tcBorders>
            <w:noWrap w:val="0"/>
            <w:vAlign w:val="center"/>
          </w:tcPr>
          <w:p w14:paraId="4DEAD8B2">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0.45</w:t>
            </w:r>
          </w:p>
        </w:tc>
        <w:tc>
          <w:tcPr>
            <w:tcW w:w="666" w:type="pct"/>
            <w:tcBorders>
              <w:tl2br w:val="nil"/>
              <w:tr2bl w:val="nil"/>
            </w:tcBorders>
            <w:noWrap w:val="0"/>
            <w:vAlign w:val="center"/>
          </w:tcPr>
          <w:p w14:paraId="0ACF2414">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0.38</w:t>
            </w:r>
          </w:p>
        </w:tc>
        <w:tc>
          <w:tcPr>
            <w:tcW w:w="668" w:type="pct"/>
            <w:tcBorders>
              <w:tl2br w:val="nil"/>
              <w:tr2bl w:val="nil"/>
            </w:tcBorders>
            <w:noWrap w:val="0"/>
            <w:vAlign w:val="center"/>
          </w:tcPr>
          <w:p w14:paraId="481DE8B6">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0.35</w:t>
            </w:r>
          </w:p>
        </w:tc>
      </w:tr>
    </w:tbl>
    <w:p w14:paraId="29B96B50">
      <w:pPr>
        <w:ind w:left="0" w:leftChars="0" w:firstLine="0" w:firstLineChars="0"/>
        <w:jc w:val="center"/>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5163185" cy="3973195"/>
            <wp:effectExtent l="0" t="0" r="18415" b="8255"/>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41"/>
                    <a:stretch>
                      <a:fillRect/>
                    </a:stretch>
                  </pic:blipFill>
                  <pic:spPr>
                    <a:xfrm>
                      <a:off x="0" y="0"/>
                      <a:ext cx="5163185" cy="3973195"/>
                    </a:xfrm>
                    <a:prstGeom prst="rect">
                      <a:avLst/>
                    </a:prstGeom>
                    <a:noFill/>
                    <a:ln>
                      <a:noFill/>
                    </a:ln>
                  </pic:spPr>
                </pic:pic>
              </a:graphicData>
            </a:graphic>
          </wp:inline>
        </w:drawing>
      </w:r>
    </w:p>
    <w:p w14:paraId="66550631">
      <w:pPr>
        <w:pStyle w:val="30"/>
        <w:adjustRightInd w:val="0"/>
        <w:snapToGrid w:val="0"/>
        <w:spacing w:after="0" w:line="360" w:lineRule="auto"/>
        <w:ind w:left="0" w:leftChars="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图</w:t>
      </w:r>
      <w:r>
        <w:rPr>
          <w:rFonts w:hint="eastAsia" w:ascii="Times New Roman" w:hAnsi="Times New Roman" w:eastAsia="宋体" w:cs="Times New Roman"/>
          <w:b/>
          <w:bCs/>
          <w:color w:val="auto"/>
          <w:kern w:val="0"/>
          <w:sz w:val="21"/>
          <w:szCs w:val="21"/>
          <w:highlight w:val="none"/>
          <w:lang w:val="en-US" w:eastAsia="zh-CN" w:bidi="ar-SA"/>
        </w:rPr>
        <w:t>4.2</w:t>
      </w:r>
      <w:r>
        <w:rPr>
          <w:rFonts w:hint="default" w:ascii="Times New Roman" w:hAnsi="Times New Roman" w:eastAsia="宋体" w:cs="Times New Roman"/>
          <w:b/>
          <w:bCs/>
          <w:color w:val="auto"/>
          <w:kern w:val="0"/>
          <w:sz w:val="21"/>
          <w:szCs w:val="21"/>
          <w:highlight w:val="none"/>
          <w:lang w:val="en-US" w:eastAsia="zh-CN" w:bidi="ar-SA"/>
        </w:rPr>
        <w:t>-1  长滩水文站1971-2015年月最枯平均流量频率曲线图</w:t>
      </w:r>
    </w:p>
    <w:p w14:paraId="54EE07E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长滩水文站控制流域面积237</w:t>
      </w:r>
      <w:r>
        <w:rPr>
          <w:rFonts w:hint="eastAsia" w:ascii="Times New Roman" w:hAnsi="Times New Roman" w:cs="Times New Roman"/>
          <w:color w:val="auto"/>
          <w:sz w:val="24"/>
          <w:highlight w:val="none"/>
          <w:lang w:val="en-US" w:eastAsia="zh-CN"/>
        </w:rPr>
        <w:t>km</w:t>
      </w:r>
      <w:r>
        <w:rPr>
          <w:rFonts w:hint="eastAsia"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，入河排污口河断面控制流域面积为303</w:t>
      </w:r>
      <w:r>
        <w:rPr>
          <w:rFonts w:hint="eastAsia" w:ascii="Times New Roman" w:hAnsi="Times New Roman" w:cs="Times New Roman"/>
          <w:color w:val="auto"/>
          <w:sz w:val="24"/>
          <w:highlight w:val="none"/>
          <w:lang w:val="en-US" w:eastAsia="zh-CN"/>
        </w:rPr>
        <w:t>km</w:t>
      </w:r>
      <w:r>
        <w:rPr>
          <w:rFonts w:hint="eastAsia"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，根据水文比拟法推求入河排污口溢水河断面90%保证率设计流量。</w:t>
      </w:r>
    </w:p>
    <w:p w14:paraId="5BDB11D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项目区河段断面设计流量按下式计算：</w:t>
      </w:r>
    </w:p>
    <w:p w14:paraId="2931FC61">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object>
          <v:shape id="_x0000_i1034" o:spt="75" type="#_x0000_t75" style="height:42pt;width:96.95pt;" o:ole="t" filled="f" o:preferrelative="t" stroked="f" coordsize="21600,21600">
            <v:path/>
            <v:fill on="f" focussize="0,0"/>
            <v:stroke on="f"/>
            <v:imagedata r:id="rId43" o:title=""/>
            <o:lock v:ext="edit" aspectratio="t"/>
            <w10:wrap type="none"/>
            <w10:anchorlock/>
          </v:shape>
          <o:OLEObject Type="Embed" ProgID="Equation.KSEE3" ShapeID="_x0000_i1034" DrawAspect="Content" ObjectID="_1468075734" r:id="rId42">
            <o:LockedField>false</o:LockedField>
          </o:OLEObject>
        </w:object>
      </w:r>
    </w:p>
    <w:p w14:paraId="3EDED7E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式中：Q设—设计断面流量（m³/s）；</w:t>
      </w:r>
    </w:p>
    <w:p w14:paraId="65C4C22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F设—设计断面以上流域面积（km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w:t>
      </w:r>
    </w:p>
    <w:p w14:paraId="4EDA3D2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F参—参证站控制流域面积（km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w:t>
      </w:r>
    </w:p>
    <w:p w14:paraId="23481CE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Q参—参证站控制断面流量（m³/s）；</w:t>
      </w:r>
    </w:p>
    <w:p w14:paraId="1A9123D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本项目</w:t>
      </w:r>
      <w:r>
        <w:rPr>
          <w:rFonts w:hint="default" w:ascii="Times New Roman" w:hAnsi="Times New Roman" w:cs="Times New Roman"/>
          <w:color w:val="auto"/>
          <w:sz w:val="24"/>
          <w:highlight w:val="none"/>
          <w:lang w:val="en-US" w:eastAsia="zh-CN"/>
        </w:rPr>
        <w:t>入河排污口河道控制断面90%保证率设计流量计算成果见表</w:t>
      </w:r>
      <w:r>
        <w:rPr>
          <w:rFonts w:hint="eastAsia" w:ascii="Times New Roman" w:hAnsi="Times New Roman" w:cs="Times New Roman"/>
          <w:color w:val="auto"/>
          <w:sz w:val="24"/>
          <w:highlight w:val="none"/>
          <w:lang w:val="en-US" w:eastAsia="zh-CN"/>
        </w:rPr>
        <w:t>4.</w:t>
      </w:r>
      <w:r>
        <w:rPr>
          <w:rFonts w:hint="eastAsia" w:cs="Times New Roman"/>
          <w:color w:val="auto"/>
          <w:sz w:val="24"/>
          <w:highlight w:val="none"/>
          <w:lang w:val="en-US" w:eastAsia="zh-CN"/>
        </w:rPr>
        <w:t>2-4</w:t>
      </w:r>
      <w:r>
        <w:rPr>
          <w:rFonts w:hint="default" w:ascii="Times New Roman" w:hAnsi="Times New Roman" w:cs="Times New Roman"/>
          <w:color w:val="auto"/>
          <w:sz w:val="24"/>
          <w:highlight w:val="none"/>
          <w:lang w:val="en-US" w:eastAsia="zh-CN"/>
        </w:rPr>
        <w:t>。</w:t>
      </w:r>
    </w:p>
    <w:p w14:paraId="39D3917F">
      <w:pPr>
        <w:pStyle w:val="30"/>
        <w:adjustRightInd w:val="0"/>
        <w:snapToGrid w:val="0"/>
        <w:spacing w:after="0" w:line="240" w:lineRule="auto"/>
        <w:ind w:left="0" w:leftChars="0" w:firstLine="0" w:firstLineChars="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w:t>
      </w:r>
      <w:r>
        <w:rPr>
          <w:rFonts w:hint="eastAsia" w:ascii="Times New Roman" w:hAnsi="Times New Roman" w:eastAsia="宋体" w:cs="Times New Roman"/>
          <w:b/>
          <w:bCs/>
          <w:color w:val="auto"/>
          <w:kern w:val="0"/>
          <w:sz w:val="21"/>
          <w:szCs w:val="21"/>
          <w:highlight w:val="none"/>
          <w:lang w:val="en-US" w:eastAsia="zh-CN" w:bidi="ar-SA"/>
        </w:rPr>
        <w:t>4.2-4</w:t>
      </w:r>
      <w:r>
        <w:rPr>
          <w:rFonts w:hint="default" w:ascii="Times New Roman" w:hAnsi="Times New Roman" w:eastAsia="宋体" w:cs="Times New Roman"/>
          <w:b/>
          <w:bCs/>
          <w:color w:val="auto"/>
          <w:kern w:val="0"/>
          <w:sz w:val="21"/>
          <w:szCs w:val="21"/>
          <w:highlight w:val="none"/>
          <w:lang w:val="en-US" w:eastAsia="zh-CN" w:bidi="ar-SA"/>
        </w:rPr>
        <w:t xml:space="preserve">  90%保证率入河排水口控制断面设计流量成果表</w:t>
      </w:r>
    </w:p>
    <w:tbl>
      <w:tblPr>
        <w:tblStyle w:val="3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2285"/>
        <w:gridCol w:w="3368"/>
      </w:tblGrid>
      <w:tr w14:paraId="1EB581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21" w:type="dxa"/>
            <w:tcBorders>
              <w:tl2br w:val="nil"/>
              <w:tr2bl w:val="nil"/>
            </w:tcBorders>
            <w:noWrap w:val="0"/>
            <w:vAlign w:val="center"/>
          </w:tcPr>
          <w:p w14:paraId="4E90DEC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流域名称</w:t>
            </w:r>
          </w:p>
        </w:tc>
        <w:tc>
          <w:tcPr>
            <w:tcW w:w="2285" w:type="dxa"/>
            <w:tcBorders>
              <w:tl2br w:val="nil"/>
              <w:tr2bl w:val="nil"/>
            </w:tcBorders>
            <w:noWrap w:val="0"/>
            <w:vAlign w:val="center"/>
          </w:tcPr>
          <w:p w14:paraId="314D12AC">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流域面积（km</w:t>
            </w:r>
            <w:r>
              <w:rPr>
                <w:rFonts w:hint="default" w:ascii="Times New Roman" w:hAnsi="Times New Roman" w:cs="Times New Roman"/>
                <w:b/>
                <w:bCs/>
                <w:color w:val="auto"/>
                <w:sz w:val="21"/>
                <w:szCs w:val="21"/>
                <w:highlight w:val="none"/>
                <w:vertAlign w:val="superscript"/>
                <w:lang w:val="en-US" w:eastAsia="zh-CN"/>
              </w:rPr>
              <w:t>2</w:t>
            </w:r>
            <w:r>
              <w:rPr>
                <w:rFonts w:hint="default" w:ascii="Times New Roman" w:hAnsi="Times New Roman" w:cs="Times New Roman"/>
                <w:b/>
                <w:bCs/>
                <w:color w:val="auto"/>
                <w:sz w:val="21"/>
                <w:szCs w:val="21"/>
                <w:highlight w:val="none"/>
                <w:lang w:val="en-US" w:eastAsia="zh-CN"/>
              </w:rPr>
              <w:t>）</w:t>
            </w:r>
          </w:p>
        </w:tc>
        <w:tc>
          <w:tcPr>
            <w:tcW w:w="3368" w:type="dxa"/>
            <w:tcBorders>
              <w:tl2br w:val="nil"/>
              <w:tr2bl w:val="nil"/>
            </w:tcBorders>
            <w:noWrap w:val="0"/>
            <w:vAlign w:val="center"/>
          </w:tcPr>
          <w:p w14:paraId="17638F05">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90%保证率设计流量（m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/s）</w:t>
            </w:r>
          </w:p>
        </w:tc>
      </w:tr>
      <w:tr w14:paraId="39ED04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21" w:type="dxa"/>
            <w:tcBorders>
              <w:tl2br w:val="nil"/>
              <w:tr2bl w:val="nil"/>
            </w:tcBorders>
            <w:noWrap w:val="0"/>
            <w:vAlign w:val="center"/>
          </w:tcPr>
          <w:p w14:paraId="6602E076">
            <w:pPr>
              <w:pStyle w:val="64"/>
              <w:adjustRightInd w:val="0"/>
              <w:snapToGrid w:val="0"/>
              <w:spacing w:line="240" w:lineRule="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长滩水文站</w:t>
            </w:r>
          </w:p>
        </w:tc>
        <w:tc>
          <w:tcPr>
            <w:tcW w:w="2285" w:type="dxa"/>
            <w:tcBorders>
              <w:tl2br w:val="nil"/>
              <w:tr2bl w:val="nil"/>
            </w:tcBorders>
            <w:noWrap w:val="0"/>
            <w:vAlign w:val="center"/>
          </w:tcPr>
          <w:p w14:paraId="20B3B126">
            <w:pPr>
              <w:pStyle w:val="64"/>
              <w:adjustRightInd w:val="0"/>
              <w:snapToGrid w:val="0"/>
              <w:spacing w:line="240" w:lineRule="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237</w:t>
            </w:r>
          </w:p>
        </w:tc>
        <w:tc>
          <w:tcPr>
            <w:tcW w:w="3368" w:type="dxa"/>
            <w:tcBorders>
              <w:tl2br w:val="nil"/>
              <w:tr2bl w:val="nil"/>
            </w:tcBorders>
            <w:noWrap w:val="0"/>
            <w:vAlign w:val="center"/>
          </w:tcPr>
          <w:p w14:paraId="79860924">
            <w:pPr>
              <w:pStyle w:val="64"/>
              <w:adjustRightInd w:val="0"/>
              <w:snapToGrid w:val="0"/>
              <w:spacing w:line="240" w:lineRule="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0.38</w:t>
            </w:r>
          </w:p>
        </w:tc>
      </w:tr>
      <w:tr w14:paraId="3727F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21" w:type="dxa"/>
            <w:tcBorders>
              <w:tl2br w:val="nil"/>
              <w:tr2bl w:val="nil"/>
            </w:tcBorders>
            <w:noWrap w:val="0"/>
            <w:vAlign w:val="center"/>
          </w:tcPr>
          <w:p w14:paraId="1F9BF5D9">
            <w:pPr>
              <w:pStyle w:val="64"/>
              <w:adjustRightInd w:val="0"/>
              <w:snapToGrid w:val="0"/>
              <w:spacing w:line="240" w:lineRule="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入河排污口</w:t>
            </w:r>
          </w:p>
        </w:tc>
        <w:tc>
          <w:tcPr>
            <w:tcW w:w="2285" w:type="dxa"/>
            <w:tcBorders>
              <w:tl2br w:val="nil"/>
              <w:tr2bl w:val="nil"/>
            </w:tcBorders>
            <w:noWrap w:val="0"/>
            <w:vAlign w:val="center"/>
          </w:tcPr>
          <w:p w14:paraId="32999DA2">
            <w:pPr>
              <w:pStyle w:val="64"/>
              <w:adjustRightInd w:val="0"/>
              <w:snapToGrid w:val="0"/>
              <w:spacing w:line="240" w:lineRule="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303</w:t>
            </w:r>
          </w:p>
        </w:tc>
        <w:tc>
          <w:tcPr>
            <w:tcW w:w="3368" w:type="dxa"/>
            <w:tcBorders>
              <w:tl2br w:val="nil"/>
              <w:tr2bl w:val="nil"/>
            </w:tcBorders>
            <w:noWrap w:val="0"/>
            <w:vAlign w:val="center"/>
          </w:tcPr>
          <w:p w14:paraId="14171921">
            <w:pPr>
              <w:pStyle w:val="64"/>
              <w:adjustRightInd w:val="0"/>
              <w:snapToGrid w:val="0"/>
              <w:spacing w:line="240" w:lineRule="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0.45</w:t>
            </w:r>
          </w:p>
        </w:tc>
      </w:tr>
    </w:tbl>
    <w:p w14:paraId="2F2CAC00">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由上表可知，</w:t>
      </w:r>
      <w:r>
        <w:rPr>
          <w:rFonts w:hint="eastAsia" w:cs="Times New Roman"/>
          <w:color w:val="auto"/>
          <w:sz w:val="24"/>
          <w:highlight w:val="none"/>
          <w:lang w:val="en-US" w:eastAsia="zh-CN"/>
        </w:rPr>
        <w:t>本项目</w:t>
      </w:r>
      <w:r>
        <w:rPr>
          <w:rFonts w:hint="default" w:ascii="Times New Roman" w:hAnsi="Times New Roman" w:cs="Times New Roman"/>
          <w:color w:val="auto"/>
          <w:sz w:val="24"/>
          <w:highlight w:val="none"/>
          <w:lang w:val="en-US" w:eastAsia="zh-CN"/>
        </w:rPr>
        <w:t>入河排污口</w:t>
      </w:r>
      <w:r>
        <w:rPr>
          <w:rFonts w:hint="eastAsia" w:ascii="Times New Roman" w:hAnsi="Times New Roman" w:cs="Times New Roman"/>
          <w:color w:val="auto"/>
          <w:sz w:val="24"/>
          <w:highlight w:val="none"/>
          <w:lang w:val="en-US" w:eastAsia="zh-CN"/>
        </w:rPr>
        <w:t>段溢水河</w:t>
      </w:r>
      <w:r>
        <w:rPr>
          <w:rFonts w:hint="default" w:ascii="Times New Roman" w:hAnsi="Times New Roman" w:cs="Times New Roman"/>
          <w:color w:val="auto"/>
          <w:sz w:val="24"/>
          <w:highlight w:val="none"/>
          <w:lang w:val="en-US" w:eastAsia="zh-CN"/>
        </w:rPr>
        <w:t>90%保证率下最枯月平均流量为0.45m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/s。</w:t>
      </w:r>
    </w:p>
    <w:p w14:paraId="44F56554">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此外，</w:t>
      </w:r>
      <w:r>
        <w:rPr>
          <w:rFonts w:hint="default" w:ascii="Times New Roman" w:hAnsi="Times New Roman" w:cs="Times New Roman"/>
          <w:color w:val="auto"/>
          <w:sz w:val="24"/>
          <w:highlight w:val="none"/>
          <w:lang w:val="en-US" w:eastAsia="zh-CN"/>
        </w:rPr>
        <w:t>本次根据长滩水文站1989年实测流量资料绘制了流量-流速关系综合曲线（低水部分，见图4.</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-2），考虑到河流特征、河流走向、断面形状及比降等因素比较接近，因此可供本次确定设计流速参考。</w:t>
      </w:r>
    </w:p>
    <w:p w14:paraId="52DF219D">
      <w:pPr>
        <w:adjustRightInd w:val="0"/>
        <w:snapToGrid w:val="0"/>
        <w:spacing w:line="240" w:lineRule="auto"/>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drawing>
          <wp:inline distT="0" distB="0" distL="114300" distR="114300">
            <wp:extent cx="5394325" cy="3288665"/>
            <wp:effectExtent l="0" t="0" r="15875" b="6985"/>
            <wp:docPr id="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44"/>
                    <a:stretch>
                      <a:fillRect/>
                    </a:stretch>
                  </pic:blipFill>
                  <pic:spPr>
                    <a:xfrm>
                      <a:off x="0" y="0"/>
                      <a:ext cx="5394325" cy="3288665"/>
                    </a:xfrm>
                    <a:prstGeom prst="rect">
                      <a:avLst/>
                    </a:prstGeom>
                    <a:noFill/>
                    <a:ln>
                      <a:noFill/>
                    </a:ln>
                  </pic:spPr>
                </pic:pic>
              </a:graphicData>
            </a:graphic>
          </wp:inline>
        </w:drawing>
      </w:r>
    </w:p>
    <w:p w14:paraId="428A1C2F">
      <w:pPr>
        <w:adjustRightInd w:val="0"/>
        <w:snapToGrid w:val="0"/>
        <w:spacing w:line="240" w:lineRule="auto"/>
        <w:ind w:firstLine="422" w:firstLineChars="20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图4.</w:t>
      </w:r>
      <w:r>
        <w:rPr>
          <w:rFonts w:hint="eastAsia" w:cs="Times New Roman"/>
          <w:b/>
          <w:bCs/>
          <w:color w:val="auto"/>
          <w:kern w:val="0"/>
          <w:sz w:val="21"/>
          <w:szCs w:val="21"/>
          <w:highlight w:val="none"/>
          <w:lang w:val="en-US" w:eastAsia="zh-CN" w:bidi="ar-SA"/>
        </w:rPr>
        <w:t>2</w:t>
      </w:r>
      <w:r>
        <w:rPr>
          <w:rFonts w:hint="default" w:ascii="Times New Roman" w:hAnsi="Times New Roman" w:eastAsia="宋体" w:cs="Times New Roman"/>
          <w:b/>
          <w:bCs/>
          <w:color w:val="auto"/>
          <w:kern w:val="0"/>
          <w:sz w:val="21"/>
          <w:szCs w:val="21"/>
          <w:highlight w:val="none"/>
          <w:lang w:val="en-US" w:eastAsia="zh-CN" w:bidi="ar-SA"/>
        </w:rPr>
        <w:t>-2  长滩水文站流量—流速综合曲线</w:t>
      </w:r>
    </w:p>
    <w:p w14:paraId="53B19C27">
      <w:pPr>
        <w:adjustRightInd w:val="0"/>
        <w:snapToGrid w:val="0"/>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由上图可知，入河排污口段溢水河90%保证率年最枯月平均流量0.45m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/s，对应平均流速</w:t>
      </w:r>
      <w:r>
        <w:rPr>
          <w:rFonts w:hint="default" w:ascii="Times New Roman" w:hAnsi="Times New Roman" w:cs="Times New Roman"/>
          <w:color w:val="auto"/>
          <w:sz w:val="24"/>
          <w:highlight w:val="none"/>
          <w:lang w:val="en-US" w:eastAsia="zh-CN"/>
        </w:rPr>
        <w:t>μ</w:t>
      </w:r>
      <w:r>
        <w:rPr>
          <w:rFonts w:hint="eastAsia" w:cs="Times New Roman"/>
          <w:color w:val="auto"/>
          <w:sz w:val="24"/>
          <w:highlight w:val="none"/>
          <w:lang w:val="en-US" w:eastAsia="zh-CN"/>
        </w:rPr>
        <w:t>为0.41m/s。</w:t>
      </w:r>
    </w:p>
    <w:p w14:paraId="4B28101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eastAsia="zh-CN"/>
        </w:rPr>
        <w:t>根据上述比拟计算得出的溢水河流量和流速以及搜集到的河流水文资料</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最终</w:t>
      </w:r>
      <w:r>
        <w:rPr>
          <w:rFonts w:hint="default" w:ascii="Times New Roman" w:hAnsi="Times New Roman" w:cs="Times New Roman"/>
          <w:color w:val="auto"/>
          <w:sz w:val="24"/>
          <w:highlight w:val="none"/>
        </w:rPr>
        <w:t>确定</w:t>
      </w:r>
      <w:r>
        <w:rPr>
          <w:rFonts w:hint="eastAsia" w:cs="Times New Roman"/>
          <w:bCs/>
          <w:color w:val="auto"/>
          <w:sz w:val="24"/>
          <w:highlight w:val="none"/>
          <w:lang w:eastAsia="zh-CN"/>
        </w:rPr>
        <w:t>溢水</w:t>
      </w:r>
      <w:r>
        <w:rPr>
          <w:rFonts w:hint="default" w:ascii="Times New Roman" w:hAnsi="Times New Roman" w:cs="Times New Roman"/>
          <w:bCs/>
          <w:color w:val="auto"/>
          <w:sz w:val="24"/>
          <w:highlight w:val="none"/>
          <w:lang w:eastAsia="zh-CN"/>
        </w:rPr>
        <w:t>河</w:t>
      </w:r>
      <w:r>
        <w:rPr>
          <w:rFonts w:hint="default" w:ascii="Times New Roman" w:hAnsi="Times New Roman" w:cs="Times New Roman"/>
          <w:color w:val="auto"/>
          <w:sz w:val="24"/>
          <w:highlight w:val="none"/>
        </w:rPr>
        <w:t>水文参数见表</w:t>
      </w:r>
      <w:r>
        <w:rPr>
          <w:rFonts w:hint="default" w:ascii="Times New Roman" w:hAnsi="Times New Roman" w:cs="Times New Roman"/>
          <w:color w:val="auto"/>
          <w:sz w:val="24"/>
          <w:highlight w:val="none"/>
          <w:lang w:val="en-US" w:eastAsia="zh-CN"/>
        </w:rPr>
        <w:t>4.2-</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w:t>
      </w:r>
    </w:p>
    <w:p w14:paraId="32FAE7A6">
      <w:pPr>
        <w:pStyle w:val="102"/>
        <w:snapToGrid w:val="0"/>
        <w:spacing w:before="0"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4.2-</w:t>
      </w:r>
      <w:r>
        <w:rPr>
          <w:rFonts w:hint="eastAsia" w:ascii="Times New Roman"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eastAsia="zh-CN"/>
        </w:rPr>
        <w:t>溢水河</w:t>
      </w:r>
      <w:r>
        <w:rPr>
          <w:rFonts w:hint="default" w:ascii="Times New Roman" w:hAnsi="Times New Roman" w:cs="Times New Roman"/>
          <w:b/>
          <w:bCs/>
          <w:color w:val="auto"/>
          <w:sz w:val="21"/>
          <w:szCs w:val="21"/>
          <w:highlight w:val="none"/>
        </w:rPr>
        <w:t>（预测河段）水文参数一览表</w:t>
      </w:r>
    </w:p>
    <w:tbl>
      <w:tblPr>
        <w:tblStyle w:val="31"/>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1477"/>
        <w:gridCol w:w="1475"/>
        <w:gridCol w:w="1259"/>
        <w:gridCol w:w="1437"/>
        <w:gridCol w:w="1284"/>
      </w:tblGrid>
      <w:tr w14:paraId="4DFDE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1288" w:type="dxa"/>
            <w:tcBorders>
              <w:tl2br w:val="nil"/>
              <w:tr2bl w:val="nil"/>
            </w:tcBorders>
            <w:noWrap w:val="0"/>
            <w:vAlign w:val="center"/>
          </w:tcPr>
          <w:p w14:paraId="3D8D9CF7">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水期</w:t>
            </w:r>
          </w:p>
        </w:tc>
        <w:tc>
          <w:tcPr>
            <w:tcW w:w="1477" w:type="dxa"/>
            <w:tcBorders>
              <w:tl2br w:val="nil"/>
              <w:tr2bl w:val="nil"/>
            </w:tcBorders>
            <w:noWrap w:val="0"/>
            <w:vAlign w:val="center"/>
          </w:tcPr>
          <w:p w14:paraId="4154B553">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流量（m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/s）</w:t>
            </w:r>
          </w:p>
        </w:tc>
        <w:tc>
          <w:tcPr>
            <w:tcW w:w="1475" w:type="dxa"/>
            <w:tcBorders>
              <w:tl2br w:val="nil"/>
              <w:tr2bl w:val="nil"/>
            </w:tcBorders>
            <w:noWrap w:val="0"/>
            <w:vAlign w:val="center"/>
          </w:tcPr>
          <w:p w14:paraId="472E67D2">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流速u（m/s）</w:t>
            </w:r>
          </w:p>
        </w:tc>
        <w:tc>
          <w:tcPr>
            <w:tcW w:w="1259" w:type="dxa"/>
            <w:tcBorders>
              <w:tl2br w:val="nil"/>
              <w:tr2bl w:val="nil"/>
            </w:tcBorders>
            <w:noWrap w:val="0"/>
            <w:vAlign w:val="center"/>
          </w:tcPr>
          <w:p w14:paraId="1112BB12">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河宽B（m）</w:t>
            </w:r>
          </w:p>
        </w:tc>
        <w:tc>
          <w:tcPr>
            <w:tcW w:w="1437" w:type="dxa"/>
            <w:tcBorders>
              <w:tl2br w:val="nil"/>
              <w:tr2bl w:val="nil"/>
            </w:tcBorders>
            <w:noWrap w:val="0"/>
            <w:vAlign w:val="center"/>
          </w:tcPr>
          <w:p w14:paraId="25A17FA8">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河深H（m）</w:t>
            </w:r>
          </w:p>
        </w:tc>
        <w:tc>
          <w:tcPr>
            <w:tcW w:w="1284" w:type="dxa"/>
            <w:tcBorders>
              <w:tl2br w:val="nil"/>
              <w:tr2bl w:val="nil"/>
            </w:tcBorders>
            <w:noWrap w:val="0"/>
            <w:vAlign w:val="center"/>
          </w:tcPr>
          <w:p w14:paraId="08F51802">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比降I（‰）</w:t>
            </w:r>
          </w:p>
        </w:tc>
      </w:tr>
      <w:tr w14:paraId="60DA4A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88" w:type="dxa"/>
            <w:tcBorders>
              <w:tl2br w:val="nil"/>
              <w:tr2bl w:val="nil"/>
            </w:tcBorders>
            <w:noWrap w:val="0"/>
            <w:vAlign w:val="center"/>
          </w:tcPr>
          <w:p w14:paraId="3C49BF72">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枯水期</w:t>
            </w:r>
          </w:p>
        </w:tc>
        <w:tc>
          <w:tcPr>
            <w:tcW w:w="1477" w:type="dxa"/>
            <w:tcBorders>
              <w:tl2br w:val="nil"/>
              <w:tr2bl w:val="nil"/>
            </w:tcBorders>
            <w:noWrap w:val="0"/>
            <w:vAlign w:val="center"/>
          </w:tcPr>
          <w:p w14:paraId="37AE68DE">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0.45</w:t>
            </w:r>
          </w:p>
        </w:tc>
        <w:tc>
          <w:tcPr>
            <w:tcW w:w="1475" w:type="dxa"/>
            <w:tcBorders>
              <w:tl2br w:val="nil"/>
              <w:tr2bl w:val="nil"/>
            </w:tcBorders>
            <w:noWrap w:val="0"/>
            <w:vAlign w:val="center"/>
          </w:tcPr>
          <w:p w14:paraId="569C855C">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0.41</w:t>
            </w:r>
          </w:p>
        </w:tc>
        <w:tc>
          <w:tcPr>
            <w:tcW w:w="1259" w:type="dxa"/>
            <w:tcBorders>
              <w:tl2br w:val="nil"/>
              <w:tr2bl w:val="nil"/>
            </w:tcBorders>
            <w:noWrap w:val="0"/>
            <w:vAlign w:val="center"/>
          </w:tcPr>
          <w:p w14:paraId="4E7AF3D2">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30</w:t>
            </w:r>
          </w:p>
        </w:tc>
        <w:tc>
          <w:tcPr>
            <w:tcW w:w="1437" w:type="dxa"/>
            <w:tcBorders>
              <w:tl2br w:val="nil"/>
              <w:tr2bl w:val="nil"/>
            </w:tcBorders>
            <w:noWrap w:val="0"/>
            <w:vAlign w:val="center"/>
          </w:tcPr>
          <w:p w14:paraId="64989D9C">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0.6</w:t>
            </w:r>
          </w:p>
        </w:tc>
        <w:tc>
          <w:tcPr>
            <w:tcW w:w="1284" w:type="dxa"/>
            <w:tcBorders>
              <w:tl2br w:val="nil"/>
              <w:tr2bl w:val="nil"/>
            </w:tcBorders>
            <w:noWrap w:val="0"/>
            <w:vAlign w:val="center"/>
          </w:tcPr>
          <w:p w14:paraId="79FE1B7C">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22</w:t>
            </w:r>
          </w:p>
        </w:tc>
      </w:tr>
      <w:tr w14:paraId="2ADFED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220" w:type="dxa"/>
            <w:gridSpan w:val="6"/>
            <w:tcBorders>
              <w:tl2br w:val="nil"/>
              <w:tr2bl w:val="nil"/>
            </w:tcBorders>
            <w:noWrap w:val="0"/>
            <w:vAlign w:val="center"/>
          </w:tcPr>
          <w:p w14:paraId="4DF70FCB">
            <w:pPr>
              <w:pStyle w:val="64"/>
              <w:tabs>
                <w:tab w:val="center" w:pos="4002"/>
              </w:tabs>
              <w:adjustRightInd w:val="0"/>
              <w:snapToGrid w:val="0"/>
              <w:spacing w:line="240" w:lineRule="auto"/>
              <w:jc w:val="both"/>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b/>
                <w:bCs w:val="0"/>
                <w:color w:val="auto"/>
                <w:sz w:val="21"/>
                <w:szCs w:val="21"/>
                <w:highlight w:val="none"/>
                <w:lang w:val="en-US" w:eastAsia="zh-CN" w:bidi="ar-SA"/>
              </w:rPr>
              <w:t>注：枯水期流量取90%保证率最枯月流量。</w:t>
            </w:r>
          </w:p>
        </w:tc>
      </w:tr>
    </w:tbl>
    <w:p w14:paraId="3B8DBF3F">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河流的水质背景值</w:t>
      </w:r>
    </w:p>
    <w:p w14:paraId="0023BF8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本次评价采用</w:t>
      </w:r>
      <w:r>
        <w:rPr>
          <w:rFonts w:hint="default" w:ascii="Times New Roman" w:hAnsi="Times New Roman" w:cs="Times New Roman"/>
          <w:color w:val="auto"/>
          <w:sz w:val="24"/>
          <w:highlight w:val="none"/>
          <w:lang w:eastAsia="zh-CN"/>
        </w:rPr>
        <w:t>项目所在</w:t>
      </w:r>
      <w:r>
        <w:rPr>
          <w:rFonts w:hint="eastAsia" w:cs="Times New Roman"/>
          <w:color w:val="auto"/>
          <w:sz w:val="24"/>
          <w:highlight w:val="none"/>
          <w:lang w:eastAsia="zh-CN"/>
        </w:rPr>
        <w:t>溢水</w:t>
      </w:r>
      <w:r>
        <w:rPr>
          <w:rFonts w:hint="default" w:ascii="Times New Roman" w:hAnsi="Times New Roman" w:cs="Times New Roman"/>
          <w:color w:val="auto"/>
          <w:sz w:val="24"/>
          <w:highlight w:val="none"/>
          <w:lang w:eastAsia="zh-CN"/>
        </w:rPr>
        <w:t>河段上游</w:t>
      </w:r>
      <w:r>
        <w:rPr>
          <w:rFonts w:hint="default" w:ascii="Times New Roman" w:hAnsi="Times New Roman" w:cs="Times New Roman"/>
          <w:color w:val="auto"/>
          <w:sz w:val="24"/>
          <w:highlight w:val="none"/>
        </w:rPr>
        <w:t>断面的监测数据作为评价断面基准水质。监测断面及监测结果见表</w:t>
      </w:r>
      <w:r>
        <w:rPr>
          <w:rFonts w:hint="default" w:ascii="Times New Roman" w:hAnsi="Times New Roman" w:cs="Times New Roman"/>
          <w:color w:val="auto"/>
          <w:sz w:val="24"/>
          <w:highlight w:val="none"/>
          <w:lang w:val="en-US" w:eastAsia="zh-CN"/>
        </w:rPr>
        <w:t>4.2-</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w:t>
      </w:r>
    </w:p>
    <w:p w14:paraId="29CB7B34">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4.2-</w:t>
      </w:r>
      <w:r>
        <w:rPr>
          <w:rFonts w:hint="eastAsia" w:ascii="Times New Roman"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rPr>
        <w:t xml:space="preserve">  水质背景监测结果</w:t>
      </w:r>
    </w:p>
    <w:tbl>
      <w:tblPr>
        <w:tblStyle w:val="31"/>
        <w:tblW w:w="82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49"/>
        <w:gridCol w:w="1698"/>
        <w:gridCol w:w="1934"/>
        <w:gridCol w:w="1753"/>
      </w:tblGrid>
      <w:tr w14:paraId="5E116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49" w:type="dxa"/>
            <w:vMerge w:val="restart"/>
            <w:tcBorders>
              <w:tl2br w:val="nil"/>
              <w:tr2bl w:val="nil"/>
            </w:tcBorders>
            <w:noWrap w:val="0"/>
            <w:vAlign w:val="center"/>
          </w:tcPr>
          <w:p w14:paraId="36090286">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w:t>
            </w:r>
          </w:p>
        </w:tc>
        <w:tc>
          <w:tcPr>
            <w:tcW w:w="5385" w:type="dxa"/>
            <w:gridSpan w:val="3"/>
            <w:tcBorders>
              <w:tl2br w:val="nil"/>
              <w:tr2bl w:val="nil"/>
            </w:tcBorders>
            <w:noWrap w:val="0"/>
            <w:vAlign w:val="center"/>
          </w:tcPr>
          <w:p w14:paraId="08F4A6E3">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eastAsia" w:ascii="Times New Roman" w:cs="Times New Roman"/>
                <w:b/>
                <w:bCs/>
                <w:color w:val="auto"/>
                <w:sz w:val="21"/>
                <w:szCs w:val="21"/>
                <w:highlight w:val="none"/>
                <w:lang w:eastAsia="zh-CN"/>
              </w:rPr>
              <w:t>平均</w:t>
            </w:r>
            <w:r>
              <w:rPr>
                <w:rFonts w:hint="default" w:ascii="Times New Roman" w:hAnsi="Times New Roman" w:cs="Times New Roman"/>
                <w:b/>
                <w:bCs/>
                <w:color w:val="auto"/>
                <w:sz w:val="21"/>
                <w:szCs w:val="21"/>
                <w:highlight w:val="none"/>
              </w:rPr>
              <w:t>浓度（mg/L）</w:t>
            </w:r>
          </w:p>
        </w:tc>
      </w:tr>
      <w:tr w14:paraId="7FDB6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49" w:type="dxa"/>
            <w:vMerge w:val="continue"/>
            <w:tcBorders>
              <w:tl2br w:val="nil"/>
              <w:tr2bl w:val="nil"/>
            </w:tcBorders>
            <w:noWrap w:val="0"/>
            <w:vAlign w:val="center"/>
          </w:tcPr>
          <w:p w14:paraId="2628D198">
            <w:pPr>
              <w:pStyle w:val="64"/>
              <w:adjustRightInd w:val="0"/>
              <w:snapToGrid w:val="0"/>
              <w:spacing w:line="240" w:lineRule="auto"/>
              <w:rPr>
                <w:rFonts w:hint="default" w:ascii="Times New Roman" w:hAnsi="Times New Roman" w:cs="Times New Roman"/>
                <w:b/>
                <w:bCs/>
                <w:color w:val="auto"/>
                <w:sz w:val="21"/>
                <w:szCs w:val="21"/>
                <w:highlight w:val="none"/>
              </w:rPr>
            </w:pPr>
          </w:p>
        </w:tc>
        <w:tc>
          <w:tcPr>
            <w:tcW w:w="1698" w:type="dxa"/>
            <w:tcBorders>
              <w:tl2br w:val="nil"/>
              <w:tr2bl w:val="nil"/>
            </w:tcBorders>
            <w:noWrap w:val="0"/>
            <w:vAlign w:val="center"/>
          </w:tcPr>
          <w:p w14:paraId="57F77039">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COD</w:t>
            </w:r>
          </w:p>
        </w:tc>
        <w:tc>
          <w:tcPr>
            <w:tcW w:w="1934" w:type="dxa"/>
            <w:tcBorders>
              <w:tl2br w:val="nil"/>
              <w:tr2bl w:val="nil"/>
            </w:tcBorders>
            <w:noWrap w:val="0"/>
            <w:vAlign w:val="center"/>
          </w:tcPr>
          <w:p w14:paraId="21D7B2CC">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NH</w:t>
            </w:r>
            <w:r>
              <w:rPr>
                <w:rFonts w:hint="default" w:ascii="Times New Roman" w:hAnsi="Times New Roman" w:cs="Times New Roman"/>
                <w:b/>
                <w:bCs/>
                <w:color w:val="auto"/>
                <w:sz w:val="21"/>
                <w:szCs w:val="21"/>
                <w:highlight w:val="none"/>
                <w:vertAlign w:val="subscript"/>
              </w:rPr>
              <w:t>3</w:t>
            </w:r>
            <w:r>
              <w:rPr>
                <w:rFonts w:hint="default" w:ascii="Times New Roman" w:hAnsi="Times New Roman" w:cs="Times New Roman"/>
                <w:b/>
                <w:bCs/>
                <w:color w:val="auto"/>
                <w:sz w:val="21"/>
                <w:szCs w:val="21"/>
                <w:highlight w:val="none"/>
              </w:rPr>
              <w:t>-N</w:t>
            </w:r>
          </w:p>
        </w:tc>
        <w:tc>
          <w:tcPr>
            <w:tcW w:w="1753" w:type="dxa"/>
            <w:tcBorders>
              <w:tl2br w:val="nil"/>
              <w:tr2bl w:val="nil"/>
            </w:tcBorders>
            <w:noWrap w:val="0"/>
            <w:vAlign w:val="center"/>
          </w:tcPr>
          <w:p w14:paraId="06259782">
            <w:pPr>
              <w:pStyle w:val="64"/>
              <w:adjustRightInd w:val="0"/>
              <w:snapToGrid w:val="0"/>
              <w:spacing w:line="240" w:lineRule="auto"/>
              <w:rPr>
                <w:rFonts w:hint="default" w:ascii="Times New Roman" w:hAnsi="Times New Roman" w:eastAsia="宋体"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TP</w:t>
            </w:r>
          </w:p>
        </w:tc>
      </w:tr>
      <w:tr w14:paraId="3B80C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2849" w:type="dxa"/>
            <w:tcBorders>
              <w:tl2br w:val="nil"/>
              <w:tr2bl w:val="nil"/>
            </w:tcBorders>
            <w:noWrap w:val="0"/>
            <w:vAlign w:val="center"/>
          </w:tcPr>
          <w:p w14:paraId="17072F20">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枯水期项目所在地上游断面</w:t>
            </w:r>
          </w:p>
        </w:tc>
        <w:tc>
          <w:tcPr>
            <w:tcW w:w="1698" w:type="dxa"/>
            <w:tcBorders>
              <w:tl2br w:val="nil"/>
              <w:tr2bl w:val="nil"/>
            </w:tcBorders>
            <w:noWrap w:val="0"/>
            <w:vAlign w:val="center"/>
          </w:tcPr>
          <w:p w14:paraId="3CF3590D">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11</w:t>
            </w:r>
          </w:p>
        </w:tc>
        <w:tc>
          <w:tcPr>
            <w:tcW w:w="1934" w:type="dxa"/>
            <w:tcBorders>
              <w:tl2br w:val="nil"/>
              <w:tr2bl w:val="nil"/>
            </w:tcBorders>
            <w:noWrap w:val="0"/>
            <w:vAlign w:val="center"/>
          </w:tcPr>
          <w:p w14:paraId="3B73D4F8">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0.215</w:t>
            </w:r>
          </w:p>
        </w:tc>
        <w:tc>
          <w:tcPr>
            <w:tcW w:w="1753" w:type="dxa"/>
            <w:tcBorders>
              <w:tl2br w:val="nil"/>
              <w:tr2bl w:val="nil"/>
            </w:tcBorders>
            <w:noWrap w:val="0"/>
            <w:vAlign w:val="center"/>
          </w:tcPr>
          <w:p w14:paraId="75FDE95A">
            <w:pPr>
              <w:pStyle w:val="64"/>
              <w:adjustRightInd w:val="0"/>
              <w:snapToGrid w:val="0"/>
              <w:spacing w:line="240" w:lineRule="auto"/>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0.03</w:t>
            </w:r>
          </w:p>
        </w:tc>
      </w:tr>
    </w:tbl>
    <w:p w14:paraId="468E9D32">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污染源强</w:t>
      </w:r>
    </w:p>
    <w:p w14:paraId="1F3C5E7D">
      <w:pPr>
        <w:pStyle w:val="6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废水预测污染源强见表</w:t>
      </w:r>
      <w:r>
        <w:rPr>
          <w:rFonts w:hint="default" w:ascii="Times New Roman" w:hAnsi="Times New Roman" w:cs="Times New Roman"/>
          <w:color w:val="auto"/>
          <w:sz w:val="24"/>
          <w:highlight w:val="none"/>
          <w:lang w:val="en-US" w:eastAsia="zh-CN"/>
        </w:rPr>
        <w:t>4.2-</w:t>
      </w:r>
      <w:r>
        <w:rPr>
          <w:rFonts w:hint="eastAsia" w:ascii="Times New Roman" w:cs="Times New Roman"/>
          <w:color w:val="auto"/>
          <w:sz w:val="24"/>
          <w:highlight w:val="none"/>
          <w:lang w:val="en-US" w:eastAsia="zh-CN"/>
        </w:rPr>
        <w:t>7</w:t>
      </w:r>
      <w:r>
        <w:rPr>
          <w:rFonts w:hint="default" w:ascii="Times New Roman" w:hAnsi="Times New Roman" w:cs="Times New Roman"/>
          <w:color w:val="auto"/>
          <w:sz w:val="24"/>
          <w:highlight w:val="none"/>
        </w:rPr>
        <w:t>。</w:t>
      </w:r>
    </w:p>
    <w:p w14:paraId="762F56B8">
      <w:pPr>
        <w:pStyle w:val="6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4.2-</w:t>
      </w:r>
      <w:r>
        <w:rPr>
          <w:rFonts w:hint="eastAsia" w:ascii="Times New Roman"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 xml:space="preserve">  废水污染源强</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1121"/>
        <w:gridCol w:w="1121"/>
        <w:gridCol w:w="1123"/>
        <w:gridCol w:w="2114"/>
        <w:gridCol w:w="1752"/>
      </w:tblGrid>
      <w:tr w14:paraId="00760D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052" w:type="dxa"/>
            <w:vMerge w:val="restart"/>
            <w:tcBorders>
              <w:tl2br w:val="nil"/>
              <w:tr2bl w:val="nil"/>
            </w:tcBorders>
            <w:noWrap w:val="0"/>
            <w:vAlign w:val="center"/>
          </w:tcPr>
          <w:p w14:paraId="0D9DBAA0">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3365" w:type="dxa"/>
            <w:gridSpan w:val="3"/>
            <w:tcBorders>
              <w:tl2br w:val="nil"/>
              <w:tr2bl w:val="nil"/>
            </w:tcBorders>
            <w:noWrap w:val="0"/>
            <w:vAlign w:val="center"/>
          </w:tcPr>
          <w:p w14:paraId="25C35D91">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废水污染物浓度（mg/L）</w:t>
            </w:r>
          </w:p>
        </w:tc>
        <w:tc>
          <w:tcPr>
            <w:tcW w:w="2114" w:type="dxa"/>
            <w:vMerge w:val="restart"/>
            <w:tcBorders>
              <w:tl2br w:val="nil"/>
              <w:tr2bl w:val="nil"/>
            </w:tcBorders>
            <w:noWrap w:val="0"/>
            <w:vAlign w:val="center"/>
          </w:tcPr>
          <w:p w14:paraId="4C3A385B">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排放量（m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/s）</w:t>
            </w:r>
          </w:p>
        </w:tc>
        <w:tc>
          <w:tcPr>
            <w:tcW w:w="1752" w:type="dxa"/>
            <w:vMerge w:val="restart"/>
            <w:tcBorders>
              <w:tl2br w:val="nil"/>
              <w:tr2bl w:val="nil"/>
            </w:tcBorders>
            <w:noWrap w:val="0"/>
            <w:vAlign w:val="center"/>
          </w:tcPr>
          <w:p w14:paraId="3C0114C1">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运行工况</w:t>
            </w:r>
          </w:p>
        </w:tc>
      </w:tr>
      <w:tr w14:paraId="41A71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052" w:type="dxa"/>
            <w:vMerge w:val="continue"/>
            <w:tcBorders>
              <w:tl2br w:val="nil"/>
              <w:tr2bl w:val="nil"/>
            </w:tcBorders>
            <w:noWrap w:val="0"/>
            <w:vAlign w:val="center"/>
          </w:tcPr>
          <w:p w14:paraId="31B5DE20">
            <w:pPr>
              <w:pStyle w:val="64"/>
              <w:adjustRightInd w:val="0"/>
              <w:snapToGrid w:val="0"/>
              <w:spacing w:line="240" w:lineRule="auto"/>
              <w:rPr>
                <w:rFonts w:hint="default" w:ascii="Times New Roman" w:hAnsi="Times New Roman" w:eastAsia="宋体" w:cs="Times New Roman"/>
                <w:color w:val="auto"/>
                <w:sz w:val="21"/>
                <w:szCs w:val="21"/>
                <w:highlight w:val="none"/>
              </w:rPr>
            </w:pPr>
          </w:p>
        </w:tc>
        <w:tc>
          <w:tcPr>
            <w:tcW w:w="1121" w:type="dxa"/>
            <w:tcBorders>
              <w:tl2br w:val="nil"/>
              <w:tr2bl w:val="nil"/>
            </w:tcBorders>
            <w:noWrap w:val="0"/>
            <w:vAlign w:val="center"/>
          </w:tcPr>
          <w:p w14:paraId="3B6A43F2">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1121" w:type="dxa"/>
            <w:tcBorders>
              <w:tl2br w:val="nil"/>
              <w:tr2bl w:val="nil"/>
            </w:tcBorders>
            <w:noWrap w:val="0"/>
            <w:vAlign w:val="center"/>
          </w:tcPr>
          <w:p w14:paraId="77DC3648">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1123" w:type="dxa"/>
            <w:tcBorders>
              <w:tl2br w:val="nil"/>
              <w:tr2bl w:val="nil"/>
            </w:tcBorders>
            <w:noWrap w:val="0"/>
            <w:vAlign w:val="center"/>
          </w:tcPr>
          <w:p w14:paraId="7804B6B8">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b w:val="0"/>
                <w:bCs w:val="0"/>
                <w:color w:val="auto"/>
                <w:sz w:val="21"/>
                <w:szCs w:val="21"/>
                <w:highlight w:val="none"/>
                <w:lang w:val="en-US" w:eastAsia="zh-CN"/>
              </w:rPr>
              <w:t>TP</w:t>
            </w:r>
          </w:p>
        </w:tc>
        <w:tc>
          <w:tcPr>
            <w:tcW w:w="2114" w:type="dxa"/>
            <w:vMerge w:val="continue"/>
            <w:tcBorders>
              <w:tl2br w:val="nil"/>
              <w:tr2bl w:val="nil"/>
            </w:tcBorders>
            <w:noWrap w:val="0"/>
            <w:vAlign w:val="center"/>
          </w:tcPr>
          <w:p w14:paraId="0EA453F3">
            <w:pPr>
              <w:pStyle w:val="64"/>
              <w:adjustRightInd w:val="0"/>
              <w:snapToGrid w:val="0"/>
              <w:spacing w:line="240" w:lineRule="auto"/>
              <w:rPr>
                <w:rFonts w:hint="default" w:ascii="Times New Roman" w:hAnsi="Times New Roman" w:eastAsia="宋体" w:cs="Times New Roman"/>
                <w:color w:val="auto"/>
                <w:sz w:val="21"/>
                <w:szCs w:val="21"/>
                <w:highlight w:val="none"/>
              </w:rPr>
            </w:pPr>
          </w:p>
        </w:tc>
        <w:tc>
          <w:tcPr>
            <w:tcW w:w="1752" w:type="dxa"/>
            <w:vMerge w:val="continue"/>
            <w:tcBorders>
              <w:tl2br w:val="nil"/>
              <w:tr2bl w:val="nil"/>
            </w:tcBorders>
            <w:noWrap w:val="0"/>
            <w:vAlign w:val="center"/>
          </w:tcPr>
          <w:p w14:paraId="74E29534">
            <w:pPr>
              <w:pStyle w:val="64"/>
              <w:adjustRightInd w:val="0"/>
              <w:snapToGrid w:val="0"/>
              <w:spacing w:line="240" w:lineRule="auto"/>
              <w:rPr>
                <w:rFonts w:hint="default" w:ascii="Times New Roman" w:hAnsi="Times New Roman" w:eastAsia="宋体" w:cs="Times New Roman"/>
                <w:color w:val="auto"/>
                <w:sz w:val="21"/>
                <w:szCs w:val="21"/>
                <w:highlight w:val="none"/>
              </w:rPr>
            </w:pPr>
          </w:p>
        </w:tc>
      </w:tr>
      <w:tr w14:paraId="26F8A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52" w:type="dxa"/>
            <w:tcBorders>
              <w:tl2br w:val="nil"/>
              <w:tr2bl w:val="nil"/>
            </w:tcBorders>
            <w:noWrap w:val="0"/>
            <w:vAlign w:val="center"/>
          </w:tcPr>
          <w:p w14:paraId="3B87D527">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出水</w:t>
            </w:r>
          </w:p>
        </w:tc>
        <w:tc>
          <w:tcPr>
            <w:tcW w:w="1121" w:type="dxa"/>
            <w:tcBorders>
              <w:tl2br w:val="nil"/>
              <w:tr2bl w:val="nil"/>
            </w:tcBorders>
            <w:noWrap w:val="0"/>
            <w:vAlign w:val="center"/>
          </w:tcPr>
          <w:p w14:paraId="2961F652">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50</w:t>
            </w:r>
          </w:p>
        </w:tc>
        <w:tc>
          <w:tcPr>
            <w:tcW w:w="1121" w:type="dxa"/>
            <w:tcBorders>
              <w:tl2br w:val="nil"/>
              <w:tr2bl w:val="nil"/>
            </w:tcBorders>
            <w:noWrap w:val="0"/>
            <w:vAlign w:val="center"/>
          </w:tcPr>
          <w:p w14:paraId="0BB0102D">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8</w:t>
            </w:r>
          </w:p>
        </w:tc>
        <w:tc>
          <w:tcPr>
            <w:tcW w:w="1123" w:type="dxa"/>
            <w:tcBorders>
              <w:tl2br w:val="nil"/>
              <w:tr2bl w:val="nil"/>
            </w:tcBorders>
            <w:noWrap w:val="0"/>
            <w:vAlign w:val="center"/>
          </w:tcPr>
          <w:p w14:paraId="1118F262">
            <w:pPr>
              <w:pStyle w:val="64"/>
              <w:adjustRightInd w:val="0"/>
              <w:snapToGrid w:val="0"/>
              <w:spacing w:line="240" w:lineRule="auto"/>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0.5</w:t>
            </w:r>
          </w:p>
        </w:tc>
        <w:tc>
          <w:tcPr>
            <w:tcW w:w="2114" w:type="dxa"/>
            <w:tcBorders>
              <w:tl2br w:val="nil"/>
              <w:tr2bl w:val="nil"/>
            </w:tcBorders>
            <w:noWrap w:val="0"/>
            <w:vAlign w:val="center"/>
          </w:tcPr>
          <w:p w14:paraId="72FC01A0">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0.01736</w:t>
            </w:r>
          </w:p>
        </w:tc>
        <w:tc>
          <w:tcPr>
            <w:tcW w:w="1752" w:type="dxa"/>
            <w:tcBorders>
              <w:tl2br w:val="nil"/>
              <w:tr2bl w:val="nil"/>
            </w:tcBorders>
            <w:noWrap w:val="0"/>
            <w:vAlign w:val="center"/>
          </w:tcPr>
          <w:p w14:paraId="060E576E">
            <w:pPr>
              <w:pStyle w:val="64"/>
              <w:adjustRightInd w:val="0"/>
              <w:snapToGrid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正常工况</w:t>
            </w:r>
          </w:p>
        </w:tc>
      </w:tr>
      <w:tr w14:paraId="074586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52" w:type="dxa"/>
            <w:tcBorders>
              <w:tl2br w:val="nil"/>
              <w:tr2bl w:val="nil"/>
            </w:tcBorders>
            <w:noWrap w:val="0"/>
            <w:vAlign w:val="center"/>
          </w:tcPr>
          <w:p w14:paraId="59C1339C">
            <w:pPr>
              <w:pStyle w:val="64"/>
              <w:adjustRightInd w:val="0"/>
              <w:snapToGrid w:val="0"/>
              <w:spacing w:line="240" w:lineRule="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出水</w:t>
            </w:r>
          </w:p>
        </w:tc>
        <w:tc>
          <w:tcPr>
            <w:tcW w:w="1121" w:type="dxa"/>
            <w:tcBorders>
              <w:tl2br w:val="nil"/>
              <w:tr2bl w:val="nil"/>
            </w:tcBorders>
            <w:noWrap w:val="0"/>
            <w:vAlign w:val="center"/>
          </w:tcPr>
          <w:p w14:paraId="205AA331">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450</w:t>
            </w:r>
          </w:p>
        </w:tc>
        <w:tc>
          <w:tcPr>
            <w:tcW w:w="1121" w:type="dxa"/>
            <w:tcBorders>
              <w:tl2br w:val="nil"/>
              <w:tr2bl w:val="nil"/>
            </w:tcBorders>
            <w:noWrap w:val="0"/>
            <w:vAlign w:val="center"/>
          </w:tcPr>
          <w:p w14:paraId="45F5BDC8">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50</w:t>
            </w:r>
          </w:p>
        </w:tc>
        <w:tc>
          <w:tcPr>
            <w:tcW w:w="1123" w:type="dxa"/>
            <w:tcBorders>
              <w:tl2br w:val="nil"/>
              <w:tr2bl w:val="nil"/>
            </w:tcBorders>
            <w:noWrap w:val="0"/>
            <w:vAlign w:val="center"/>
          </w:tcPr>
          <w:p w14:paraId="3D5DE4D9">
            <w:pPr>
              <w:pStyle w:val="64"/>
              <w:adjustRightInd w:val="0"/>
              <w:snapToGrid w:val="0"/>
              <w:spacing w:line="240" w:lineRule="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6</w:t>
            </w:r>
          </w:p>
        </w:tc>
        <w:tc>
          <w:tcPr>
            <w:tcW w:w="2114" w:type="dxa"/>
            <w:tcBorders>
              <w:tl2br w:val="nil"/>
              <w:tr2bl w:val="nil"/>
            </w:tcBorders>
            <w:noWrap w:val="0"/>
            <w:vAlign w:val="center"/>
          </w:tcPr>
          <w:p w14:paraId="11F849F2">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0.01736</w:t>
            </w:r>
          </w:p>
        </w:tc>
        <w:tc>
          <w:tcPr>
            <w:tcW w:w="1752" w:type="dxa"/>
            <w:tcBorders>
              <w:tl2br w:val="nil"/>
              <w:tr2bl w:val="nil"/>
            </w:tcBorders>
            <w:noWrap w:val="0"/>
            <w:vAlign w:val="center"/>
          </w:tcPr>
          <w:p w14:paraId="54E18B07">
            <w:pPr>
              <w:pStyle w:val="64"/>
              <w:adjustRightInd w:val="0"/>
              <w:snapToGrid w:val="0"/>
              <w:spacing w:line="240" w:lineRule="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非正常工况</w:t>
            </w:r>
          </w:p>
        </w:tc>
      </w:tr>
    </w:tbl>
    <w:p w14:paraId="77C90041">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污染物降解系数的选取</w:t>
      </w:r>
    </w:p>
    <w:p w14:paraId="03836AD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参考《全国地表水水环境容量核定》中一般河道水质降解系数参考值表数据，II~III类水K（COD）取0.18～0.25（1/d）、K（NH</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-N）取0.15～0.20（1/d）较为合理</w:t>
      </w:r>
      <w:r>
        <w:rPr>
          <w:rFonts w:hint="eastAsia" w:cs="Times New Roman"/>
          <w:color w:val="auto"/>
          <w:sz w:val="24"/>
          <w:highlight w:val="none"/>
          <w:lang w:eastAsia="zh-CN"/>
        </w:rPr>
        <w:t>；河流中总磷去除以颗粒磷沉降为主，不是生物降解，因此类比</w:t>
      </w:r>
      <w:r>
        <w:rPr>
          <w:rFonts w:ascii="宋体" w:hAnsi="宋体" w:eastAsia="宋体" w:cs="宋体"/>
          <w:color w:val="auto"/>
          <w:sz w:val="24"/>
          <w:szCs w:val="24"/>
          <w:highlight w:val="none"/>
        </w:rPr>
        <w:t>陕西汉江支流（褒河、湑水河、牧马河）水环境容量核算报告</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highlight w:val="none"/>
        </w:rPr>
        <w:t>K（</w:t>
      </w:r>
      <w:r>
        <w:rPr>
          <w:rFonts w:hint="eastAsia" w:cs="Times New Roman"/>
          <w:color w:val="auto"/>
          <w:sz w:val="24"/>
          <w:highlight w:val="none"/>
          <w:lang w:val="en-US" w:eastAsia="zh-CN"/>
        </w:rPr>
        <w:t>TP</w:t>
      </w:r>
      <w:r>
        <w:rPr>
          <w:rFonts w:hint="default" w:ascii="Times New Roman" w:hAnsi="Times New Roman" w:cs="Times New Roman"/>
          <w:color w:val="auto"/>
          <w:sz w:val="24"/>
          <w:highlight w:val="none"/>
        </w:rPr>
        <w:t>）取0.</w:t>
      </w:r>
      <w:r>
        <w:rPr>
          <w:rFonts w:hint="eastAsia" w:cs="Times New Roman"/>
          <w:color w:val="auto"/>
          <w:sz w:val="24"/>
          <w:highlight w:val="none"/>
          <w:lang w:val="en-US" w:eastAsia="zh-CN"/>
        </w:rPr>
        <w:t>05</w:t>
      </w:r>
      <w:r>
        <w:rPr>
          <w:rFonts w:hint="default" w:ascii="Times New Roman" w:hAnsi="Times New Roman" w:cs="Times New Roman"/>
          <w:color w:val="auto"/>
          <w:sz w:val="24"/>
          <w:highlight w:val="none"/>
        </w:rPr>
        <w:t>～0.</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rPr>
        <w:t>（1/d）</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项目排污口所在河段水质为II类水质，根据项目地表水监测结果，项目所在区域地表水环境质量一般，因此确定为K（COD）=0.</w:t>
      </w:r>
      <w:r>
        <w:rPr>
          <w:rFonts w:hint="default" w:ascii="Times New Roman" w:hAnsi="Times New Roman" w:cs="Times New Roman"/>
          <w:color w:val="auto"/>
          <w:sz w:val="24"/>
          <w:highlight w:val="none"/>
          <w:lang w:val="en-US" w:eastAsia="zh-CN"/>
        </w:rPr>
        <w:t>18</w:t>
      </w:r>
      <w:r>
        <w:rPr>
          <w:rFonts w:hint="default" w:ascii="Times New Roman" w:hAnsi="Times New Roman" w:cs="Times New Roman"/>
          <w:color w:val="auto"/>
          <w:sz w:val="24"/>
          <w:highlight w:val="none"/>
        </w:rPr>
        <w:t>（1/d）、K（氨氮）=0.1</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（1/d）K（</w:t>
      </w:r>
      <w:r>
        <w:rPr>
          <w:rFonts w:hint="eastAsia" w:cs="Times New Roman"/>
          <w:color w:val="auto"/>
          <w:sz w:val="24"/>
          <w:highlight w:val="none"/>
          <w:lang w:val="en-US" w:eastAsia="zh-CN"/>
        </w:rPr>
        <w:t>TP</w:t>
      </w:r>
      <w:r>
        <w:rPr>
          <w:rFonts w:hint="default" w:ascii="Times New Roman" w:hAnsi="Times New Roman" w:cs="Times New Roman"/>
          <w:color w:val="auto"/>
          <w:sz w:val="24"/>
          <w:highlight w:val="none"/>
        </w:rPr>
        <w:t>）=0.</w:t>
      </w:r>
      <w:r>
        <w:rPr>
          <w:rFonts w:hint="eastAsia" w:cs="Times New Roman"/>
          <w:color w:val="auto"/>
          <w:sz w:val="24"/>
          <w:highlight w:val="none"/>
          <w:lang w:val="en-US" w:eastAsia="zh-CN"/>
        </w:rPr>
        <w:t>05</w:t>
      </w:r>
      <w:r>
        <w:rPr>
          <w:rFonts w:hint="default" w:ascii="Times New Roman" w:hAnsi="Times New Roman" w:cs="Times New Roman"/>
          <w:color w:val="auto"/>
          <w:sz w:val="24"/>
          <w:highlight w:val="none"/>
        </w:rPr>
        <w:t>（1/d）进行计算。</w:t>
      </w:r>
    </w:p>
    <w:p w14:paraId="3EA80D15">
      <w:pPr>
        <w:adjustRightInd w:val="0"/>
        <w:snapToGrid w:val="0"/>
        <w:spacing w:line="360" w:lineRule="auto"/>
        <w:ind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rPr>
        <w:t>混合系数Ey、Ex</w:t>
      </w:r>
    </w:p>
    <w:p w14:paraId="7C3DAB06">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横向混合系数Ey采用泰勒法计算，纵向混合系数Ex采用费希尔法计算，经验公式为：</w:t>
      </w:r>
    </w:p>
    <w:p w14:paraId="0666091F">
      <w:pPr>
        <w:adjustRightInd w:val="0"/>
        <w:snapToGrid w:val="0"/>
        <w:spacing w:line="360" w:lineRule="auto"/>
        <w:jc w:val="center"/>
        <w:rPr>
          <w:rFonts w:hint="default" w:ascii="Times New Roman" w:hAnsi="Times New Roman" w:cs="Times New Roman"/>
          <w:color w:val="auto"/>
          <w:position w:val="-10"/>
          <w:sz w:val="24"/>
          <w:highlight w:val="none"/>
          <w:vertAlign w:val="superscript"/>
        </w:rPr>
      </w:pPr>
      <w:r>
        <w:rPr>
          <w:rFonts w:hint="default" w:ascii="Times New Roman" w:hAnsi="Times New Roman" w:cs="Times New Roman"/>
          <w:color w:val="auto"/>
          <w:position w:val="-10"/>
          <w:sz w:val="24"/>
          <w:highlight w:val="none"/>
        </w:rPr>
        <w:t>Ey=（0.058H+0.0065B）（gHI）</w:t>
      </w:r>
      <w:r>
        <w:rPr>
          <w:rFonts w:hint="default" w:ascii="Times New Roman" w:hAnsi="Times New Roman" w:cs="Times New Roman"/>
          <w:color w:val="auto"/>
          <w:position w:val="-10"/>
          <w:sz w:val="24"/>
          <w:highlight w:val="none"/>
          <w:vertAlign w:val="superscript"/>
        </w:rPr>
        <w:t>1/2</w:t>
      </w:r>
    </w:p>
    <w:p w14:paraId="5FA03AF9">
      <w:pPr>
        <w:adjustRightInd w:val="0"/>
        <w:snapToGrid w:val="0"/>
        <w:spacing w:line="360" w:lineRule="auto"/>
        <w:ind w:firstLine="480"/>
        <w:jc w:val="center"/>
        <w:rPr>
          <w:rFonts w:hint="default" w:ascii="Times New Roman" w:hAnsi="Times New Roman" w:eastAsia="宋体" w:cs="Times New Roman"/>
          <w:color w:val="auto"/>
          <w:position w:val="-10"/>
          <w:sz w:val="24"/>
          <w:highlight w:val="none"/>
          <w:vertAlign w:val="superscript"/>
          <w:lang w:val="en-US" w:eastAsia="zh-CN"/>
        </w:rPr>
      </w:pPr>
      <w:r>
        <w:rPr>
          <w:rFonts w:hint="default" w:ascii="Times New Roman" w:hAnsi="Times New Roman" w:cs="Times New Roman"/>
          <w:color w:val="auto"/>
          <w:position w:val="-10"/>
          <w:sz w:val="24"/>
          <w:highlight w:val="none"/>
        </w:rPr>
        <w:t>Ex=5.93H（gHI）</w:t>
      </w:r>
      <w:r>
        <w:rPr>
          <w:rFonts w:hint="default" w:ascii="Times New Roman" w:hAnsi="Times New Roman" w:cs="Times New Roman"/>
          <w:color w:val="auto"/>
          <w:position w:val="-10"/>
          <w:sz w:val="24"/>
          <w:highlight w:val="none"/>
          <w:vertAlign w:val="superscript"/>
        </w:rPr>
        <w:t>1/2</w:t>
      </w:r>
    </w:p>
    <w:p w14:paraId="456C8E4E">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式中：g——重力加速度，m/s</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；I——水力坡降；</w:t>
      </w:r>
    </w:p>
    <w:p w14:paraId="40E94D4C">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H——河流水深；B——水面宽度。</w:t>
      </w:r>
    </w:p>
    <w:p w14:paraId="7A5B543A">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经计算Ey、Ex值见表</w:t>
      </w:r>
      <w:r>
        <w:rPr>
          <w:rFonts w:hint="default" w:ascii="Times New Roman" w:hAnsi="Times New Roman" w:cs="Times New Roman"/>
          <w:color w:val="auto"/>
          <w:sz w:val="24"/>
          <w:highlight w:val="none"/>
          <w:lang w:val="en-US" w:eastAsia="zh-CN"/>
        </w:rPr>
        <w:t>4.2-</w:t>
      </w:r>
      <w:r>
        <w:rPr>
          <w:rFonts w:hint="eastAsia" w:cs="Times New Roman"/>
          <w:color w:val="auto"/>
          <w:sz w:val="24"/>
          <w:highlight w:val="none"/>
          <w:lang w:val="en-US" w:eastAsia="zh-CN"/>
        </w:rPr>
        <w:t>8</w:t>
      </w:r>
      <w:r>
        <w:rPr>
          <w:rFonts w:hint="default" w:ascii="Times New Roman" w:hAnsi="Times New Roman" w:cs="Times New Roman"/>
          <w:color w:val="auto"/>
          <w:sz w:val="24"/>
          <w:highlight w:val="none"/>
        </w:rPr>
        <w:t>。</w:t>
      </w:r>
    </w:p>
    <w:p w14:paraId="27292F08">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4.2-</w:t>
      </w:r>
      <w:r>
        <w:rPr>
          <w:rFonts w:hint="eastAsia" w:ascii="Times New Roman" w:cs="Times New Roman"/>
          <w:b/>
          <w:bCs/>
          <w:color w:val="auto"/>
          <w:sz w:val="21"/>
          <w:szCs w:val="21"/>
          <w:highlight w:val="none"/>
          <w:lang w:val="en-US" w:eastAsia="zh-CN"/>
        </w:rPr>
        <w:t>8</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横向、纵向混合系数计算结果表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78"/>
        <w:gridCol w:w="2778"/>
        <w:gridCol w:w="2778"/>
      </w:tblGrid>
      <w:tr w14:paraId="55EF9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27" w:hRule="atLeast"/>
          <w:jc w:val="center"/>
        </w:trPr>
        <w:tc>
          <w:tcPr>
            <w:tcW w:w="2778" w:type="dxa"/>
            <w:tcBorders>
              <w:tl2br w:val="nil"/>
              <w:tr2bl w:val="nil"/>
            </w:tcBorders>
            <w:noWrap w:val="0"/>
            <w:vAlign w:val="center"/>
          </w:tcPr>
          <w:p w14:paraId="27C3B163">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水期</w:t>
            </w:r>
          </w:p>
        </w:tc>
        <w:tc>
          <w:tcPr>
            <w:tcW w:w="2778" w:type="dxa"/>
            <w:tcBorders>
              <w:tl2br w:val="nil"/>
              <w:tr2bl w:val="nil"/>
            </w:tcBorders>
            <w:noWrap w:val="0"/>
            <w:vAlign w:val="center"/>
          </w:tcPr>
          <w:p w14:paraId="5FC55A0A">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Ey</w:t>
            </w:r>
          </w:p>
        </w:tc>
        <w:tc>
          <w:tcPr>
            <w:tcW w:w="2778" w:type="dxa"/>
            <w:tcBorders>
              <w:tl2br w:val="nil"/>
              <w:tr2bl w:val="nil"/>
            </w:tcBorders>
            <w:noWrap w:val="0"/>
            <w:vAlign w:val="top"/>
          </w:tcPr>
          <w:p w14:paraId="2122E188">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Ex</w:t>
            </w:r>
          </w:p>
        </w:tc>
      </w:tr>
      <w:tr w14:paraId="46BA2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778" w:type="dxa"/>
            <w:tcBorders>
              <w:tl2br w:val="nil"/>
              <w:tr2bl w:val="nil"/>
            </w:tcBorders>
            <w:noWrap w:val="0"/>
            <w:vAlign w:val="center"/>
          </w:tcPr>
          <w:p w14:paraId="26C82A47">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枯水期</w:t>
            </w:r>
          </w:p>
        </w:tc>
        <w:tc>
          <w:tcPr>
            <w:tcW w:w="2778" w:type="dxa"/>
            <w:tcBorders>
              <w:tl2br w:val="nil"/>
              <w:tr2bl w:val="nil"/>
            </w:tcBorders>
            <w:noWrap w:val="0"/>
            <w:vAlign w:val="center"/>
          </w:tcPr>
          <w:p w14:paraId="3200FFFF">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r>
              <w:rPr>
                <w:rFonts w:hint="eastAsia" w:ascii="Times New Roman" w:cs="Times New Roman"/>
                <w:color w:val="auto"/>
                <w:sz w:val="21"/>
                <w:szCs w:val="21"/>
                <w:highlight w:val="none"/>
                <w:lang w:val="en-US" w:eastAsia="zh-CN"/>
              </w:rPr>
              <w:t>08</w:t>
            </w:r>
          </w:p>
        </w:tc>
        <w:tc>
          <w:tcPr>
            <w:tcW w:w="2778" w:type="dxa"/>
            <w:tcBorders>
              <w:tl2br w:val="nil"/>
              <w:tr2bl w:val="nil"/>
            </w:tcBorders>
            <w:noWrap w:val="0"/>
            <w:vAlign w:val="center"/>
          </w:tcPr>
          <w:p w14:paraId="405C0714">
            <w:pPr>
              <w:pStyle w:val="64"/>
              <w:adjustRightInd w:val="0"/>
              <w:snapToGrid w:val="0"/>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1.28</w:t>
            </w:r>
          </w:p>
        </w:tc>
      </w:tr>
    </w:tbl>
    <w:p w14:paraId="424BDD0D">
      <w:pPr>
        <w:tabs>
          <w:tab w:val="left" w:pos="854"/>
        </w:tabs>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eastAsia="微软雅黑" w:cs="Times New Roman"/>
          <w:b/>
          <w:bCs/>
          <w:color w:val="auto"/>
          <w:sz w:val="24"/>
          <w:highlight w:val="none"/>
        </w:rPr>
        <w:t>④</w:t>
      </w:r>
      <w:r>
        <w:rPr>
          <w:rFonts w:hint="default" w:ascii="Times New Roman" w:hAnsi="Times New Roman" w:cs="Times New Roman"/>
          <w:b/>
          <w:bCs/>
          <w:color w:val="auto"/>
          <w:sz w:val="24"/>
          <w:highlight w:val="none"/>
        </w:rPr>
        <w:t>正常工况预测结果与评价</w:t>
      </w:r>
    </w:p>
    <w:p w14:paraId="7C1DC471">
      <w:pPr>
        <w:adjustRightInd w:val="0"/>
        <w:snapToGrid w:val="0"/>
        <w:spacing w:line="360" w:lineRule="auto"/>
        <w:ind w:firstLine="480" w:firstLineChars="200"/>
        <w:rPr>
          <w:rFonts w:hint="eastAsia" w:ascii="Times New Roman" w:hAnsi="Times New Roman" w:eastAsia="宋体" w:cs="Times New Roman"/>
          <w:b/>
          <w:bCs/>
          <w:color w:val="auto"/>
          <w:sz w:val="21"/>
          <w:highlight w:val="none"/>
          <w:lang w:eastAsia="zh-CN"/>
        </w:rPr>
      </w:pPr>
      <w:r>
        <w:rPr>
          <w:rFonts w:hint="default" w:ascii="Times New Roman" w:hAnsi="Times New Roman" w:cs="Times New Roman"/>
          <w:color w:val="auto"/>
          <w:sz w:val="24"/>
          <w:highlight w:val="none"/>
        </w:rPr>
        <w:t>枯水期尾水正常排放COD、NH</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-N</w:t>
      </w:r>
      <w:r>
        <w:rPr>
          <w:rFonts w:hint="eastAsia" w:cs="Times New Roman"/>
          <w:color w:val="auto"/>
          <w:sz w:val="24"/>
          <w:highlight w:val="none"/>
          <w:lang w:eastAsia="zh-CN"/>
        </w:rPr>
        <w:t>、</w:t>
      </w:r>
      <w:r>
        <w:rPr>
          <w:rFonts w:hint="eastAsia" w:cs="Times New Roman"/>
          <w:color w:val="auto"/>
          <w:sz w:val="24"/>
          <w:highlight w:val="none"/>
          <w:lang w:val="en-US" w:eastAsia="zh-CN"/>
        </w:rPr>
        <w:t>TP</w:t>
      </w:r>
      <w:r>
        <w:rPr>
          <w:rFonts w:hint="default" w:ascii="Times New Roman" w:hAnsi="Times New Roman" w:cs="Times New Roman"/>
          <w:color w:val="auto"/>
          <w:sz w:val="24"/>
          <w:highlight w:val="none"/>
        </w:rPr>
        <w:t>对</w:t>
      </w:r>
      <w:r>
        <w:rPr>
          <w:rFonts w:hint="eastAsia" w:cs="Times New Roman"/>
          <w:bCs/>
          <w:color w:val="auto"/>
          <w:sz w:val="24"/>
          <w:highlight w:val="none"/>
          <w:lang w:eastAsia="zh-CN"/>
        </w:rPr>
        <w:t>溢水</w:t>
      </w:r>
      <w:r>
        <w:rPr>
          <w:rFonts w:hint="default" w:ascii="Times New Roman" w:hAnsi="Times New Roman" w:cs="Times New Roman"/>
          <w:bCs/>
          <w:color w:val="auto"/>
          <w:sz w:val="24"/>
          <w:highlight w:val="none"/>
          <w:lang w:eastAsia="zh-CN"/>
        </w:rPr>
        <w:t>河</w:t>
      </w:r>
      <w:r>
        <w:rPr>
          <w:rFonts w:hint="default" w:ascii="Times New Roman" w:hAnsi="Times New Roman" w:cs="Times New Roman"/>
          <w:color w:val="auto"/>
          <w:sz w:val="24"/>
          <w:highlight w:val="none"/>
        </w:rPr>
        <w:t>水环境影响预测结果见</w:t>
      </w:r>
      <w:r>
        <w:rPr>
          <w:rFonts w:hint="default" w:ascii="Times New Roman" w:hAnsi="Times New Roman" w:cs="Times New Roman"/>
          <w:color w:val="auto"/>
          <w:sz w:val="24"/>
          <w:highlight w:val="none"/>
          <w:lang w:eastAsia="zh-CN"/>
        </w:rPr>
        <w:t>下</w:t>
      </w:r>
      <w:r>
        <w:rPr>
          <w:rFonts w:hint="default" w:ascii="Times New Roman" w:hAnsi="Times New Roman" w:cs="Times New Roman"/>
          <w:color w:val="auto"/>
          <w:sz w:val="24"/>
          <w:highlight w:val="none"/>
        </w:rPr>
        <w:t>表</w:t>
      </w:r>
      <w:r>
        <w:rPr>
          <w:rFonts w:hint="eastAsia" w:cs="Times New Roman"/>
          <w:color w:val="auto"/>
          <w:sz w:val="24"/>
          <w:highlight w:val="none"/>
          <w:lang w:eastAsia="zh-CN"/>
        </w:rPr>
        <w:t>：</w:t>
      </w:r>
    </w:p>
    <w:p w14:paraId="430E20E9">
      <w:pPr>
        <w:pStyle w:val="102"/>
        <w:snapToGrid w:val="0"/>
        <w:spacing w:line="240" w:lineRule="auto"/>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表</w:t>
      </w:r>
      <w:r>
        <w:rPr>
          <w:rFonts w:hint="default" w:ascii="Times New Roman" w:hAnsi="Times New Roman" w:cs="Times New Roman"/>
          <w:b/>
          <w:bCs/>
          <w:color w:val="auto"/>
          <w:sz w:val="21"/>
          <w:highlight w:val="none"/>
          <w:lang w:val="en-US" w:eastAsia="zh-CN"/>
        </w:rPr>
        <w:t>4.2-</w:t>
      </w:r>
      <w:r>
        <w:rPr>
          <w:rFonts w:hint="eastAsia" w:ascii="Times New Roman" w:cs="Times New Roman"/>
          <w:b/>
          <w:bCs/>
          <w:color w:val="auto"/>
          <w:sz w:val="21"/>
          <w:highlight w:val="none"/>
          <w:lang w:val="en-US" w:eastAsia="zh-CN"/>
        </w:rPr>
        <w:t>9</w:t>
      </w:r>
      <w:r>
        <w:rPr>
          <w:rFonts w:hint="default" w:ascii="Times New Roman" w:hAnsi="Times New Roman" w:cs="Times New Roman"/>
          <w:b/>
          <w:bCs/>
          <w:color w:val="auto"/>
          <w:sz w:val="21"/>
          <w:highlight w:val="none"/>
          <w:lang w:val="en-US" w:eastAsia="zh-CN"/>
        </w:rPr>
        <w:t xml:space="preserve"> </w:t>
      </w:r>
      <w:r>
        <w:rPr>
          <w:rFonts w:hint="default" w:ascii="Times New Roman" w:hAnsi="Times New Roman" w:cs="Times New Roman"/>
          <w:b/>
          <w:bCs/>
          <w:color w:val="auto"/>
          <w:sz w:val="21"/>
          <w:highlight w:val="none"/>
        </w:rPr>
        <w:t xml:space="preserve"> 尾水正常排放COD对</w:t>
      </w:r>
      <w:r>
        <w:rPr>
          <w:rFonts w:hint="eastAsia" w:ascii="Times New Roman" w:cs="Times New Roman"/>
          <w:b/>
          <w:bCs/>
          <w:color w:val="auto"/>
          <w:sz w:val="21"/>
          <w:highlight w:val="none"/>
          <w:lang w:eastAsia="zh-CN"/>
        </w:rPr>
        <w:t>溢水</w:t>
      </w:r>
      <w:r>
        <w:rPr>
          <w:rFonts w:hint="default" w:ascii="Times New Roman" w:hAnsi="Times New Roman" w:cs="Times New Roman"/>
          <w:b/>
          <w:bCs/>
          <w:color w:val="auto"/>
          <w:sz w:val="21"/>
          <w:highlight w:val="none"/>
          <w:lang w:eastAsia="zh-CN"/>
        </w:rPr>
        <w:t>河</w:t>
      </w:r>
      <w:r>
        <w:rPr>
          <w:rFonts w:hint="default" w:ascii="Times New Roman" w:hAnsi="Times New Roman" w:cs="Times New Roman"/>
          <w:b/>
          <w:bCs/>
          <w:color w:val="auto"/>
          <w:sz w:val="21"/>
          <w:highlight w:val="none"/>
        </w:rPr>
        <w:t>水环境影响预测  单位：mg/L</w:t>
      </w:r>
    </w:p>
    <w:tbl>
      <w:tblPr>
        <w:tblStyle w:val="31"/>
        <w:tblW w:w="84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053"/>
        <w:gridCol w:w="999"/>
        <w:gridCol w:w="913"/>
        <w:gridCol w:w="911"/>
        <w:gridCol w:w="912"/>
        <w:gridCol w:w="960"/>
        <w:gridCol w:w="960"/>
        <w:gridCol w:w="960"/>
      </w:tblGrid>
      <w:tr w14:paraId="79E6B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766" w:type="dxa"/>
            <w:tcBorders>
              <w:tl2br w:val="nil"/>
              <w:tr2bl w:val="nil"/>
            </w:tcBorders>
            <w:noWrap w:val="0"/>
            <w:vAlign w:val="center"/>
          </w:tcPr>
          <w:p w14:paraId="5A623BDA">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阶段</w:t>
            </w:r>
          </w:p>
        </w:tc>
        <w:tc>
          <w:tcPr>
            <w:tcW w:w="1053" w:type="dxa"/>
            <w:tcBorders>
              <w:tl2br w:val="nil"/>
              <w:tr2bl w:val="nil"/>
            </w:tcBorders>
            <w:noWrap w:val="0"/>
            <w:vAlign w:val="center"/>
          </w:tcPr>
          <w:p w14:paraId="480B7C51">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Y/X</w:t>
            </w:r>
          </w:p>
        </w:tc>
        <w:tc>
          <w:tcPr>
            <w:tcW w:w="999" w:type="dxa"/>
            <w:tcBorders>
              <w:tl2br w:val="nil"/>
              <w:tr2bl w:val="nil"/>
            </w:tcBorders>
            <w:noWrap w:val="0"/>
            <w:vAlign w:val="center"/>
          </w:tcPr>
          <w:p w14:paraId="190C8D47">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5</w:t>
            </w:r>
          </w:p>
        </w:tc>
        <w:tc>
          <w:tcPr>
            <w:tcW w:w="913" w:type="dxa"/>
            <w:tcBorders>
              <w:tl2br w:val="nil"/>
              <w:tr2bl w:val="nil"/>
            </w:tcBorders>
            <w:noWrap w:val="0"/>
            <w:vAlign w:val="center"/>
          </w:tcPr>
          <w:p w14:paraId="66637BD1">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10</w:t>
            </w:r>
          </w:p>
        </w:tc>
        <w:tc>
          <w:tcPr>
            <w:tcW w:w="911" w:type="dxa"/>
            <w:tcBorders>
              <w:tl2br w:val="nil"/>
              <w:tr2bl w:val="nil"/>
            </w:tcBorders>
            <w:noWrap w:val="0"/>
            <w:vAlign w:val="center"/>
          </w:tcPr>
          <w:p w14:paraId="7631AAE5">
            <w:pPr>
              <w:pStyle w:val="64"/>
              <w:adjustRightInd w:val="0"/>
              <w:snapToGrid w:val="0"/>
              <w:spacing w:line="240" w:lineRule="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20</w:t>
            </w:r>
          </w:p>
        </w:tc>
        <w:tc>
          <w:tcPr>
            <w:tcW w:w="912" w:type="dxa"/>
            <w:tcBorders>
              <w:tl2br w:val="nil"/>
              <w:tr2bl w:val="nil"/>
            </w:tcBorders>
            <w:noWrap w:val="0"/>
            <w:vAlign w:val="center"/>
          </w:tcPr>
          <w:p w14:paraId="7444D1F0">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30</w:t>
            </w:r>
          </w:p>
        </w:tc>
        <w:tc>
          <w:tcPr>
            <w:tcW w:w="960" w:type="dxa"/>
            <w:tcBorders>
              <w:tl2br w:val="nil"/>
              <w:tr2bl w:val="nil"/>
            </w:tcBorders>
            <w:noWrap w:val="0"/>
            <w:vAlign w:val="center"/>
          </w:tcPr>
          <w:p w14:paraId="2E722D74">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40</w:t>
            </w:r>
          </w:p>
        </w:tc>
        <w:tc>
          <w:tcPr>
            <w:tcW w:w="960" w:type="dxa"/>
            <w:tcBorders>
              <w:tl2br w:val="nil"/>
              <w:tr2bl w:val="nil"/>
            </w:tcBorders>
            <w:noWrap w:val="0"/>
            <w:vAlign w:val="center"/>
          </w:tcPr>
          <w:p w14:paraId="64E8D804">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50</w:t>
            </w:r>
          </w:p>
        </w:tc>
        <w:tc>
          <w:tcPr>
            <w:tcW w:w="960" w:type="dxa"/>
            <w:tcBorders>
              <w:tl2br w:val="nil"/>
              <w:tr2bl w:val="nil"/>
            </w:tcBorders>
            <w:noWrap w:val="0"/>
            <w:vAlign w:val="center"/>
          </w:tcPr>
          <w:p w14:paraId="1FDF52C2">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60</w:t>
            </w:r>
          </w:p>
        </w:tc>
      </w:tr>
      <w:tr w14:paraId="3E5C3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restart"/>
            <w:tcBorders>
              <w:tl2br w:val="nil"/>
              <w:tr2bl w:val="nil"/>
            </w:tcBorders>
            <w:noWrap w:val="0"/>
            <w:vAlign w:val="center"/>
          </w:tcPr>
          <w:p w14:paraId="1F22526B">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混合</w:t>
            </w:r>
          </w:p>
          <w:p w14:paraId="18A99D75">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过程段</w:t>
            </w:r>
          </w:p>
        </w:tc>
        <w:tc>
          <w:tcPr>
            <w:tcW w:w="1053" w:type="dxa"/>
            <w:tcBorders>
              <w:tl2br w:val="nil"/>
              <w:tr2bl w:val="nil"/>
            </w:tcBorders>
            <w:noWrap w:val="0"/>
            <w:vAlign w:val="center"/>
          </w:tcPr>
          <w:p w14:paraId="725B37B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 </w:t>
            </w:r>
          </w:p>
        </w:tc>
        <w:tc>
          <w:tcPr>
            <w:tcW w:w="999" w:type="dxa"/>
            <w:tcBorders>
              <w:tl2br w:val="nil"/>
              <w:tr2bl w:val="nil"/>
            </w:tcBorders>
            <w:noWrap w:val="0"/>
            <w:vAlign w:val="center"/>
          </w:tcPr>
          <w:p w14:paraId="6DA584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11.004 </w:t>
            </w:r>
          </w:p>
        </w:tc>
        <w:tc>
          <w:tcPr>
            <w:tcW w:w="913" w:type="dxa"/>
            <w:tcBorders>
              <w:tl2br w:val="nil"/>
              <w:tr2bl w:val="nil"/>
            </w:tcBorders>
            <w:noWrap w:val="0"/>
            <w:vAlign w:val="center"/>
          </w:tcPr>
          <w:p w14:paraId="3E901B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11" w:type="dxa"/>
            <w:tcBorders>
              <w:tl2br w:val="nil"/>
              <w:tr2bl w:val="nil"/>
            </w:tcBorders>
            <w:noWrap w:val="0"/>
            <w:vAlign w:val="center"/>
          </w:tcPr>
          <w:p w14:paraId="726DEDA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12" w:type="dxa"/>
            <w:tcBorders>
              <w:tl2br w:val="nil"/>
              <w:tr2bl w:val="nil"/>
            </w:tcBorders>
            <w:noWrap w:val="0"/>
            <w:vAlign w:val="center"/>
          </w:tcPr>
          <w:p w14:paraId="7FB422D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0766EB9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10BD4B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0427927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0B642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1A22CF1E">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72F1CA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999" w:type="dxa"/>
            <w:tcBorders>
              <w:tl2br w:val="nil"/>
              <w:tr2bl w:val="nil"/>
            </w:tcBorders>
            <w:noWrap w:val="0"/>
            <w:vAlign w:val="center"/>
          </w:tcPr>
          <w:p w14:paraId="01BAEF7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11.063 </w:t>
            </w:r>
          </w:p>
        </w:tc>
        <w:tc>
          <w:tcPr>
            <w:tcW w:w="913" w:type="dxa"/>
            <w:tcBorders>
              <w:tl2br w:val="nil"/>
              <w:tr2bl w:val="nil"/>
            </w:tcBorders>
            <w:noWrap w:val="0"/>
            <w:vAlign w:val="center"/>
          </w:tcPr>
          <w:p w14:paraId="1F72D91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11" w:type="dxa"/>
            <w:tcBorders>
              <w:tl2br w:val="nil"/>
              <w:tr2bl w:val="nil"/>
            </w:tcBorders>
            <w:noWrap w:val="0"/>
            <w:vAlign w:val="center"/>
          </w:tcPr>
          <w:p w14:paraId="0A19011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12" w:type="dxa"/>
            <w:tcBorders>
              <w:tl2br w:val="nil"/>
              <w:tr2bl w:val="nil"/>
            </w:tcBorders>
            <w:noWrap w:val="0"/>
            <w:vAlign w:val="center"/>
          </w:tcPr>
          <w:p w14:paraId="2F54BBD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10C2D2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4F69A30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26E735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727238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99336EB">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DA19A4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 </w:t>
            </w:r>
          </w:p>
        </w:tc>
        <w:tc>
          <w:tcPr>
            <w:tcW w:w="999" w:type="dxa"/>
            <w:tcBorders>
              <w:tl2br w:val="nil"/>
              <w:tr2bl w:val="nil"/>
            </w:tcBorders>
            <w:noWrap w:val="0"/>
            <w:vAlign w:val="center"/>
          </w:tcPr>
          <w:p w14:paraId="47CD946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11.337 </w:t>
            </w:r>
          </w:p>
        </w:tc>
        <w:tc>
          <w:tcPr>
            <w:tcW w:w="913" w:type="dxa"/>
            <w:tcBorders>
              <w:tl2br w:val="nil"/>
              <w:tr2bl w:val="nil"/>
            </w:tcBorders>
            <w:noWrap w:val="0"/>
            <w:vAlign w:val="center"/>
          </w:tcPr>
          <w:p w14:paraId="2ED5647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11.052 </w:t>
            </w:r>
          </w:p>
        </w:tc>
        <w:tc>
          <w:tcPr>
            <w:tcW w:w="911" w:type="dxa"/>
            <w:tcBorders>
              <w:tl2br w:val="nil"/>
              <w:tr2bl w:val="nil"/>
            </w:tcBorders>
            <w:noWrap w:val="0"/>
            <w:vAlign w:val="center"/>
          </w:tcPr>
          <w:p w14:paraId="1175D16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12" w:type="dxa"/>
            <w:tcBorders>
              <w:tl2br w:val="nil"/>
              <w:tr2bl w:val="nil"/>
            </w:tcBorders>
            <w:noWrap w:val="0"/>
            <w:vAlign w:val="center"/>
          </w:tcPr>
          <w:p w14:paraId="255633E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650769A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B493FC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98BD63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256B99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66" w:type="dxa"/>
            <w:vMerge w:val="continue"/>
            <w:tcBorders>
              <w:tl2br w:val="nil"/>
              <w:tr2bl w:val="nil"/>
            </w:tcBorders>
            <w:noWrap w:val="0"/>
            <w:vAlign w:val="center"/>
          </w:tcPr>
          <w:p w14:paraId="2D93D1D2">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49EEB5D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999" w:type="dxa"/>
            <w:tcBorders>
              <w:tl2br w:val="nil"/>
              <w:tr2bl w:val="nil"/>
            </w:tcBorders>
            <w:noWrap w:val="0"/>
            <w:vAlign w:val="center"/>
          </w:tcPr>
          <w:p w14:paraId="34B4467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11.325 </w:t>
            </w:r>
          </w:p>
        </w:tc>
        <w:tc>
          <w:tcPr>
            <w:tcW w:w="913" w:type="dxa"/>
            <w:tcBorders>
              <w:tl2br w:val="nil"/>
              <w:tr2bl w:val="nil"/>
            </w:tcBorders>
            <w:noWrap w:val="0"/>
            <w:vAlign w:val="center"/>
          </w:tcPr>
          <w:p w14:paraId="599150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11.128 </w:t>
            </w:r>
          </w:p>
        </w:tc>
        <w:tc>
          <w:tcPr>
            <w:tcW w:w="911" w:type="dxa"/>
            <w:tcBorders>
              <w:tl2br w:val="nil"/>
              <w:tr2bl w:val="nil"/>
            </w:tcBorders>
            <w:noWrap w:val="0"/>
            <w:vAlign w:val="center"/>
          </w:tcPr>
          <w:p w14:paraId="0B210B4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11.003 </w:t>
            </w:r>
          </w:p>
        </w:tc>
        <w:tc>
          <w:tcPr>
            <w:tcW w:w="912" w:type="dxa"/>
            <w:tcBorders>
              <w:tl2br w:val="nil"/>
              <w:tr2bl w:val="nil"/>
            </w:tcBorders>
            <w:noWrap w:val="0"/>
            <w:vAlign w:val="center"/>
          </w:tcPr>
          <w:p w14:paraId="5A80ED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7BF4537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00F2950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266D05E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6FAC17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43E7F78F">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58182D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 </w:t>
            </w:r>
          </w:p>
        </w:tc>
        <w:tc>
          <w:tcPr>
            <w:tcW w:w="999" w:type="dxa"/>
            <w:tcBorders>
              <w:tl2br w:val="nil"/>
              <w:tr2bl w:val="nil"/>
            </w:tcBorders>
            <w:noWrap w:val="0"/>
            <w:vAlign w:val="center"/>
          </w:tcPr>
          <w:p w14:paraId="74FF359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11.294 </w:t>
            </w:r>
          </w:p>
        </w:tc>
        <w:tc>
          <w:tcPr>
            <w:tcW w:w="913" w:type="dxa"/>
            <w:tcBorders>
              <w:tl2br w:val="nil"/>
              <w:tr2bl w:val="nil"/>
            </w:tcBorders>
            <w:noWrap w:val="0"/>
            <w:vAlign w:val="center"/>
          </w:tcPr>
          <w:p w14:paraId="35B905C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11.158 </w:t>
            </w:r>
          </w:p>
        </w:tc>
        <w:tc>
          <w:tcPr>
            <w:tcW w:w="911" w:type="dxa"/>
            <w:tcBorders>
              <w:tl2br w:val="nil"/>
              <w:tr2bl w:val="nil"/>
            </w:tcBorders>
            <w:noWrap w:val="0"/>
            <w:vAlign w:val="center"/>
          </w:tcPr>
          <w:p w14:paraId="47BCB1F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11.013 </w:t>
            </w:r>
          </w:p>
        </w:tc>
        <w:tc>
          <w:tcPr>
            <w:tcW w:w="912" w:type="dxa"/>
            <w:tcBorders>
              <w:tl2br w:val="nil"/>
              <w:tr2bl w:val="nil"/>
            </w:tcBorders>
            <w:noWrap w:val="0"/>
            <w:vAlign w:val="center"/>
          </w:tcPr>
          <w:p w14:paraId="13B23A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2D4D066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61D39A3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1B1B770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51EA6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385F1DCC">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8B3F7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999" w:type="dxa"/>
            <w:tcBorders>
              <w:tl2br w:val="nil"/>
              <w:tr2bl w:val="nil"/>
            </w:tcBorders>
            <w:noWrap w:val="0"/>
            <w:vAlign w:val="center"/>
          </w:tcPr>
          <w:p w14:paraId="682CA3E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11.268 </w:t>
            </w:r>
          </w:p>
        </w:tc>
        <w:tc>
          <w:tcPr>
            <w:tcW w:w="913" w:type="dxa"/>
            <w:tcBorders>
              <w:tl2br w:val="nil"/>
              <w:tr2bl w:val="nil"/>
            </w:tcBorders>
            <w:noWrap w:val="0"/>
            <w:vAlign w:val="center"/>
          </w:tcPr>
          <w:p w14:paraId="35E17E0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11.168 </w:t>
            </w:r>
          </w:p>
        </w:tc>
        <w:tc>
          <w:tcPr>
            <w:tcW w:w="911" w:type="dxa"/>
            <w:tcBorders>
              <w:tl2br w:val="nil"/>
              <w:tr2bl w:val="nil"/>
            </w:tcBorders>
            <w:noWrap w:val="0"/>
            <w:vAlign w:val="center"/>
          </w:tcPr>
          <w:p w14:paraId="19495F4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11.026 </w:t>
            </w:r>
          </w:p>
        </w:tc>
        <w:tc>
          <w:tcPr>
            <w:tcW w:w="912" w:type="dxa"/>
            <w:tcBorders>
              <w:tl2br w:val="nil"/>
              <w:tr2bl w:val="nil"/>
            </w:tcBorders>
            <w:noWrap w:val="0"/>
            <w:vAlign w:val="center"/>
          </w:tcPr>
          <w:p w14:paraId="2830BFD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c>
          <w:tcPr>
            <w:tcW w:w="960" w:type="dxa"/>
            <w:tcBorders>
              <w:tl2br w:val="nil"/>
              <w:tr2bl w:val="nil"/>
            </w:tcBorders>
            <w:noWrap w:val="0"/>
            <w:vAlign w:val="center"/>
          </w:tcPr>
          <w:p w14:paraId="214053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0B9070B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8C628E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57E093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7DAE496E">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D65398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 </w:t>
            </w:r>
          </w:p>
        </w:tc>
        <w:tc>
          <w:tcPr>
            <w:tcW w:w="999" w:type="dxa"/>
            <w:tcBorders>
              <w:tl2br w:val="nil"/>
              <w:tr2bl w:val="nil"/>
            </w:tcBorders>
            <w:noWrap w:val="0"/>
            <w:vAlign w:val="center"/>
          </w:tcPr>
          <w:p w14:paraId="16B09A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11.247 </w:t>
            </w:r>
          </w:p>
        </w:tc>
        <w:tc>
          <w:tcPr>
            <w:tcW w:w="913" w:type="dxa"/>
            <w:tcBorders>
              <w:tl2br w:val="nil"/>
              <w:tr2bl w:val="nil"/>
            </w:tcBorders>
            <w:noWrap w:val="0"/>
            <w:vAlign w:val="center"/>
          </w:tcPr>
          <w:p w14:paraId="2385B24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11.171 </w:t>
            </w:r>
          </w:p>
        </w:tc>
        <w:tc>
          <w:tcPr>
            <w:tcW w:w="911" w:type="dxa"/>
            <w:tcBorders>
              <w:tl2br w:val="nil"/>
              <w:tr2bl w:val="nil"/>
            </w:tcBorders>
            <w:noWrap w:val="0"/>
            <w:vAlign w:val="center"/>
          </w:tcPr>
          <w:p w14:paraId="1E0ECC3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11.039 </w:t>
            </w:r>
          </w:p>
        </w:tc>
        <w:tc>
          <w:tcPr>
            <w:tcW w:w="912" w:type="dxa"/>
            <w:tcBorders>
              <w:tl2br w:val="nil"/>
              <w:tr2bl w:val="nil"/>
            </w:tcBorders>
            <w:noWrap w:val="0"/>
            <w:vAlign w:val="center"/>
          </w:tcPr>
          <w:p w14:paraId="71E47B9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11.003 </w:t>
            </w:r>
          </w:p>
        </w:tc>
        <w:tc>
          <w:tcPr>
            <w:tcW w:w="960" w:type="dxa"/>
            <w:tcBorders>
              <w:tl2br w:val="nil"/>
              <w:tr2bl w:val="nil"/>
            </w:tcBorders>
            <w:noWrap w:val="0"/>
            <w:vAlign w:val="center"/>
          </w:tcPr>
          <w:p w14:paraId="5B30D3B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447B0FF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50FA7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24B28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61DE4EB1">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3F41D3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 </w:t>
            </w:r>
          </w:p>
        </w:tc>
        <w:tc>
          <w:tcPr>
            <w:tcW w:w="999" w:type="dxa"/>
            <w:tcBorders>
              <w:tl2br w:val="nil"/>
              <w:tr2bl w:val="nil"/>
            </w:tcBorders>
            <w:noWrap w:val="0"/>
            <w:vAlign w:val="center"/>
          </w:tcPr>
          <w:p w14:paraId="2B2629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11.231 </w:t>
            </w:r>
          </w:p>
        </w:tc>
        <w:tc>
          <w:tcPr>
            <w:tcW w:w="913" w:type="dxa"/>
            <w:tcBorders>
              <w:tl2br w:val="nil"/>
              <w:tr2bl w:val="nil"/>
            </w:tcBorders>
            <w:noWrap w:val="0"/>
            <w:vAlign w:val="center"/>
          </w:tcPr>
          <w:p w14:paraId="4EF8F07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11.169 </w:t>
            </w:r>
          </w:p>
        </w:tc>
        <w:tc>
          <w:tcPr>
            <w:tcW w:w="911" w:type="dxa"/>
            <w:tcBorders>
              <w:tl2br w:val="nil"/>
              <w:tr2bl w:val="nil"/>
            </w:tcBorders>
            <w:noWrap w:val="0"/>
            <w:vAlign w:val="center"/>
          </w:tcPr>
          <w:p w14:paraId="78B165D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11.049 </w:t>
            </w:r>
          </w:p>
        </w:tc>
        <w:tc>
          <w:tcPr>
            <w:tcW w:w="912" w:type="dxa"/>
            <w:tcBorders>
              <w:tl2br w:val="nil"/>
              <w:tr2bl w:val="nil"/>
            </w:tcBorders>
            <w:noWrap w:val="0"/>
            <w:vAlign w:val="center"/>
          </w:tcPr>
          <w:p w14:paraId="596056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11.006 </w:t>
            </w:r>
          </w:p>
        </w:tc>
        <w:tc>
          <w:tcPr>
            <w:tcW w:w="960" w:type="dxa"/>
            <w:tcBorders>
              <w:tl2br w:val="nil"/>
              <w:tr2bl w:val="nil"/>
            </w:tcBorders>
            <w:noWrap w:val="0"/>
            <w:vAlign w:val="center"/>
          </w:tcPr>
          <w:p w14:paraId="0C213E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4B65C9B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5F10C1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237F8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66" w:type="dxa"/>
            <w:vMerge w:val="continue"/>
            <w:tcBorders>
              <w:tl2br w:val="nil"/>
              <w:tr2bl w:val="nil"/>
            </w:tcBorders>
            <w:noWrap w:val="0"/>
            <w:vAlign w:val="center"/>
          </w:tcPr>
          <w:p w14:paraId="60564E18">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13C5D3F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999" w:type="dxa"/>
            <w:tcBorders>
              <w:tl2br w:val="nil"/>
              <w:tr2bl w:val="nil"/>
            </w:tcBorders>
            <w:noWrap w:val="0"/>
            <w:vAlign w:val="center"/>
          </w:tcPr>
          <w:p w14:paraId="4A0E9D2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11.217 </w:t>
            </w:r>
          </w:p>
        </w:tc>
        <w:tc>
          <w:tcPr>
            <w:tcW w:w="913" w:type="dxa"/>
            <w:tcBorders>
              <w:tl2br w:val="nil"/>
              <w:tr2bl w:val="nil"/>
            </w:tcBorders>
            <w:noWrap w:val="0"/>
            <w:vAlign w:val="center"/>
          </w:tcPr>
          <w:p w14:paraId="5C2B6C7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11.166 </w:t>
            </w:r>
          </w:p>
        </w:tc>
        <w:tc>
          <w:tcPr>
            <w:tcW w:w="911" w:type="dxa"/>
            <w:tcBorders>
              <w:tl2br w:val="nil"/>
              <w:tr2bl w:val="nil"/>
            </w:tcBorders>
            <w:noWrap w:val="0"/>
            <w:vAlign w:val="center"/>
          </w:tcPr>
          <w:p w14:paraId="1CF19C6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11.057 </w:t>
            </w:r>
          </w:p>
        </w:tc>
        <w:tc>
          <w:tcPr>
            <w:tcW w:w="912" w:type="dxa"/>
            <w:tcBorders>
              <w:tl2br w:val="nil"/>
              <w:tr2bl w:val="nil"/>
            </w:tcBorders>
            <w:noWrap w:val="0"/>
            <w:vAlign w:val="center"/>
          </w:tcPr>
          <w:p w14:paraId="7F117AF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11.010 </w:t>
            </w:r>
          </w:p>
        </w:tc>
        <w:tc>
          <w:tcPr>
            <w:tcW w:w="960" w:type="dxa"/>
            <w:tcBorders>
              <w:tl2br w:val="nil"/>
              <w:tr2bl w:val="nil"/>
            </w:tcBorders>
            <w:noWrap w:val="0"/>
            <w:vAlign w:val="center"/>
          </w:tcPr>
          <w:p w14:paraId="180CAD9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c>
          <w:tcPr>
            <w:tcW w:w="960" w:type="dxa"/>
            <w:tcBorders>
              <w:tl2br w:val="nil"/>
              <w:tr2bl w:val="nil"/>
            </w:tcBorders>
            <w:noWrap w:val="0"/>
            <w:vAlign w:val="center"/>
          </w:tcPr>
          <w:p w14:paraId="354427A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D10684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29B41D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66" w:type="dxa"/>
            <w:vMerge w:val="continue"/>
            <w:tcBorders>
              <w:tl2br w:val="nil"/>
              <w:tr2bl w:val="nil"/>
            </w:tcBorders>
            <w:noWrap w:val="0"/>
            <w:vAlign w:val="center"/>
          </w:tcPr>
          <w:p w14:paraId="0E0D63C8">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0C873E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 </w:t>
            </w:r>
          </w:p>
        </w:tc>
        <w:tc>
          <w:tcPr>
            <w:tcW w:w="999" w:type="dxa"/>
            <w:tcBorders>
              <w:tl2br w:val="nil"/>
              <w:tr2bl w:val="nil"/>
            </w:tcBorders>
            <w:noWrap w:val="0"/>
            <w:vAlign w:val="center"/>
          </w:tcPr>
          <w:p w14:paraId="27B4286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11.205 </w:t>
            </w:r>
          </w:p>
        </w:tc>
        <w:tc>
          <w:tcPr>
            <w:tcW w:w="913" w:type="dxa"/>
            <w:tcBorders>
              <w:tl2br w:val="nil"/>
              <w:tr2bl w:val="nil"/>
            </w:tcBorders>
            <w:noWrap w:val="0"/>
            <w:vAlign w:val="center"/>
          </w:tcPr>
          <w:p w14:paraId="1ACD220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11.162 </w:t>
            </w:r>
          </w:p>
        </w:tc>
        <w:tc>
          <w:tcPr>
            <w:tcW w:w="911" w:type="dxa"/>
            <w:tcBorders>
              <w:tl2br w:val="nil"/>
              <w:tr2bl w:val="nil"/>
            </w:tcBorders>
            <w:noWrap w:val="0"/>
            <w:vAlign w:val="center"/>
          </w:tcPr>
          <w:p w14:paraId="1132E00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11.064 </w:t>
            </w:r>
          </w:p>
        </w:tc>
        <w:tc>
          <w:tcPr>
            <w:tcW w:w="912" w:type="dxa"/>
            <w:tcBorders>
              <w:tl2br w:val="nil"/>
              <w:tr2bl w:val="nil"/>
            </w:tcBorders>
            <w:noWrap w:val="0"/>
            <w:vAlign w:val="center"/>
          </w:tcPr>
          <w:p w14:paraId="00CB36A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11.014 </w:t>
            </w:r>
          </w:p>
        </w:tc>
        <w:tc>
          <w:tcPr>
            <w:tcW w:w="960" w:type="dxa"/>
            <w:tcBorders>
              <w:tl2br w:val="nil"/>
              <w:tr2bl w:val="nil"/>
            </w:tcBorders>
            <w:noWrap w:val="0"/>
            <w:vAlign w:val="center"/>
          </w:tcPr>
          <w:p w14:paraId="672FB9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11.002 </w:t>
            </w:r>
          </w:p>
        </w:tc>
        <w:tc>
          <w:tcPr>
            <w:tcW w:w="960" w:type="dxa"/>
            <w:tcBorders>
              <w:tl2br w:val="nil"/>
              <w:tr2bl w:val="nil"/>
            </w:tcBorders>
            <w:noWrap w:val="0"/>
            <w:vAlign w:val="center"/>
          </w:tcPr>
          <w:p w14:paraId="00DE492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3DCD52C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03D585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8FAAB41">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EB832A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450 </w:t>
            </w:r>
          </w:p>
        </w:tc>
        <w:tc>
          <w:tcPr>
            <w:tcW w:w="999" w:type="dxa"/>
            <w:tcBorders>
              <w:tl2br w:val="nil"/>
              <w:tr2bl w:val="nil"/>
            </w:tcBorders>
            <w:noWrap w:val="0"/>
            <w:vAlign w:val="center"/>
          </w:tcPr>
          <w:p w14:paraId="0F8D90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11.195 </w:t>
            </w:r>
          </w:p>
        </w:tc>
        <w:tc>
          <w:tcPr>
            <w:tcW w:w="913" w:type="dxa"/>
            <w:tcBorders>
              <w:tl2br w:val="nil"/>
              <w:tr2bl w:val="nil"/>
            </w:tcBorders>
            <w:noWrap w:val="0"/>
            <w:vAlign w:val="center"/>
          </w:tcPr>
          <w:p w14:paraId="2C02F46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11.158 </w:t>
            </w:r>
          </w:p>
        </w:tc>
        <w:tc>
          <w:tcPr>
            <w:tcW w:w="911" w:type="dxa"/>
            <w:tcBorders>
              <w:tl2br w:val="nil"/>
              <w:tr2bl w:val="nil"/>
            </w:tcBorders>
            <w:noWrap w:val="0"/>
            <w:vAlign w:val="center"/>
          </w:tcPr>
          <w:p w14:paraId="3916321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11.069 </w:t>
            </w:r>
          </w:p>
        </w:tc>
        <w:tc>
          <w:tcPr>
            <w:tcW w:w="912" w:type="dxa"/>
            <w:tcBorders>
              <w:tl2br w:val="nil"/>
              <w:tr2bl w:val="nil"/>
            </w:tcBorders>
            <w:noWrap w:val="0"/>
            <w:vAlign w:val="center"/>
          </w:tcPr>
          <w:p w14:paraId="75446E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11.017 </w:t>
            </w:r>
          </w:p>
        </w:tc>
        <w:tc>
          <w:tcPr>
            <w:tcW w:w="960" w:type="dxa"/>
            <w:tcBorders>
              <w:tl2br w:val="nil"/>
              <w:tr2bl w:val="nil"/>
            </w:tcBorders>
            <w:noWrap w:val="0"/>
            <w:vAlign w:val="center"/>
          </w:tcPr>
          <w:p w14:paraId="4C8D19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11.003 </w:t>
            </w:r>
          </w:p>
        </w:tc>
        <w:tc>
          <w:tcPr>
            <w:tcW w:w="960" w:type="dxa"/>
            <w:tcBorders>
              <w:tl2br w:val="nil"/>
              <w:tr2bl w:val="nil"/>
            </w:tcBorders>
            <w:noWrap w:val="0"/>
            <w:vAlign w:val="center"/>
          </w:tcPr>
          <w:p w14:paraId="3010D73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431652F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14F1C2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1397F2C6">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10A009E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 </w:t>
            </w:r>
          </w:p>
        </w:tc>
        <w:tc>
          <w:tcPr>
            <w:tcW w:w="999" w:type="dxa"/>
            <w:tcBorders>
              <w:tl2br w:val="nil"/>
              <w:tr2bl w:val="nil"/>
            </w:tcBorders>
            <w:noWrap w:val="0"/>
            <w:vAlign w:val="center"/>
          </w:tcPr>
          <w:p w14:paraId="0C4AE8D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11.186 </w:t>
            </w:r>
          </w:p>
        </w:tc>
        <w:tc>
          <w:tcPr>
            <w:tcW w:w="913" w:type="dxa"/>
            <w:tcBorders>
              <w:tl2br w:val="nil"/>
              <w:tr2bl w:val="nil"/>
            </w:tcBorders>
            <w:noWrap w:val="0"/>
            <w:vAlign w:val="center"/>
          </w:tcPr>
          <w:p w14:paraId="575E741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11.154 </w:t>
            </w:r>
          </w:p>
        </w:tc>
        <w:tc>
          <w:tcPr>
            <w:tcW w:w="911" w:type="dxa"/>
            <w:tcBorders>
              <w:tl2br w:val="nil"/>
              <w:tr2bl w:val="nil"/>
            </w:tcBorders>
            <w:noWrap w:val="0"/>
            <w:vAlign w:val="center"/>
          </w:tcPr>
          <w:p w14:paraId="5C48BD9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11.073 </w:t>
            </w:r>
          </w:p>
        </w:tc>
        <w:tc>
          <w:tcPr>
            <w:tcW w:w="912" w:type="dxa"/>
            <w:tcBorders>
              <w:tl2br w:val="nil"/>
              <w:tr2bl w:val="nil"/>
            </w:tcBorders>
            <w:noWrap w:val="0"/>
            <w:vAlign w:val="center"/>
          </w:tcPr>
          <w:p w14:paraId="33FA3B4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11.021 </w:t>
            </w:r>
          </w:p>
        </w:tc>
        <w:tc>
          <w:tcPr>
            <w:tcW w:w="960" w:type="dxa"/>
            <w:tcBorders>
              <w:tl2br w:val="nil"/>
              <w:tr2bl w:val="nil"/>
            </w:tcBorders>
            <w:noWrap w:val="0"/>
            <w:vAlign w:val="center"/>
          </w:tcPr>
          <w:p w14:paraId="457A972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11.004 </w:t>
            </w:r>
          </w:p>
        </w:tc>
        <w:tc>
          <w:tcPr>
            <w:tcW w:w="960" w:type="dxa"/>
            <w:tcBorders>
              <w:tl2br w:val="nil"/>
              <w:tr2bl w:val="nil"/>
            </w:tcBorders>
            <w:noWrap w:val="0"/>
            <w:vAlign w:val="center"/>
          </w:tcPr>
          <w:p w14:paraId="28D4AED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960" w:type="dxa"/>
            <w:tcBorders>
              <w:tl2br w:val="nil"/>
              <w:tr2bl w:val="nil"/>
            </w:tcBorders>
            <w:noWrap w:val="0"/>
            <w:vAlign w:val="center"/>
          </w:tcPr>
          <w:p w14:paraId="49BA2C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2B278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23B4A953">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BEA908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 </w:t>
            </w:r>
          </w:p>
        </w:tc>
        <w:tc>
          <w:tcPr>
            <w:tcW w:w="999" w:type="dxa"/>
            <w:tcBorders>
              <w:tl2br w:val="nil"/>
              <w:tr2bl w:val="nil"/>
            </w:tcBorders>
            <w:noWrap w:val="0"/>
            <w:vAlign w:val="center"/>
          </w:tcPr>
          <w:p w14:paraId="077E841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11.171 </w:t>
            </w:r>
          </w:p>
        </w:tc>
        <w:tc>
          <w:tcPr>
            <w:tcW w:w="913" w:type="dxa"/>
            <w:tcBorders>
              <w:tl2br w:val="nil"/>
              <w:tr2bl w:val="nil"/>
            </w:tcBorders>
            <w:noWrap w:val="0"/>
            <w:vAlign w:val="center"/>
          </w:tcPr>
          <w:p w14:paraId="704D96C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11.147 </w:t>
            </w:r>
          </w:p>
        </w:tc>
        <w:tc>
          <w:tcPr>
            <w:tcW w:w="911" w:type="dxa"/>
            <w:tcBorders>
              <w:tl2br w:val="nil"/>
              <w:tr2bl w:val="nil"/>
            </w:tcBorders>
            <w:noWrap w:val="0"/>
            <w:vAlign w:val="center"/>
          </w:tcPr>
          <w:p w14:paraId="4202C7C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11.079 </w:t>
            </w:r>
          </w:p>
        </w:tc>
        <w:tc>
          <w:tcPr>
            <w:tcW w:w="912" w:type="dxa"/>
            <w:tcBorders>
              <w:tl2br w:val="nil"/>
              <w:tr2bl w:val="nil"/>
            </w:tcBorders>
            <w:noWrap w:val="0"/>
            <w:vAlign w:val="center"/>
          </w:tcPr>
          <w:p w14:paraId="61FE680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11.028 </w:t>
            </w:r>
          </w:p>
        </w:tc>
        <w:tc>
          <w:tcPr>
            <w:tcW w:w="960" w:type="dxa"/>
            <w:tcBorders>
              <w:tl2br w:val="nil"/>
              <w:tr2bl w:val="nil"/>
            </w:tcBorders>
            <w:noWrap w:val="0"/>
            <w:vAlign w:val="center"/>
          </w:tcPr>
          <w:p w14:paraId="143BAE6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11.007 </w:t>
            </w:r>
          </w:p>
        </w:tc>
        <w:tc>
          <w:tcPr>
            <w:tcW w:w="960" w:type="dxa"/>
            <w:tcBorders>
              <w:tl2br w:val="nil"/>
              <w:tr2bl w:val="nil"/>
            </w:tcBorders>
            <w:noWrap w:val="0"/>
            <w:vAlign w:val="center"/>
          </w:tcPr>
          <w:p w14:paraId="51BF557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c>
          <w:tcPr>
            <w:tcW w:w="960" w:type="dxa"/>
            <w:tcBorders>
              <w:tl2br w:val="nil"/>
              <w:tr2bl w:val="nil"/>
            </w:tcBorders>
            <w:noWrap w:val="0"/>
            <w:vAlign w:val="center"/>
          </w:tcPr>
          <w:p w14:paraId="48371E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4F360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4DBED5E1">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CD3A37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800 </w:t>
            </w:r>
          </w:p>
        </w:tc>
        <w:tc>
          <w:tcPr>
            <w:tcW w:w="999" w:type="dxa"/>
            <w:tcBorders>
              <w:tl2br w:val="nil"/>
              <w:tr2bl w:val="nil"/>
            </w:tcBorders>
            <w:noWrap w:val="0"/>
            <w:vAlign w:val="center"/>
          </w:tcPr>
          <w:p w14:paraId="6FC3C8A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11.150 </w:t>
            </w:r>
          </w:p>
        </w:tc>
        <w:tc>
          <w:tcPr>
            <w:tcW w:w="913" w:type="dxa"/>
            <w:tcBorders>
              <w:tl2br w:val="nil"/>
              <w:tr2bl w:val="nil"/>
            </w:tcBorders>
            <w:noWrap w:val="0"/>
            <w:vAlign w:val="center"/>
          </w:tcPr>
          <w:p w14:paraId="63611A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11.134 </w:t>
            </w:r>
          </w:p>
        </w:tc>
        <w:tc>
          <w:tcPr>
            <w:tcW w:w="911" w:type="dxa"/>
            <w:tcBorders>
              <w:tl2br w:val="nil"/>
              <w:tr2bl w:val="nil"/>
            </w:tcBorders>
            <w:noWrap w:val="0"/>
            <w:vAlign w:val="center"/>
          </w:tcPr>
          <w:p w14:paraId="7F016D3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11.084 </w:t>
            </w:r>
          </w:p>
        </w:tc>
        <w:tc>
          <w:tcPr>
            <w:tcW w:w="912" w:type="dxa"/>
            <w:tcBorders>
              <w:tl2br w:val="nil"/>
              <w:tr2bl w:val="nil"/>
            </w:tcBorders>
            <w:noWrap w:val="0"/>
            <w:vAlign w:val="center"/>
          </w:tcPr>
          <w:p w14:paraId="4A3AA3C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11.039 </w:t>
            </w:r>
          </w:p>
        </w:tc>
        <w:tc>
          <w:tcPr>
            <w:tcW w:w="960" w:type="dxa"/>
            <w:tcBorders>
              <w:tl2br w:val="nil"/>
              <w:tr2bl w:val="nil"/>
            </w:tcBorders>
            <w:noWrap w:val="0"/>
            <w:vAlign w:val="center"/>
          </w:tcPr>
          <w:p w14:paraId="500C07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11.013 </w:t>
            </w:r>
          </w:p>
        </w:tc>
        <w:tc>
          <w:tcPr>
            <w:tcW w:w="960" w:type="dxa"/>
            <w:tcBorders>
              <w:tl2br w:val="nil"/>
              <w:tr2bl w:val="nil"/>
            </w:tcBorders>
            <w:noWrap w:val="0"/>
            <w:vAlign w:val="center"/>
          </w:tcPr>
          <w:p w14:paraId="6C8CA0A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11.003 </w:t>
            </w:r>
          </w:p>
        </w:tc>
        <w:tc>
          <w:tcPr>
            <w:tcW w:w="960" w:type="dxa"/>
            <w:tcBorders>
              <w:tl2br w:val="nil"/>
              <w:tr2bl w:val="nil"/>
            </w:tcBorders>
            <w:noWrap w:val="0"/>
            <w:vAlign w:val="center"/>
          </w:tcPr>
          <w:p w14:paraId="591A6CF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r>
      <w:tr w14:paraId="5C78C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8E7AEC8">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63DE56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999" w:type="dxa"/>
            <w:tcBorders>
              <w:tl2br w:val="nil"/>
              <w:tr2bl w:val="nil"/>
            </w:tcBorders>
            <w:noWrap w:val="0"/>
            <w:vAlign w:val="center"/>
          </w:tcPr>
          <w:p w14:paraId="545A13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11.135 </w:t>
            </w:r>
          </w:p>
        </w:tc>
        <w:tc>
          <w:tcPr>
            <w:tcW w:w="913" w:type="dxa"/>
            <w:tcBorders>
              <w:tl2br w:val="nil"/>
              <w:tr2bl w:val="nil"/>
            </w:tcBorders>
            <w:noWrap w:val="0"/>
            <w:vAlign w:val="center"/>
          </w:tcPr>
          <w:p w14:paraId="50AB9E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11.123 </w:t>
            </w:r>
          </w:p>
        </w:tc>
        <w:tc>
          <w:tcPr>
            <w:tcW w:w="911" w:type="dxa"/>
            <w:tcBorders>
              <w:tl2br w:val="nil"/>
              <w:tr2bl w:val="nil"/>
            </w:tcBorders>
            <w:noWrap w:val="0"/>
            <w:vAlign w:val="center"/>
          </w:tcPr>
          <w:p w14:paraId="5ADB4AA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11.085 </w:t>
            </w:r>
          </w:p>
        </w:tc>
        <w:tc>
          <w:tcPr>
            <w:tcW w:w="912" w:type="dxa"/>
            <w:tcBorders>
              <w:tl2br w:val="nil"/>
              <w:tr2bl w:val="nil"/>
            </w:tcBorders>
            <w:noWrap w:val="0"/>
            <w:vAlign w:val="center"/>
          </w:tcPr>
          <w:p w14:paraId="0563DA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11.046 </w:t>
            </w:r>
          </w:p>
        </w:tc>
        <w:tc>
          <w:tcPr>
            <w:tcW w:w="960" w:type="dxa"/>
            <w:tcBorders>
              <w:tl2br w:val="nil"/>
              <w:tr2bl w:val="nil"/>
            </w:tcBorders>
            <w:noWrap w:val="0"/>
            <w:vAlign w:val="center"/>
          </w:tcPr>
          <w:p w14:paraId="0D695BA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11.019 </w:t>
            </w:r>
          </w:p>
        </w:tc>
        <w:tc>
          <w:tcPr>
            <w:tcW w:w="960" w:type="dxa"/>
            <w:tcBorders>
              <w:tl2br w:val="nil"/>
              <w:tr2bl w:val="nil"/>
            </w:tcBorders>
            <w:noWrap w:val="0"/>
            <w:vAlign w:val="center"/>
          </w:tcPr>
          <w:p w14:paraId="6376717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11.006 </w:t>
            </w:r>
          </w:p>
        </w:tc>
        <w:tc>
          <w:tcPr>
            <w:tcW w:w="960" w:type="dxa"/>
            <w:tcBorders>
              <w:tl2br w:val="nil"/>
              <w:tr2bl w:val="nil"/>
            </w:tcBorders>
            <w:noWrap w:val="0"/>
            <w:vAlign w:val="center"/>
          </w:tcPr>
          <w:p w14:paraId="2FE98C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11.002 </w:t>
            </w:r>
          </w:p>
        </w:tc>
      </w:tr>
      <w:tr w14:paraId="6A6BD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12798C66">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3FEBF0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 </w:t>
            </w:r>
          </w:p>
        </w:tc>
        <w:tc>
          <w:tcPr>
            <w:tcW w:w="999" w:type="dxa"/>
            <w:tcBorders>
              <w:tl2br w:val="nil"/>
              <w:tr2bl w:val="nil"/>
            </w:tcBorders>
            <w:noWrap w:val="0"/>
            <w:vAlign w:val="center"/>
          </w:tcPr>
          <w:p w14:paraId="6F43C32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11.124 </w:t>
            </w:r>
          </w:p>
        </w:tc>
        <w:tc>
          <w:tcPr>
            <w:tcW w:w="913" w:type="dxa"/>
            <w:tcBorders>
              <w:tl2br w:val="nil"/>
              <w:tr2bl w:val="nil"/>
            </w:tcBorders>
            <w:noWrap w:val="0"/>
            <w:vAlign w:val="center"/>
          </w:tcPr>
          <w:p w14:paraId="58477A4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11.115 </w:t>
            </w:r>
          </w:p>
        </w:tc>
        <w:tc>
          <w:tcPr>
            <w:tcW w:w="911" w:type="dxa"/>
            <w:tcBorders>
              <w:tl2br w:val="nil"/>
              <w:tr2bl w:val="nil"/>
            </w:tcBorders>
            <w:noWrap w:val="0"/>
            <w:vAlign w:val="center"/>
          </w:tcPr>
          <w:p w14:paraId="5418855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11.084 </w:t>
            </w:r>
          </w:p>
        </w:tc>
        <w:tc>
          <w:tcPr>
            <w:tcW w:w="912" w:type="dxa"/>
            <w:tcBorders>
              <w:tl2br w:val="nil"/>
              <w:tr2bl w:val="nil"/>
            </w:tcBorders>
            <w:noWrap w:val="0"/>
            <w:vAlign w:val="center"/>
          </w:tcPr>
          <w:p w14:paraId="769397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11.050 </w:t>
            </w:r>
          </w:p>
        </w:tc>
        <w:tc>
          <w:tcPr>
            <w:tcW w:w="960" w:type="dxa"/>
            <w:tcBorders>
              <w:tl2br w:val="nil"/>
              <w:tr2bl w:val="nil"/>
            </w:tcBorders>
            <w:noWrap w:val="0"/>
            <w:vAlign w:val="center"/>
          </w:tcPr>
          <w:p w14:paraId="4B58AB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11.024 </w:t>
            </w:r>
          </w:p>
        </w:tc>
        <w:tc>
          <w:tcPr>
            <w:tcW w:w="960" w:type="dxa"/>
            <w:tcBorders>
              <w:tl2br w:val="nil"/>
              <w:tr2bl w:val="nil"/>
            </w:tcBorders>
            <w:noWrap w:val="0"/>
            <w:vAlign w:val="center"/>
          </w:tcPr>
          <w:p w14:paraId="1159B01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11.010 </w:t>
            </w:r>
          </w:p>
        </w:tc>
        <w:tc>
          <w:tcPr>
            <w:tcW w:w="960" w:type="dxa"/>
            <w:tcBorders>
              <w:tl2br w:val="nil"/>
              <w:tr2bl w:val="nil"/>
            </w:tcBorders>
            <w:noWrap w:val="0"/>
            <w:vAlign w:val="center"/>
          </w:tcPr>
          <w:p w14:paraId="2F3F77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11.003 </w:t>
            </w:r>
          </w:p>
        </w:tc>
      </w:tr>
      <w:tr w14:paraId="445DB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48AE0979">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EBB5DE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999" w:type="dxa"/>
            <w:tcBorders>
              <w:tl2br w:val="nil"/>
              <w:tr2bl w:val="nil"/>
            </w:tcBorders>
            <w:noWrap w:val="0"/>
            <w:vAlign w:val="center"/>
          </w:tcPr>
          <w:p w14:paraId="2879317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11.111 </w:t>
            </w:r>
          </w:p>
        </w:tc>
        <w:tc>
          <w:tcPr>
            <w:tcW w:w="913" w:type="dxa"/>
            <w:tcBorders>
              <w:tl2br w:val="nil"/>
              <w:tr2bl w:val="nil"/>
            </w:tcBorders>
            <w:noWrap w:val="0"/>
            <w:vAlign w:val="center"/>
          </w:tcPr>
          <w:p w14:paraId="364322B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11.105 </w:t>
            </w:r>
          </w:p>
        </w:tc>
        <w:tc>
          <w:tcPr>
            <w:tcW w:w="911" w:type="dxa"/>
            <w:tcBorders>
              <w:tl2br w:val="nil"/>
              <w:tr2bl w:val="nil"/>
            </w:tcBorders>
            <w:noWrap w:val="0"/>
            <w:vAlign w:val="center"/>
          </w:tcPr>
          <w:p w14:paraId="61159042">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11.082 </w:t>
            </w:r>
          </w:p>
        </w:tc>
        <w:tc>
          <w:tcPr>
            <w:tcW w:w="912" w:type="dxa"/>
            <w:tcBorders>
              <w:tl2br w:val="nil"/>
              <w:tr2bl w:val="nil"/>
            </w:tcBorders>
            <w:noWrap w:val="0"/>
            <w:vAlign w:val="center"/>
          </w:tcPr>
          <w:p w14:paraId="7385694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11.054 </w:t>
            </w:r>
          </w:p>
        </w:tc>
        <w:tc>
          <w:tcPr>
            <w:tcW w:w="960" w:type="dxa"/>
            <w:tcBorders>
              <w:tl2br w:val="nil"/>
              <w:tr2bl w:val="nil"/>
            </w:tcBorders>
            <w:noWrap w:val="0"/>
            <w:vAlign w:val="center"/>
          </w:tcPr>
          <w:p w14:paraId="330CBF98">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11.030 </w:t>
            </w:r>
          </w:p>
        </w:tc>
        <w:tc>
          <w:tcPr>
            <w:tcW w:w="960" w:type="dxa"/>
            <w:tcBorders>
              <w:tl2br w:val="nil"/>
              <w:tr2bl w:val="nil"/>
            </w:tcBorders>
            <w:noWrap w:val="0"/>
            <w:vAlign w:val="center"/>
          </w:tcPr>
          <w:p w14:paraId="218AE3A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11.014 </w:t>
            </w:r>
          </w:p>
        </w:tc>
        <w:tc>
          <w:tcPr>
            <w:tcW w:w="960" w:type="dxa"/>
            <w:tcBorders>
              <w:tl2br w:val="nil"/>
              <w:tr2bl w:val="nil"/>
            </w:tcBorders>
            <w:noWrap w:val="0"/>
            <w:vAlign w:val="center"/>
          </w:tcPr>
          <w:p w14:paraId="7EDB041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11.006 </w:t>
            </w:r>
          </w:p>
        </w:tc>
      </w:tr>
      <w:tr w14:paraId="3864B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17A25AD5">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A595B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 </w:t>
            </w:r>
          </w:p>
        </w:tc>
        <w:tc>
          <w:tcPr>
            <w:tcW w:w="999" w:type="dxa"/>
            <w:tcBorders>
              <w:tl2br w:val="nil"/>
              <w:tr2bl w:val="nil"/>
            </w:tcBorders>
            <w:noWrap w:val="0"/>
            <w:vAlign w:val="center"/>
          </w:tcPr>
          <w:p w14:paraId="0C59FA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11.097 </w:t>
            </w:r>
          </w:p>
        </w:tc>
        <w:tc>
          <w:tcPr>
            <w:tcW w:w="913" w:type="dxa"/>
            <w:tcBorders>
              <w:tl2br w:val="nil"/>
              <w:tr2bl w:val="nil"/>
            </w:tcBorders>
            <w:shd w:val="clear" w:color="auto" w:fill="auto"/>
            <w:noWrap w:val="0"/>
            <w:vAlign w:val="center"/>
          </w:tcPr>
          <w:p w14:paraId="09C59F8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11.092 </w:t>
            </w:r>
          </w:p>
        </w:tc>
        <w:tc>
          <w:tcPr>
            <w:tcW w:w="911" w:type="dxa"/>
            <w:tcBorders>
              <w:tl2br w:val="nil"/>
              <w:tr2bl w:val="nil"/>
            </w:tcBorders>
            <w:noWrap w:val="0"/>
            <w:vAlign w:val="center"/>
          </w:tcPr>
          <w:p w14:paraId="2B8372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11.077 </w:t>
            </w:r>
          </w:p>
        </w:tc>
        <w:tc>
          <w:tcPr>
            <w:tcW w:w="912" w:type="dxa"/>
            <w:tcBorders>
              <w:tl2br w:val="nil"/>
              <w:tr2bl w:val="nil"/>
            </w:tcBorders>
            <w:noWrap w:val="0"/>
            <w:vAlign w:val="center"/>
          </w:tcPr>
          <w:p w14:paraId="0CC890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11.056 </w:t>
            </w:r>
          </w:p>
        </w:tc>
        <w:tc>
          <w:tcPr>
            <w:tcW w:w="960" w:type="dxa"/>
            <w:tcBorders>
              <w:tl2br w:val="nil"/>
              <w:tr2bl w:val="nil"/>
            </w:tcBorders>
            <w:noWrap w:val="0"/>
            <w:vAlign w:val="center"/>
          </w:tcPr>
          <w:p w14:paraId="2890BB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11.036 </w:t>
            </w:r>
          </w:p>
        </w:tc>
        <w:tc>
          <w:tcPr>
            <w:tcW w:w="960" w:type="dxa"/>
            <w:tcBorders>
              <w:tl2br w:val="nil"/>
              <w:tr2bl w:val="nil"/>
            </w:tcBorders>
            <w:noWrap w:val="0"/>
            <w:vAlign w:val="center"/>
          </w:tcPr>
          <w:p w14:paraId="685EDE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11.021 </w:t>
            </w:r>
          </w:p>
        </w:tc>
        <w:tc>
          <w:tcPr>
            <w:tcW w:w="960" w:type="dxa"/>
            <w:tcBorders>
              <w:tl2br w:val="nil"/>
              <w:tr2bl w:val="nil"/>
            </w:tcBorders>
            <w:noWrap w:val="0"/>
            <w:vAlign w:val="center"/>
          </w:tcPr>
          <w:p w14:paraId="16076C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11.011 </w:t>
            </w:r>
          </w:p>
        </w:tc>
      </w:tr>
      <w:tr w14:paraId="56AE2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4004F575">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1F3C3EFB">
            <w:pPr>
              <w:keepNext w:val="0"/>
              <w:keepLines w:val="0"/>
              <w:widowControl/>
              <w:suppressLineNumbers w:val="0"/>
              <w:jc w:val="center"/>
              <w:textAlignment w:val="center"/>
              <w:rPr>
                <w:rFonts w:hint="default"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3000</w:t>
            </w:r>
          </w:p>
        </w:tc>
        <w:tc>
          <w:tcPr>
            <w:tcW w:w="999" w:type="dxa"/>
            <w:tcBorders>
              <w:tl2br w:val="nil"/>
              <w:tr2bl w:val="nil"/>
            </w:tcBorders>
            <w:noWrap w:val="0"/>
            <w:vAlign w:val="center"/>
          </w:tcPr>
          <w:p w14:paraId="1F71651B">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11.079 </w:t>
            </w:r>
          </w:p>
        </w:tc>
        <w:tc>
          <w:tcPr>
            <w:tcW w:w="913" w:type="dxa"/>
            <w:tcBorders>
              <w:tl2br w:val="nil"/>
              <w:tr2bl w:val="nil"/>
            </w:tcBorders>
            <w:noWrap w:val="0"/>
            <w:vAlign w:val="center"/>
          </w:tcPr>
          <w:p w14:paraId="00C4D79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11.076 </w:t>
            </w:r>
          </w:p>
        </w:tc>
        <w:tc>
          <w:tcPr>
            <w:tcW w:w="911" w:type="dxa"/>
            <w:tcBorders>
              <w:tl2br w:val="nil"/>
              <w:tr2bl w:val="nil"/>
            </w:tcBorders>
            <w:noWrap w:val="0"/>
            <w:vAlign w:val="center"/>
          </w:tcPr>
          <w:p w14:paraId="7E24306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11.068 </w:t>
            </w:r>
          </w:p>
        </w:tc>
        <w:tc>
          <w:tcPr>
            <w:tcW w:w="912" w:type="dxa"/>
            <w:tcBorders>
              <w:tl2br w:val="nil"/>
              <w:tr2bl w:val="nil"/>
            </w:tcBorders>
            <w:noWrap w:val="0"/>
            <w:vAlign w:val="center"/>
          </w:tcPr>
          <w:p w14:paraId="6E2CBFD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11.055 </w:t>
            </w:r>
          </w:p>
        </w:tc>
        <w:tc>
          <w:tcPr>
            <w:tcW w:w="960" w:type="dxa"/>
            <w:tcBorders>
              <w:tl2br w:val="nil"/>
              <w:tr2bl w:val="nil"/>
            </w:tcBorders>
            <w:noWrap w:val="0"/>
            <w:vAlign w:val="center"/>
          </w:tcPr>
          <w:p w14:paraId="43D11EB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11.041 </w:t>
            </w:r>
          </w:p>
        </w:tc>
        <w:tc>
          <w:tcPr>
            <w:tcW w:w="960" w:type="dxa"/>
            <w:tcBorders>
              <w:tl2br w:val="nil"/>
              <w:tr2bl w:val="nil"/>
            </w:tcBorders>
            <w:noWrap w:val="0"/>
            <w:vAlign w:val="center"/>
          </w:tcPr>
          <w:p w14:paraId="6C682CC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11.028 </w:t>
            </w:r>
          </w:p>
        </w:tc>
        <w:tc>
          <w:tcPr>
            <w:tcW w:w="960" w:type="dxa"/>
            <w:tcBorders>
              <w:tl2br w:val="nil"/>
              <w:tr2bl w:val="nil"/>
            </w:tcBorders>
            <w:noWrap w:val="0"/>
            <w:vAlign w:val="center"/>
          </w:tcPr>
          <w:p w14:paraId="58FB7A7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11.018 </w:t>
            </w:r>
          </w:p>
        </w:tc>
      </w:tr>
      <w:tr w14:paraId="4EF728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30EAFBDC">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AA06E9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4200</w:t>
            </w:r>
          </w:p>
        </w:tc>
        <w:tc>
          <w:tcPr>
            <w:tcW w:w="999" w:type="dxa"/>
            <w:tcBorders>
              <w:tl2br w:val="nil"/>
              <w:tr2bl w:val="nil"/>
            </w:tcBorders>
            <w:noWrap w:val="0"/>
            <w:vAlign w:val="center"/>
          </w:tcPr>
          <w:p w14:paraId="45BBB374">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11.066 </w:t>
            </w:r>
          </w:p>
        </w:tc>
        <w:tc>
          <w:tcPr>
            <w:tcW w:w="913" w:type="dxa"/>
            <w:tcBorders>
              <w:tl2br w:val="nil"/>
              <w:tr2bl w:val="nil"/>
            </w:tcBorders>
            <w:noWrap w:val="0"/>
            <w:vAlign w:val="center"/>
          </w:tcPr>
          <w:p w14:paraId="55A15E58">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11.065 </w:t>
            </w:r>
          </w:p>
        </w:tc>
        <w:tc>
          <w:tcPr>
            <w:tcW w:w="911" w:type="dxa"/>
            <w:tcBorders>
              <w:tl2br w:val="nil"/>
              <w:tr2bl w:val="nil"/>
            </w:tcBorders>
            <w:noWrap w:val="0"/>
            <w:vAlign w:val="center"/>
          </w:tcPr>
          <w:p w14:paraId="0BB29FDF">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11.060 </w:t>
            </w:r>
          </w:p>
        </w:tc>
        <w:tc>
          <w:tcPr>
            <w:tcW w:w="912" w:type="dxa"/>
            <w:tcBorders>
              <w:tl2br w:val="nil"/>
              <w:tr2bl w:val="nil"/>
            </w:tcBorders>
            <w:noWrap w:val="0"/>
            <w:vAlign w:val="center"/>
          </w:tcPr>
          <w:p w14:paraId="54F8443F">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11.051 </w:t>
            </w:r>
          </w:p>
        </w:tc>
        <w:tc>
          <w:tcPr>
            <w:tcW w:w="960" w:type="dxa"/>
            <w:tcBorders>
              <w:tl2br w:val="nil"/>
              <w:tr2bl w:val="nil"/>
            </w:tcBorders>
            <w:noWrap w:val="0"/>
            <w:vAlign w:val="center"/>
          </w:tcPr>
          <w:p w14:paraId="01435878">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11.042 </w:t>
            </w:r>
          </w:p>
        </w:tc>
        <w:tc>
          <w:tcPr>
            <w:tcW w:w="960" w:type="dxa"/>
            <w:tcBorders>
              <w:tl2br w:val="nil"/>
              <w:tr2bl w:val="nil"/>
            </w:tcBorders>
            <w:noWrap w:val="0"/>
            <w:vAlign w:val="center"/>
          </w:tcPr>
          <w:p w14:paraId="7B6CE642">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11.032 </w:t>
            </w:r>
          </w:p>
        </w:tc>
        <w:tc>
          <w:tcPr>
            <w:tcW w:w="960" w:type="dxa"/>
            <w:tcBorders>
              <w:tl2br w:val="nil"/>
              <w:tr2bl w:val="nil"/>
            </w:tcBorders>
            <w:noWrap w:val="0"/>
            <w:vAlign w:val="center"/>
          </w:tcPr>
          <w:p w14:paraId="3363DC2B">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11.023 </w:t>
            </w:r>
          </w:p>
        </w:tc>
      </w:tr>
    </w:tbl>
    <w:p w14:paraId="577DB446">
      <w:pPr>
        <w:pStyle w:val="102"/>
        <w:snapToGrid w:val="0"/>
        <w:spacing w:line="240" w:lineRule="auto"/>
        <w:jc w:val="center"/>
        <w:rPr>
          <w:rFonts w:hint="default" w:ascii="Times New Roman" w:hAnsi="Times New Roman" w:cs="Times New Roman"/>
          <w:b/>
          <w:bCs/>
          <w:color w:val="auto"/>
          <w:sz w:val="21"/>
          <w:highlight w:val="none"/>
        </w:rPr>
      </w:pPr>
    </w:p>
    <w:p w14:paraId="1E173BA4">
      <w:pPr>
        <w:pStyle w:val="102"/>
        <w:snapToGrid w:val="0"/>
        <w:spacing w:line="240" w:lineRule="auto"/>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表</w:t>
      </w:r>
      <w:r>
        <w:rPr>
          <w:rFonts w:hint="default" w:ascii="Times New Roman" w:hAnsi="Times New Roman" w:cs="Times New Roman"/>
          <w:b/>
          <w:bCs/>
          <w:color w:val="auto"/>
          <w:sz w:val="21"/>
          <w:highlight w:val="none"/>
          <w:lang w:val="en-US" w:eastAsia="zh-CN"/>
        </w:rPr>
        <w:t>4.2-</w:t>
      </w:r>
      <w:r>
        <w:rPr>
          <w:rFonts w:hint="eastAsia" w:ascii="Times New Roman" w:cs="Times New Roman"/>
          <w:b/>
          <w:bCs/>
          <w:color w:val="auto"/>
          <w:sz w:val="21"/>
          <w:highlight w:val="none"/>
          <w:lang w:val="en-US" w:eastAsia="zh-CN"/>
        </w:rPr>
        <w:t>10</w:t>
      </w:r>
      <w:r>
        <w:rPr>
          <w:rFonts w:hint="default" w:ascii="Times New Roman" w:hAnsi="Times New Roman" w:cs="Times New Roman"/>
          <w:b/>
          <w:bCs/>
          <w:color w:val="auto"/>
          <w:sz w:val="21"/>
          <w:highlight w:val="none"/>
        </w:rPr>
        <w:t xml:space="preserve">  尾水正常排放NH</w:t>
      </w:r>
      <w:r>
        <w:rPr>
          <w:rFonts w:hint="default" w:ascii="Times New Roman" w:hAnsi="Times New Roman" w:cs="Times New Roman"/>
          <w:b/>
          <w:bCs/>
          <w:color w:val="auto"/>
          <w:sz w:val="21"/>
          <w:highlight w:val="none"/>
          <w:vertAlign w:val="subscript"/>
        </w:rPr>
        <w:t>3</w:t>
      </w:r>
      <w:r>
        <w:rPr>
          <w:rFonts w:hint="default" w:ascii="Times New Roman" w:hAnsi="Times New Roman" w:cs="Times New Roman"/>
          <w:b/>
          <w:bCs/>
          <w:color w:val="auto"/>
          <w:sz w:val="21"/>
          <w:highlight w:val="none"/>
        </w:rPr>
        <w:t>-N对</w:t>
      </w:r>
      <w:r>
        <w:rPr>
          <w:rFonts w:hint="default" w:ascii="Times New Roman" w:hAnsi="Times New Roman" w:cs="Times New Roman"/>
          <w:b/>
          <w:bCs/>
          <w:color w:val="auto"/>
          <w:sz w:val="21"/>
          <w:highlight w:val="none"/>
          <w:lang w:eastAsia="zh-CN"/>
        </w:rPr>
        <w:t>溢水河</w:t>
      </w:r>
      <w:r>
        <w:rPr>
          <w:rFonts w:hint="default" w:ascii="Times New Roman" w:hAnsi="Times New Roman" w:cs="Times New Roman"/>
          <w:b/>
          <w:bCs/>
          <w:color w:val="auto"/>
          <w:sz w:val="21"/>
          <w:highlight w:val="none"/>
        </w:rPr>
        <w:t>水环境影响预测  单位：mg/L</w:t>
      </w:r>
    </w:p>
    <w:tbl>
      <w:tblPr>
        <w:tblStyle w:val="31"/>
        <w:tblW w:w="84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053"/>
        <w:gridCol w:w="999"/>
        <w:gridCol w:w="913"/>
        <w:gridCol w:w="911"/>
        <w:gridCol w:w="912"/>
        <w:gridCol w:w="960"/>
        <w:gridCol w:w="960"/>
        <w:gridCol w:w="960"/>
      </w:tblGrid>
      <w:tr w14:paraId="50A1E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766" w:type="dxa"/>
            <w:tcBorders>
              <w:tl2br w:val="nil"/>
              <w:tr2bl w:val="nil"/>
            </w:tcBorders>
            <w:noWrap w:val="0"/>
            <w:vAlign w:val="center"/>
          </w:tcPr>
          <w:p w14:paraId="5819BBAB">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阶段</w:t>
            </w:r>
          </w:p>
        </w:tc>
        <w:tc>
          <w:tcPr>
            <w:tcW w:w="1053" w:type="dxa"/>
            <w:tcBorders>
              <w:tl2br w:val="nil"/>
              <w:tr2bl w:val="nil"/>
            </w:tcBorders>
            <w:noWrap w:val="0"/>
            <w:vAlign w:val="center"/>
          </w:tcPr>
          <w:p w14:paraId="43B84184">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Y/X</w:t>
            </w:r>
          </w:p>
        </w:tc>
        <w:tc>
          <w:tcPr>
            <w:tcW w:w="999" w:type="dxa"/>
            <w:tcBorders>
              <w:tl2br w:val="nil"/>
              <w:tr2bl w:val="nil"/>
            </w:tcBorders>
            <w:noWrap w:val="0"/>
            <w:vAlign w:val="center"/>
          </w:tcPr>
          <w:p w14:paraId="63792C1A">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5</w:t>
            </w:r>
          </w:p>
        </w:tc>
        <w:tc>
          <w:tcPr>
            <w:tcW w:w="913" w:type="dxa"/>
            <w:tcBorders>
              <w:tl2br w:val="nil"/>
              <w:tr2bl w:val="nil"/>
            </w:tcBorders>
            <w:noWrap w:val="0"/>
            <w:vAlign w:val="center"/>
          </w:tcPr>
          <w:p w14:paraId="2212EE44">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10</w:t>
            </w:r>
          </w:p>
        </w:tc>
        <w:tc>
          <w:tcPr>
            <w:tcW w:w="911" w:type="dxa"/>
            <w:tcBorders>
              <w:tl2br w:val="nil"/>
              <w:tr2bl w:val="nil"/>
            </w:tcBorders>
            <w:noWrap w:val="0"/>
            <w:vAlign w:val="center"/>
          </w:tcPr>
          <w:p w14:paraId="3B886257">
            <w:pPr>
              <w:pStyle w:val="64"/>
              <w:adjustRightInd w:val="0"/>
              <w:snapToGrid w:val="0"/>
              <w:spacing w:line="240" w:lineRule="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20</w:t>
            </w:r>
          </w:p>
        </w:tc>
        <w:tc>
          <w:tcPr>
            <w:tcW w:w="912" w:type="dxa"/>
            <w:tcBorders>
              <w:tl2br w:val="nil"/>
              <w:tr2bl w:val="nil"/>
            </w:tcBorders>
            <w:noWrap w:val="0"/>
            <w:vAlign w:val="center"/>
          </w:tcPr>
          <w:p w14:paraId="6D35E73D">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30</w:t>
            </w:r>
          </w:p>
        </w:tc>
        <w:tc>
          <w:tcPr>
            <w:tcW w:w="960" w:type="dxa"/>
            <w:tcBorders>
              <w:tl2br w:val="nil"/>
              <w:tr2bl w:val="nil"/>
            </w:tcBorders>
            <w:noWrap w:val="0"/>
            <w:vAlign w:val="center"/>
          </w:tcPr>
          <w:p w14:paraId="640F4534">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40</w:t>
            </w:r>
          </w:p>
        </w:tc>
        <w:tc>
          <w:tcPr>
            <w:tcW w:w="960" w:type="dxa"/>
            <w:tcBorders>
              <w:tl2br w:val="nil"/>
              <w:tr2bl w:val="nil"/>
            </w:tcBorders>
            <w:noWrap w:val="0"/>
            <w:vAlign w:val="center"/>
          </w:tcPr>
          <w:p w14:paraId="1FA370BA">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50</w:t>
            </w:r>
          </w:p>
        </w:tc>
        <w:tc>
          <w:tcPr>
            <w:tcW w:w="960" w:type="dxa"/>
            <w:tcBorders>
              <w:tl2br w:val="nil"/>
              <w:tr2bl w:val="nil"/>
            </w:tcBorders>
            <w:noWrap w:val="0"/>
            <w:vAlign w:val="center"/>
          </w:tcPr>
          <w:p w14:paraId="793235D6">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60</w:t>
            </w:r>
          </w:p>
        </w:tc>
      </w:tr>
      <w:tr w14:paraId="626C46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restart"/>
            <w:tcBorders>
              <w:tl2br w:val="nil"/>
              <w:tr2bl w:val="nil"/>
            </w:tcBorders>
            <w:noWrap w:val="0"/>
            <w:vAlign w:val="center"/>
          </w:tcPr>
          <w:p w14:paraId="156BF7D0">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混合</w:t>
            </w:r>
          </w:p>
          <w:p w14:paraId="1E32D1A0">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过程段</w:t>
            </w:r>
          </w:p>
        </w:tc>
        <w:tc>
          <w:tcPr>
            <w:tcW w:w="1053" w:type="dxa"/>
            <w:tcBorders>
              <w:tl2br w:val="nil"/>
              <w:tr2bl w:val="nil"/>
            </w:tcBorders>
            <w:noWrap w:val="0"/>
            <w:vAlign w:val="center"/>
          </w:tcPr>
          <w:p w14:paraId="2E5F75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 </w:t>
            </w:r>
          </w:p>
        </w:tc>
        <w:tc>
          <w:tcPr>
            <w:tcW w:w="999" w:type="dxa"/>
            <w:tcBorders>
              <w:tl2br w:val="nil"/>
              <w:tr2bl w:val="nil"/>
            </w:tcBorders>
            <w:noWrap w:val="0"/>
            <w:vAlign w:val="center"/>
          </w:tcPr>
          <w:p w14:paraId="42B83E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13" w:type="dxa"/>
            <w:tcBorders>
              <w:tl2br w:val="nil"/>
              <w:tr2bl w:val="nil"/>
            </w:tcBorders>
            <w:noWrap w:val="0"/>
            <w:vAlign w:val="center"/>
          </w:tcPr>
          <w:p w14:paraId="5C3D94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11" w:type="dxa"/>
            <w:tcBorders>
              <w:tl2br w:val="nil"/>
              <w:tr2bl w:val="nil"/>
            </w:tcBorders>
            <w:noWrap w:val="0"/>
            <w:vAlign w:val="center"/>
          </w:tcPr>
          <w:p w14:paraId="2D9934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12" w:type="dxa"/>
            <w:tcBorders>
              <w:tl2br w:val="nil"/>
              <w:tr2bl w:val="nil"/>
            </w:tcBorders>
            <w:noWrap w:val="0"/>
            <w:vAlign w:val="center"/>
          </w:tcPr>
          <w:p w14:paraId="50ED48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0D13AA9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03332F8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7E4BF79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2E3FD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42D95BEF">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119259A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999" w:type="dxa"/>
            <w:tcBorders>
              <w:tl2br w:val="nil"/>
              <w:tr2bl w:val="nil"/>
            </w:tcBorders>
            <w:noWrap w:val="0"/>
            <w:vAlign w:val="center"/>
          </w:tcPr>
          <w:p w14:paraId="2CE08DB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0.225 </w:t>
            </w:r>
          </w:p>
        </w:tc>
        <w:tc>
          <w:tcPr>
            <w:tcW w:w="913" w:type="dxa"/>
            <w:tcBorders>
              <w:tl2br w:val="nil"/>
              <w:tr2bl w:val="nil"/>
            </w:tcBorders>
            <w:noWrap w:val="0"/>
            <w:vAlign w:val="center"/>
          </w:tcPr>
          <w:p w14:paraId="2BA5F1C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11" w:type="dxa"/>
            <w:tcBorders>
              <w:tl2br w:val="nil"/>
              <w:tr2bl w:val="nil"/>
            </w:tcBorders>
            <w:noWrap w:val="0"/>
            <w:vAlign w:val="center"/>
          </w:tcPr>
          <w:p w14:paraId="0F31A15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12" w:type="dxa"/>
            <w:tcBorders>
              <w:tl2br w:val="nil"/>
              <w:tr2bl w:val="nil"/>
            </w:tcBorders>
            <w:noWrap w:val="0"/>
            <w:vAlign w:val="center"/>
          </w:tcPr>
          <w:p w14:paraId="58FDFAE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2E41EE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60F04C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3E5AE7B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10F9B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184441E">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4A091C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 </w:t>
            </w:r>
          </w:p>
        </w:tc>
        <w:tc>
          <w:tcPr>
            <w:tcW w:w="999" w:type="dxa"/>
            <w:tcBorders>
              <w:tl2br w:val="nil"/>
              <w:tr2bl w:val="nil"/>
            </w:tcBorders>
            <w:noWrap w:val="0"/>
            <w:vAlign w:val="center"/>
          </w:tcPr>
          <w:p w14:paraId="2EE34D8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0.269 </w:t>
            </w:r>
          </w:p>
        </w:tc>
        <w:tc>
          <w:tcPr>
            <w:tcW w:w="913" w:type="dxa"/>
            <w:tcBorders>
              <w:tl2br w:val="nil"/>
              <w:tr2bl w:val="nil"/>
            </w:tcBorders>
            <w:noWrap w:val="0"/>
            <w:vAlign w:val="center"/>
          </w:tcPr>
          <w:p w14:paraId="02B3C68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0.223 </w:t>
            </w:r>
          </w:p>
        </w:tc>
        <w:tc>
          <w:tcPr>
            <w:tcW w:w="911" w:type="dxa"/>
            <w:tcBorders>
              <w:tl2br w:val="nil"/>
              <w:tr2bl w:val="nil"/>
            </w:tcBorders>
            <w:noWrap w:val="0"/>
            <w:vAlign w:val="center"/>
          </w:tcPr>
          <w:p w14:paraId="24E172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12" w:type="dxa"/>
            <w:tcBorders>
              <w:tl2br w:val="nil"/>
              <w:tr2bl w:val="nil"/>
            </w:tcBorders>
            <w:noWrap w:val="0"/>
            <w:vAlign w:val="center"/>
          </w:tcPr>
          <w:p w14:paraId="3EC8EA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6395E1D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0DC721B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30F8EA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272CB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66" w:type="dxa"/>
            <w:vMerge w:val="continue"/>
            <w:tcBorders>
              <w:tl2br w:val="nil"/>
              <w:tr2bl w:val="nil"/>
            </w:tcBorders>
            <w:noWrap w:val="0"/>
            <w:vAlign w:val="center"/>
          </w:tcPr>
          <w:p w14:paraId="05BD0678">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4037519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999" w:type="dxa"/>
            <w:tcBorders>
              <w:tl2br w:val="nil"/>
              <w:tr2bl w:val="nil"/>
            </w:tcBorders>
            <w:noWrap w:val="0"/>
            <w:vAlign w:val="center"/>
          </w:tcPr>
          <w:p w14:paraId="3C2739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0.267 </w:t>
            </w:r>
          </w:p>
        </w:tc>
        <w:tc>
          <w:tcPr>
            <w:tcW w:w="913" w:type="dxa"/>
            <w:tcBorders>
              <w:tl2br w:val="nil"/>
              <w:tr2bl w:val="nil"/>
            </w:tcBorders>
            <w:noWrap w:val="0"/>
            <w:vAlign w:val="center"/>
          </w:tcPr>
          <w:p w14:paraId="3C6CFB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0.236 </w:t>
            </w:r>
          </w:p>
        </w:tc>
        <w:tc>
          <w:tcPr>
            <w:tcW w:w="911" w:type="dxa"/>
            <w:tcBorders>
              <w:tl2br w:val="nil"/>
              <w:tr2bl w:val="nil"/>
            </w:tcBorders>
            <w:noWrap w:val="0"/>
            <w:vAlign w:val="center"/>
          </w:tcPr>
          <w:p w14:paraId="46B4FF4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12" w:type="dxa"/>
            <w:tcBorders>
              <w:tl2br w:val="nil"/>
              <w:tr2bl w:val="nil"/>
            </w:tcBorders>
            <w:noWrap w:val="0"/>
            <w:vAlign w:val="center"/>
          </w:tcPr>
          <w:p w14:paraId="74AD798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42B68EC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49CB712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1D906D8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43CCC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1C12B89F">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ADAED2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 </w:t>
            </w:r>
          </w:p>
        </w:tc>
        <w:tc>
          <w:tcPr>
            <w:tcW w:w="999" w:type="dxa"/>
            <w:tcBorders>
              <w:tl2br w:val="nil"/>
              <w:tr2bl w:val="nil"/>
            </w:tcBorders>
            <w:noWrap w:val="0"/>
            <w:vAlign w:val="center"/>
          </w:tcPr>
          <w:p w14:paraId="6A9D46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0.262 </w:t>
            </w:r>
          </w:p>
        </w:tc>
        <w:tc>
          <w:tcPr>
            <w:tcW w:w="913" w:type="dxa"/>
            <w:tcBorders>
              <w:tl2br w:val="nil"/>
              <w:tr2bl w:val="nil"/>
            </w:tcBorders>
            <w:noWrap w:val="0"/>
            <w:vAlign w:val="center"/>
          </w:tcPr>
          <w:p w14:paraId="7AED010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0.240 </w:t>
            </w:r>
          </w:p>
        </w:tc>
        <w:tc>
          <w:tcPr>
            <w:tcW w:w="911" w:type="dxa"/>
            <w:tcBorders>
              <w:tl2br w:val="nil"/>
              <w:tr2bl w:val="nil"/>
            </w:tcBorders>
            <w:noWrap w:val="0"/>
            <w:vAlign w:val="center"/>
          </w:tcPr>
          <w:p w14:paraId="6004226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912" w:type="dxa"/>
            <w:tcBorders>
              <w:tl2br w:val="nil"/>
              <w:tr2bl w:val="nil"/>
            </w:tcBorders>
            <w:noWrap w:val="0"/>
            <w:vAlign w:val="center"/>
          </w:tcPr>
          <w:p w14:paraId="33B8FA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42355F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3E29BD2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20683F0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4E347D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5B7EFC48">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662C84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999" w:type="dxa"/>
            <w:tcBorders>
              <w:tl2br w:val="nil"/>
              <w:tr2bl w:val="nil"/>
            </w:tcBorders>
            <w:noWrap w:val="0"/>
            <w:vAlign w:val="center"/>
          </w:tcPr>
          <w:p w14:paraId="27940C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0.258 </w:t>
            </w:r>
          </w:p>
        </w:tc>
        <w:tc>
          <w:tcPr>
            <w:tcW w:w="913" w:type="dxa"/>
            <w:tcBorders>
              <w:tl2br w:val="nil"/>
              <w:tr2bl w:val="nil"/>
            </w:tcBorders>
            <w:noWrap w:val="0"/>
            <w:vAlign w:val="center"/>
          </w:tcPr>
          <w:p w14:paraId="7F68B9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0.242 </w:t>
            </w:r>
          </w:p>
        </w:tc>
        <w:tc>
          <w:tcPr>
            <w:tcW w:w="911" w:type="dxa"/>
            <w:tcBorders>
              <w:tl2br w:val="nil"/>
              <w:tr2bl w:val="nil"/>
            </w:tcBorders>
            <w:noWrap w:val="0"/>
            <w:vAlign w:val="center"/>
          </w:tcPr>
          <w:p w14:paraId="05A41D2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0.219 </w:t>
            </w:r>
          </w:p>
        </w:tc>
        <w:tc>
          <w:tcPr>
            <w:tcW w:w="912" w:type="dxa"/>
            <w:tcBorders>
              <w:tl2br w:val="nil"/>
              <w:tr2bl w:val="nil"/>
            </w:tcBorders>
            <w:noWrap w:val="0"/>
            <w:vAlign w:val="center"/>
          </w:tcPr>
          <w:p w14:paraId="2605913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145F46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3206ED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75BF474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B93F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410FE6A8">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36726C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 </w:t>
            </w:r>
          </w:p>
        </w:tc>
        <w:tc>
          <w:tcPr>
            <w:tcW w:w="999" w:type="dxa"/>
            <w:tcBorders>
              <w:tl2br w:val="nil"/>
              <w:tr2bl w:val="nil"/>
            </w:tcBorders>
            <w:noWrap w:val="0"/>
            <w:vAlign w:val="center"/>
          </w:tcPr>
          <w:p w14:paraId="5BA405A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0.255 </w:t>
            </w:r>
          </w:p>
        </w:tc>
        <w:tc>
          <w:tcPr>
            <w:tcW w:w="913" w:type="dxa"/>
            <w:tcBorders>
              <w:tl2br w:val="nil"/>
              <w:tr2bl w:val="nil"/>
            </w:tcBorders>
            <w:noWrap w:val="0"/>
            <w:vAlign w:val="center"/>
          </w:tcPr>
          <w:p w14:paraId="22CDD65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0.242 </w:t>
            </w:r>
          </w:p>
        </w:tc>
        <w:tc>
          <w:tcPr>
            <w:tcW w:w="911" w:type="dxa"/>
            <w:tcBorders>
              <w:tl2br w:val="nil"/>
              <w:tr2bl w:val="nil"/>
            </w:tcBorders>
            <w:noWrap w:val="0"/>
            <w:vAlign w:val="center"/>
          </w:tcPr>
          <w:p w14:paraId="4ADDC57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c>
          <w:tcPr>
            <w:tcW w:w="912" w:type="dxa"/>
            <w:tcBorders>
              <w:tl2br w:val="nil"/>
              <w:tr2bl w:val="nil"/>
            </w:tcBorders>
            <w:noWrap w:val="0"/>
            <w:vAlign w:val="center"/>
          </w:tcPr>
          <w:p w14:paraId="64A1711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60" w:type="dxa"/>
            <w:tcBorders>
              <w:tl2br w:val="nil"/>
              <w:tr2bl w:val="nil"/>
            </w:tcBorders>
            <w:noWrap w:val="0"/>
            <w:vAlign w:val="center"/>
          </w:tcPr>
          <w:p w14:paraId="22F5871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5FF2550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0F9888C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2BDC7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2709C46C">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4FEDF2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 </w:t>
            </w:r>
          </w:p>
        </w:tc>
        <w:tc>
          <w:tcPr>
            <w:tcW w:w="999" w:type="dxa"/>
            <w:tcBorders>
              <w:tl2br w:val="nil"/>
              <w:tr2bl w:val="nil"/>
            </w:tcBorders>
            <w:noWrap w:val="0"/>
            <w:vAlign w:val="center"/>
          </w:tcPr>
          <w:p w14:paraId="03FD0E1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0.252 </w:t>
            </w:r>
          </w:p>
        </w:tc>
        <w:tc>
          <w:tcPr>
            <w:tcW w:w="913" w:type="dxa"/>
            <w:tcBorders>
              <w:tl2br w:val="nil"/>
              <w:tr2bl w:val="nil"/>
            </w:tcBorders>
            <w:noWrap w:val="0"/>
            <w:vAlign w:val="center"/>
          </w:tcPr>
          <w:p w14:paraId="7535738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0.242 </w:t>
            </w:r>
          </w:p>
        </w:tc>
        <w:tc>
          <w:tcPr>
            <w:tcW w:w="911" w:type="dxa"/>
            <w:tcBorders>
              <w:tl2br w:val="nil"/>
              <w:tr2bl w:val="nil"/>
            </w:tcBorders>
            <w:noWrap w:val="0"/>
            <w:vAlign w:val="center"/>
          </w:tcPr>
          <w:p w14:paraId="12A3C2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0.223 </w:t>
            </w:r>
          </w:p>
        </w:tc>
        <w:tc>
          <w:tcPr>
            <w:tcW w:w="912" w:type="dxa"/>
            <w:tcBorders>
              <w:tl2br w:val="nil"/>
              <w:tr2bl w:val="nil"/>
            </w:tcBorders>
            <w:noWrap w:val="0"/>
            <w:vAlign w:val="center"/>
          </w:tcPr>
          <w:p w14:paraId="6B62FF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60" w:type="dxa"/>
            <w:tcBorders>
              <w:tl2br w:val="nil"/>
              <w:tr2bl w:val="nil"/>
            </w:tcBorders>
            <w:noWrap w:val="0"/>
            <w:vAlign w:val="center"/>
          </w:tcPr>
          <w:p w14:paraId="05C770E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675C1A0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26C9A43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2C989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66" w:type="dxa"/>
            <w:vMerge w:val="continue"/>
            <w:tcBorders>
              <w:tl2br w:val="nil"/>
              <w:tr2bl w:val="nil"/>
            </w:tcBorders>
            <w:noWrap w:val="0"/>
            <w:vAlign w:val="center"/>
          </w:tcPr>
          <w:p w14:paraId="5F5BAFDF">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A6AAD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999" w:type="dxa"/>
            <w:tcBorders>
              <w:tl2br w:val="nil"/>
              <w:tr2bl w:val="nil"/>
            </w:tcBorders>
            <w:noWrap w:val="0"/>
            <w:vAlign w:val="center"/>
          </w:tcPr>
          <w:p w14:paraId="3EAF1AA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0.250 </w:t>
            </w:r>
          </w:p>
        </w:tc>
        <w:tc>
          <w:tcPr>
            <w:tcW w:w="913" w:type="dxa"/>
            <w:tcBorders>
              <w:tl2br w:val="nil"/>
              <w:tr2bl w:val="nil"/>
            </w:tcBorders>
            <w:noWrap w:val="0"/>
            <w:vAlign w:val="center"/>
          </w:tcPr>
          <w:p w14:paraId="7633E7E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0.242 </w:t>
            </w:r>
          </w:p>
        </w:tc>
        <w:tc>
          <w:tcPr>
            <w:tcW w:w="911" w:type="dxa"/>
            <w:tcBorders>
              <w:tl2br w:val="nil"/>
              <w:tr2bl w:val="nil"/>
            </w:tcBorders>
            <w:noWrap w:val="0"/>
            <w:vAlign w:val="center"/>
          </w:tcPr>
          <w:p w14:paraId="6C69D9F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0.224 </w:t>
            </w:r>
          </w:p>
        </w:tc>
        <w:tc>
          <w:tcPr>
            <w:tcW w:w="912" w:type="dxa"/>
            <w:tcBorders>
              <w:tl2br w:val="nil"/>
              <w:tr2bl w:val="nil"/>
            </w:tcBorders>
            <w:noWrap w:val="0"/>
            <w:vAlign w:val="center"/>
          </w:tcPr>
          <w:p w14:paraId="63429F3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960" w:type="dxa"/>
            <w:tcBorders>
              <w:tl2br w:val="nil"/>
              <w:tr2bl w:val="nil"/>
            </w:tcBorders>
            <w:noWrap w:val="0"/>
            <w:vAlign w:val="center"/>
          </w:tcPr>
          <w:p w14:paraId="637678C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1C6E5EC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34BDDA7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5F314A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66" w:type="dxa"/>
            <w:vMerge w:val="continue"/>
            <w:tcBorders>
              <w:tl2br w:val="nil"/>
              <w:tr2bl w:val="nil"/>
            </w:tcBorders>
            <w:noWrap w:val="0"/>
            <w:vAlign w:val="center"/>
          </w:tcPr>
          <w:p w14:paraId="0924EE6A">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E670CB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 </w:t>
            </w:r>
          </w:p>
        </w:tc>
        <w:tc>
          <w:tcPr>
            <w:tcW w:w="999" w:type="dxa"/>
            <w:tcBorders>
              <w:tl2br w:val="nil"/>
              <w:tr2bl w:val="nil"/>
            </w:tcBorders>
            <w:noWrap w:val="0"/>
            <w:vAlign w:val="center"/>
          </w:tcPr>
          <w:p w14:paraId="3CA4AD8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0.248 </w:t>
            </w:r>
          </w:p>
        </w:tc>
        <w:tc>
          <w:tcPr>
            <w:tcW w:w="913" w:type="dxa"/>
            <w:tcBorders>
              <w:tl2br w:val="nil"/>
              <w:tr2bl w:val="nil"/>
            </w:tcBorders>
            <w:noWrap w:val="0"/>
            <w:vAlign w:val="center"/>
          </w:tcPr>
          <w:p w14:paraId="236576C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0.241 </w:t>
            </w:r>
          </w:p>
        </w:tc>
        <w:tc>
          <w:tcPr>
            <w:tcW w:w="911" w:type="dxa"/>
            <w:tcBorders>
              <w:tl2br w:val="nil"/>
              <w:tr2bl w:val="nil"/>
            </w:tcBorders>
            <w:noWrap w:val="0"/>
            <w:vAlign w:val="center"/>
          </w:tcPr>
          <w:p w14:paraId="73B5C4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0.225 </w:t>
            </w:r>
          </w:p>
        </w:tc>
        <w:tc>
          <w:tcPr>
            <w:tcW w:w="912" w:type="dxa"/>
            <w:tcBorders>
              <w:tl2br w:val="nil"/>
              <w:tr2bl w:val="nil"/>
            </w:tcBorders>
            <w:noWrap w:val="0"/>
            <w:vAlign w:val="center"/>
          </w:tcPr>
          <w:p w14:paraId="7BF09DB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960" w:type="dxa"/>
            <w:tcBorders>
              <w:tl2br w:val="nil"/>
              <w:tr2bl w:val="nil"/>
            </w:tcBorders>
            <w:noWrap w:val="0"/>
            <w:vAlign w:val="center"/>
          </w:tcPr>
          <w:p w14:paraId="43AAC7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0558084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2642EA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4C698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D1582EA">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AFB254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450 </w:t>
            </w:r>
          </w:p>
        </w:tc>
        <w:tc>
          <w:tcPr>
            <w:tcW w:w="999" w:type="dxa"/>
            <w:tcBorders>
              <w:tl2br w:val="nil"/>
              <w:tr2bl w:val="nil"/>
            </w:tcBorders>
            <w:noWrap w:val="0"/>
            <w:vAlign w:val="center"/>
          </w:tcPr>
          <w:p w14:paraId="5FB7F11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0.246 </w:t>
            </w:r>
          </w:p>
        </w:tc>
        <w:tc>
          <w:tcPr>
            <w:tcW w:w="913" w:type="dxa"/>
            <w:tcBorders>
              <w:tl2br w:val="nil"/>
              <w:tr2bl w:val="nil"/>
            </w:tcBorders>
            <w:noWrap w:val="0"/>
            <w:vAlign w:val="center"/>
          </w:tcPr>
          <w:p w14:paraId="6E776D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0.240 </w:t>
            </w:r>
          </w:p>
        </w:tc>
        <w:tc>
          <w:tcPr>
            <w:tcW w:w="911" w:type="dxa"/>
            <w:tcBorders>
              <w:tl2br w:val="nil"/>
              <w:tr2bl w:val="nil"/>
            </w:tcBorders>
            <w:noWrap w:val="0"/>
            <w:vAlign w:val="center"/>
          </w:tcPr>
          <w:p w14:paraId="5A911DA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0.226 </w:t>
            </w:r>
          </w:p>
        </w:tc>
        <w:tc>
          <w:tcPr>
            <w:tcW w:w="912" w:type="dxa"/>
            <w:tcBorders>
              <w:tl2br w:val="nil"/>
              <w:tr2bl w:val="nil"/>
            </w:tcBorders>
            <w:noWrap w:val="0"/>
            <w:vAlign w:val="center"/>
          </w:tcPr>
          <w:p w14:paraId="595F08A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960" w:type="dxa"/>
            <w:tcBorders>
              <w:tl2br w:val="nil"/>
              <w:tr2bl w:val="nil"/>
            </w:tcBorders>
            <w:noWrap w:val="0"/>
            <w:vAlign w:val="center"/>
          </w:tcPr>
          <w:p w14:paraId="1EF699A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7CD7FC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768C646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5CB8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32BF473E">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45E1C5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 </w:t>
            </w:r>
          </w:p>
        </w:tc>
        <w:tc>
          <w:tcPr>
            <w:tcW w:w="999" w:type="dxa"/>
            <w:tcBorders>
              <w:tl2br w:val="nil"/>
              <w:tr2bl w:val="nil"/>
            </w:tcBorders>
            <w:noWrap w:val="0"/>
            <w:vAlign w:val="center"/>
          </w:tcPr>
          <w:p w14:paraId="55EC09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0.245 </w:t>
            </w:r>
          </w:p>
        </w:tc>
        <w:tc>
          <w:tcPr>
            <w:tcW w:w="913" w:type="dxa"/>
            <w:tcBorders>
              <w:tl2br w:val="nil"/>
              <w:tr2bl w:val="nil"/>
            </w:tcBorders>
            <w:noWrap w:val="0"/>
            <w:vAlign w:val="center"/>
          </w:tcPr>
          <w:p w14:paraId="4BE4E3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0.240 </w:t>
            </w:r>
          </w:p>
        </w:tc>
        <w:tc>
          <w:tcPr>
            <w:tcW w:w="911" w:type="dxa"/>
            <w:tcBorders>
              <w:tl2br w:val="nil"/>
              <w:tr2bl w:val="nil"/>
            </w:tcBorders>
            <w:noWrap w:val="0"/>
            <w:vAlign w:val="center"/>
          </w:tcPr>
          <w:p w14:paraId="186EDDD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0.227 </w:t>
            </w:r>
          </w:p>
        </w:tc>
        <w:tc>
          <w:tcPr>
            <w:tcW w:w="912" w:type="dxa"/>
            <w:tcBorders>
              <w:tl2br w:val="nil"/>
              <w:tr2bl w:val="nil"/>
            </w:tcBorders>
            <w:noWrap w:val="0"/>
            <w:vAlign w:val="center"/>
          </w:tcPr>
          <w:p w14:paraId="6E880D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960" w:type="dxa"/>
            <w:tcBorders>
              <w:tl2br w:val="nil"/>
              <w:tr2bl w:val="nil"/>
            </w:tcBorders>
            <w:noWrap w:val="0"/>
            <w:vAlign w:val="center"/>
          </w:tcPr>
          <w:p w14:paraId="4F6978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60" w:type="dxa"/>
            <w:tcBorders>
              <w:tl2br w:val="nil"/>
              <w:tr2bl w:val="nil"/>
            </w:tcBorders>
            <w:noWrap w:val="0"/>
            <w:vAlign w:val="center"/>
          </w:tcPr>
          <w:p w14:paraId="540FE0C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27A6D50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1A545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5C50E2B">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362BEE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 </w:t>
            </w:r>
          </w:p>
        </w:tc>
        <w:tc>
          <w:tcPr>
            <w:tcW w:w="999" w:type="dxa"/>
            <w:tcBorders>
              <w:tl2br w:val="nil"/>
              <w:tr2bl w:val="nil"/>
            </w:tcBorders>
            <w:noWrap w:val="0"/>
            <w:vAlign w:val="center"/>
          </w:tcPr>
          <w:p w14:paraId="074ECC4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0.242 </w:t>
            </w:r>
          </w:p>
        </w:tc>
        <w:tc>
          <w:tcPr>
            <w:tcW w:w="913" w:type="dxa"/>
            <w:tcBorders>
              <w:tl2br w:val="nil"/>
              <w:tr2bl w:val="nil"/>
            </w:tcBorders>
            <w:noWrap w:val="0"/>
            <w:vAlign w:val="center"/>
          </w:tcPr>
          <w:p w14:paraId="09389CE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0.238 </w:t>
            </w:r>
          </w:p>
        </w:tc>
        <w:tc>
          <w:tcPr>
            <w:tcW w:w="911" w:type="dxa"/>
            <w:tcBorders>
              <w:tl2br w:val="nil"/>
              <w:tr2bl w:val="nil"/>
            </w:tcBorders>
            <w:noWrap w:val="0"/>
            <w:vAlign w:val="center"/>
          </w:tcPr>
          <w:p w14:paraId="584EC5C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0.228 </w:t>
            </w:r>
          </w:p>
        </w:tc>
        <w:tc>
          <w:tcPr>
            <w:tcW w:w="912" w:type="dxa"/>
            <w:tcBorders>
              <w:tl2br w:val="nil"/>
              <w:tr2bl w:val="nil"/>
            </w:tcBorders>
            <w:noWrap w:val="0"/>
            <w:vAlign w:val="center"/>
          </w:tcPr>
          <w:p w14:paraId="71DF190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0.219 </w:t>
            </w:r>
          </w:p>
        </w:tc>
        <w:tc>
          <w:tcPr>
            <w:tcW w:w="960" w:type="dxa"/>
            <w:tcBorders>
              <w:tl2br w:val="nil"/>
              <w:tr2bl w:val="nil"/>
            </w:tcBorders>
            <w:noWrap w:val="0"/>
            <w:vAlign w:val="center"/>
          </w:tcPr>
          <w:p w14:paraId="1F2C425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60" w:type="dxa"/>
            <w:tcBorders>
              <w:tl2br w:val="nil"/>
              <w:tr2bl w:val="nil"/>
            </w:tcBorders>
            <w:noWrap w:val="0"/>
            <w:vAlign w:val="center"/>
          </w:tcPr>
          <w:p w14:paraId="4DDD1D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960" w:type="dxa"/>
            <w:tcBorders>
              <w:tl2br w:val="nil"/>
              <w:tr2bl w:val="nil"/>
            </w:tcBorders>
            <w:noWrap w:val="0"/>
            <w:vAlign w:val="center"/>
          </w:tcPr>
          <w:p w14:paraId="75F664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1319A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E10163C">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47F125F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800 </w:t>
            </w:r>
          </w:p>
        </w:tc>
        <w:tc>
          <w:tcPr>
            <w:tcW w:w="999" w:type="dxa"/>
            <w:tcBorders>
              <w:tl2br w:val="nil"/>
              <w:tr2bl w:val="nil"/>
            </w:tcBorders>
            <w:noWrap w:val="0"/>
            <w:vAlign w:val="center"/>
          </w:tcPr>
          <w:p w14:paraId="3D8E75D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0.239 </w:t>
            </w:r>
          </w:p>
        </w:tc>
        <w:tc>
          <w:tcPr>
            <w:tcW w:w="913" w:type="dxa"/>
            <w:tcBorders>
              <w:tl2br w:val="nil"/>
              <w:tr2bl w:val="nil"/>
            </w:tcBorders>
            <w:noWrap w:val="0"/>
            <w:vAlign w:val="center"/>
          </w:tcPr>
          <w:p w14:paraId="35833C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0.236 </w:t>
            </w:r>
          </w:p>
        </w:tc>
        <w:tc>
          <w:tcPr>
            <w:tcW w:w="911" w:type="dxa"/>
            <w:tcBorders>
              <w:tl2br w:val="nil"/>
              <w:tr2bl w:val="nil"/>
            </w:tcBorders>
            <w:noWrap w:val="0"/>
            <w:vAlign w:val="center"/>
          </w:tcPr>
          <w:p w14:paraId="0F3BD22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0.228 </w:t>
            </w:r>
          </w:p>
        </w:tc>
        <w:tc>
          <w:tcPr>
            <w:tcW w:w="912" w:type="dxa"/>
            <w:tcBorders>
              <w:tl2br w:val="nil"/>
              <w:tr2bl w:val="nil"/>
            </w:tcBorders>
            <w:noWrap w:val="0"/>
            <w:vAlign w:val="center"/>
          </w:tcPr>
          <w:p w14:paraId="10A35D1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c>
          <w:tcPr>
            <w:tcW w:w="960" w:type="dxa"/>
            <w:tcBorders>
              <w:tl2br w:val="nil"/>
              <w:tr2bl w:val="nil"/>
            </w:tcBorders>
            <w:noWrap w:val="0"/>
            <w:vAlign w:val="center"/>
          </w:tcPr>
          <w:p w14:paraId="6C21D65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960" w:type="dxa"/>
            <w:tcBorders>
              <w:tl2br w:val="nil"/>
              <w:tr2bl w:val="nil"/>
            </w:tcBorders>
            <w:noWrap w:val="0"/>
            <w:vAlign w:val="center"/>
          </w:tcPr>
          <w:p w14:paraId="698599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60" w:type="dxa"/>
            <w:tcBorders>
              <w:tl2br w:val="nil"/>
              <w:tr2bl w:val="nil"/>
            </w:tcBorders>
            <w:noWrap w:val="0"/>
            <w:vAlign w:val="center"/>
          </w:tcPr>
          <w:p w14:paraId="27ED35B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21D2E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26DB2D72">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4D32F2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999" w:type="dxa"/>
            <w:tcBorders>
              <w:tl2br w:val="nil"/>
              <w:tr2bl w:val="nil"/>
            </w:tcBorders>
            <w:noWrap w:val="0"/>
            <w:vAlign w:val="center"/>
          </w:tcPr>
          <w:p w14:paraId="20713DA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0.237 </w:t>
            </w:r>
          </w:p>
        </w:tc>
        <w:tc>
          <w:tcPr>
            <w:tcW w:w="913" w:type="dxa"/>
            <w:tcBorders>
              <w:tl2br w:val="nil"/>
              <w:tr2bl w:val="nil"/>
            </w:tcBorders>
            <w:noWrap w:val="0"/>
            <w:vAlign w:val="center"/>
          </w:tcPr>
          <w:p w14:paraId="007057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0.235 </w:t>
            </w:r>
          </w:p>
        </w:tc>
        <w:tc>
          <w:tcPr>
            <w:tcW w:w="911" w:type="dxa"/>
            <w:tcBorders>
              <w:tl2br w:val="nil"/>
              <w:tr2bl w:val="nil"/>
            </w:tcBorders>
            <w:noWrap w:val="0"/>
            <w:vAlign w:val="center"/>
          </w:tcPr>
          <w:p w14:paraId="7C8DFE8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0.229 </w:t>
            </w:r>
          </w:p>
        </w:tc>
        <w:tc>
          <w:tcPr>
            <w:tcW w:w="912" w:type="dxa"/>
            <w:tcBorders>
              <w:tl2br w:val="nil"/>
              <w:tr2bl w:val="nil"/>
            </w:tcBorders>
            <w:noWrap w:val="0"/>
            <w:vAlign w:val="center"/>
          </w:tcPr>
          <w:p w14:paraId="719B6E2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0.222 </w:t>
            </w:r>
          </w:p>
        </w:tc>
        <w:tc>
          <w:tcPr>
            <w:tcW w:w="960" w:type="dxa"/>
            <w:tcBorders>
              <w:tl2br w:val="nil"/>
              <w:tr2bl w:val="nil"/>
            </w:tcBorders>
            <w:noWrap w:val="0"/>
            <w:vAlign w:val="center"/>
          </w:tcPr>
          <w:p w14:paraId="6FA1E1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960" w:type="dxa"/>
            <w:tcBorders>
              <w:tl2br w:val="nil"/>
              <w:tr2bl w:val="nil"/>
            </w:tcBorders>
            <w:noWrap w:val="0"/>
            <w:vAlign w:val="center"/>
          </w:tcPr>
          <w:p w14:paraId="622FE66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960" w:type="dxa"/>
            <w:tcBorders>
              <w:tl2br w:val="nil"/>
              <w:tr2bl w:val="nil"/>
            </w:tcBorders>
            <w:noWrap w:val="0"/>
            <w:vAlign w:val="center"/>
          </w:tcPr>
          <w:p w14:paraId="335FD92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5AB7C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976C059">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829957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 </w:t>
            </w:r>
          </w:p>
        </w:tc>
        <w:tc>
          <w:tcPr>
            <w:tcW w:w="999" w:type="dxa"/>
            <w:tcBorders>
              <w:tl2br w:val="nil"/>
              <w:tr2bl w:val="nil"/>
            </w:tcBorders>
            <w:noWrap w:val="0"/>
            <w:vAlign w:val="center"/>
          </w:tcPr>
          <w:p w14:paraId="2097947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0.235 </w:t>
            </w:r>
          </w:p>
        </w:tc>
        <w:tc>
          <w:tcPr>
            <w:tcW w:w="913" w:type="dxa"/>
            <w:tcBorders>
              <w:tl2br w:val="nil"/>
              <w:tr2bl w:val="nil"/>
            </w:tcBorders>
            <w:noWrap w:val="0"/>
            <w:vAlign w:val="center"/>
          </w:tcPr>
          <w:p w14:paraId="5C9225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0.233 </w:t>
            </w:r>
          </w:p>
        </w:tc>
        <w:tc>
          <w:tcPr>
            <w:tcW w:w="911" w:type="dxa"/>
            <w:tcBorders>
              <w:tl2br w:val="nil"/>
              <w:tr2bl w:val="nil"/>
            </w:tcBorders>
            <w:noWrap w:val="0"/>
            <w:vAlign w:val="center"/>
          </w:tcPr>
          <w:p w14:paraId="4541F8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0.228 </w:t>
            </w:r>
          </w:p>
        </w:tc>
        <w:tc>
          <w:tcPr>
            <w:tcW w:w="912" w:type="dxa"/>
            <w:tcBorders>
              <w:tl2br w:val="nil"/>
              <w:tr2bl w:val="nil"/>
            </w:tcBorders>
            <w:noWrap w:val="0"/>
            <w:vAlign w:val="center"/>
          </w:tcPr>
          <w:p w14:paraId="40AFA60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0.223 </w:t>
            </w:r>
          </w:p>
        </w:tc>
        <w:tc>
          <w:tcPr>
            <w:tcW w:w="960" w:type="dxa"/>
            <w:tcBorders>
              <w:tl2br w:val="nil"/>
              <w:tr2bl w:val="nil"/>
            </w:tcBorders>
            <w:noWrap w:val="0"/>
            <w:vAlign w:val="center"/>
          </w:tcPr>
          <w:p w14:paraId="61DFCC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0.219 </w:t>
            </w:r>
          </w:p>
        </w:tc>
        <w:tc>
          <w:tcPr>
            <w:tcW w:w="960" w:type="dxa"/>
            <w:tcBorders>
              <w:tl2br w:val="nil"/>
              <w:tr2bl w:val="nil"/>
            </w:tcBorders>
            <w:noWrap w:val="0"/>
            <w:vAlign w:val="center"/>
          </w:tcPr>
          <w:p w14:paraId="04E7555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960" w:type="dxa"/>
            <w:tcBorders>
              <w:tl2br w:val="nil"/>
              <w:tr2bl w:val="nil"/>
            </w:tcBorders>
            <w:noWrap w:val="0"/>
            <w:vAlign w:val="center"/>
          </w:tcPr>
          <w:p w14:paraId="1E2F1E3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68C90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750A72B2">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ED715F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999" w:type="dxa"/>
            <w:tcBorders>
              <w:tl2br w:val="nil"/>
              <w:tr2bl w:val="nil"/>
            </w:tcBorders>
            <w:noWrap w:val="0"/>
            <w:vAlign w:val="center"/>
          </w:tcPr>
          <w:p w14:paraId="44ADAA2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0.233 </w:t>
            </w:r>
          </w:p>
        </w:tc>
        <w:tc>
          <w:tcPr>
            <w:tcW w:w="913" w:type="dxa"/>
            <w:tcBorders>
              <w:tl2br w:val="nil"/>
              <w:tr2bl w:val="nil"/>
            </w:tcBorders>
            <w:noWrap w:val="0"/>
            <w:vAlign w:val="center"/>
          </w:tcPr>
          <w:p w14:paraId="43019AC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0.232 </w:t>
            </w:r>
          </w:p>
        </w:tc>
        <w:tc>
          <w:tcPr>
            <w:tcW w:w="911" w:type="dxa"/>
            <w:tcBorders>
              <w:tl2br w:val="nil"/>
              <w:tr2bl w:val="nil"/>
            </w:tcBorders>
            <w:noWrap w:val="0"/>
            <w:vAlign w:val="center"/>
          </w:tcPr>
          <w:p w14:paraId="3CB5EFF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0.228 </w:t>
            </w:r>
          </w:p>
        </w:tc>
        <w:tc>
          <w:tcPr>
            <w:tcW w:w="912" w:type="dxa"/>
            <w:tcBorders>
              <w:tl2br w:val="nil"/>
              <w:tr2bl w:val="nil"/>
            </w:tcBorders>
            <w:noWrap w:val="0"/>
            <w:vAlign w:val="center"/>
          </w:tcPr>
          <w:p w14:paraId="3145F66D">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0.224 </w:t>
            </w:r>
          </w:p>
        </w:tc>
        <w:tc>
          <w:tcPr>
            <w:tcW w:w="960" w:type="dxa"/>
            <w:tcBorders>
              <w:tl2br w:val="nil"/>
              <w:tr2bl w:val="nil"/>
            </w:tcBorders>
            <w:noWrap w:val="0"/>
            <w:vAlign w:val="center"/>
          </w:tcPr>
          <w:p w14:paraId="67C9566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0.220 </w:t>
            </w:r>
          </w:p>
        </w:tc>
        <w:tc>
          <w:tcPr>
            <w:tcW w:w="960" w:type="dxa"/>
            <w:tcBorders>
              <w:tl2br w:val="nil"/>
              <w:tr2bl w:val="nil"/>
            </w:tcBorders>
            <w:noWrap w:val="0"/>
            <w:vAlign w:val="center"/>
          </w:tcPr>
          <w:p w14:paraId="18F3D51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960" w:type="dxa"/>
            <w:tcBorders>
              <w:tl2br w:val="nil"/>
              <w:tr2bl w:val="nil"/>
            </w:tcBorders>
            <w:noWrap w:val="0"/>
            <w:vAlign w:val="center"/>
          </w:tcPr>
          <w:p w14:paraId="43AAA64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r>
      <w:tr w14:paraId="7161D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66BF4F96">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B6B5F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 </w:t>
            </w:r>
          </w:p>
        </w:tc>
        <w:tc>
          <w:tcPr>
            <w:tcW w:w="999" w:type="dxa"/>
            <w:tcBorders>
              <w:tl2br w:val="nil"/>
              <w:tr2bl w:val="nil"/>
            </w:tcBorders>
            <w:noWrap w:val="0"/>
            <w:vAlign w:val="center"/>
          </w:tcPr>
          <w:p w14:paraId="34061E0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0.230 </w:t>
            </w:r>
          </w:p>
        </w:tc>
        <w:tc>
          <w:tcPr>
            <w:tcW w:w="913" w:type="dxa"/>
            <w:tcBorders>
              <w:tl2br w:val="nil"/>
              <w:tr2bl w:val="nil"/>
            </w:tcBorders>
            <w:shd w:val="clear" w:color="auto" w:fill="auto"/>
            <w:noWrap w:val="0"/>
            <w:vAlign w:val="center"/>
          </w:tcPr>
          <w:p w14:paraId="36FD8CD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0.230 </w:t>
            </w:r>
          </w:p>
        </w:tc>
        <w:tc>
          <w:tcPr>
            <w:tcW w:w="911" w:type="dxa"/>
            <w:tcBorders>
              <w:tl2br w:val="nil"/>
              <w:tr2bl w:val="nil"/>
            </w:tcBorders>
            <w:noWrap w:val="0"/>
            <w:vAlign w:val="center"/>
          </w:tcPr>
          <w:p w14:paraId="2E5D0B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0.227 </w:t>
            </w:r>
          </w:p>
        </w:tc>
        <w:tc>
          <w:tcPr>
            <w:tcW w:w="912" w:type="dxa"/>
            <w:tcBorders>
              <w:tl2br w:val="nil"/>
              <w:tr2bl w:val="nil"/>
            </w:tcBorders>
            <w:noWrap w:val="0"/>
            <w:vAlign w:val="center"/>
          </w:tcPr>
          <w:p w14:paraId="0A7F9F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0.224 </w:t>
            </w:r>
          </w:p>
        </w:tc>
        <w:tc>
          <w:tcPr>
            <w:tcW w:w="960" w:type="dxa"/>
            <w:tcBorders>
              <w:tl2br w:val="nil"/>
              <w:tr2bl w:val="nil"/>
            </w:tcBorders>
            <w:noWrap w:val="0"/>
            <w:vAlign w:val="center"/>
          </w:tcPr>
          <w:p w14:paraId="430CE6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c>
          <w:tcPr>
            <w:tcW w:w="960" w:type="dxa"/>
            <w:tcBorders>
              <w:tl2br w:val="nil"/>
              <w:tr2bl w:val="nil"/>
            </w:tcBorders>
            <w:noWrap w:val="0"/>
            <w:vAlign w:val="center"/>
          </w:tcPr>
          <w:p w14:paraId="7C77BC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960" w:type="dxa"/>
            <w:tcBorders>
              <w:tl2br w:val="nil"/>
              <w:tr2bl w:val="nil"/>
            </w:tcBorders>
            <w:noWrap w:val="0"/>
            <w:vAlign w:val="center"/>
          </w:tcPr>
          <w:p w14:paraId="4FF96A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r>
      <w:tr w14:paraId="60A076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C206026">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AF0FFD8">
            <w:pPr>
              <w:keepNext w:val="0"/>
              <w:keepLines w:val="0"/>
              <w:widowControl/>
              <w:suppressLineNumbers w:val="0"/>
              <w:jc w:val="center"/>
              <w:textAlignment w:val="center"/>
              <w:rPr>
                <w:rFonts w:hint="default"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3000</w:t>
            </w:r>
          </w:p>
        </w:tc>
        <w:tc>
          <w:tcPr>
            <w:tcW w:w="999" w:type="dxa"/>
            <w:tcBorders>
              <w:tl2br w:val="nil"/>
              <w:tr2bl w:val="nil"/>
            </w:tcBorders>
            <w:noWrap w:val="0"/>
            <w:vAlign w:val="center"/>
          </w:tcPr>
          <w:p w14:paraId="65546FD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0.228 </w:t>
            </w:r>
          </w:p>
        </w:tc>
        <w:tc>
          <w:tcPr>
            <w:tcW w:w="913" w:type="dxa"/>
            <w:tcBorders>
              <w:tl2br w:val="nil"/>
              <w:tr2bl w:val="nil"/>
            </w:tcBorders>
            <w:noWrap w:val="0"/>
            <w:vAlign w:val="center"/>
          </w:tcPr>
          <w:p w14:paraId="4238909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0.227 </w:t>
            </w:r>
          </w:p>
        </w:tc>
        <w:tc>
          <w:tcPr>
            <w:tcW w:w="911" w:type="dxa"/>
            <w:tcBorders>
              <w:tl2br w:val="nil"/>
              <w:tr2bl w:val="nil"/>
            </w:tcBorders>
            <w:noWrap w:val="0"/>
            <w:vAlign w:val="center"/>
          </w:tcPr>
          <w:p w14:paraId="18B3E57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0.226 </w:t>
            </w:r>
          </w:p>
        </w:tc>
        <w:tc>
          <w:tcPr>
            <w:tcW w:w="912" w:type="dxa"/>
            <w:tcBorders>
              <w:tl2br w:val="nil"/>
              <w:tr2bl w:val="nil"/>
            </w:tcBorders>
            <w:noWrap w:val="0"/>
            <w:vAlign w:val="center"/>
          </w:tcPr>
          <w:p w14:paraId="0F09A14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0.224 </w:t>
            </w:r>
          </w:p>
        </w:tc>
        <w:tc>
          <w:tcPr>
            <w:tcW w:w="960" w:type="dxa"/>
            <w:tcBorders>
              <w:tl2br w:val="nil"/>
              <w:tr2bl w:val="nil"/>
            </w:tcBorders>
            <w:noWrap w:val="0"/>
            <w:vAlign w:val="center"/>
          </w:tcPr>
          <w:p w14:paraId="2F5DB6F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0.222 </w:t>
            </w:r>
          </w:p>
        </w:tc>
        <w:tc>
          <w:tcPr>
            <w:tcW w:w="960" w:type="dxa"/>
            <w:tcBorders>
              <w:tl2br w:val="nil"/>
              <w:tr2bl w:val="nil"/>
            </w:tcBorders>
            <w:noWrap w:val="0"/>
            <w:vAlign w:val="center"/>
          </w:tcPr>
          <w:p w14:paraId="16D694D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0.220 </w:t>
            </w:r>
          </w:p>
        </w:tc>
        <w:tc>
          <w:tcPr>
            <w:tcW w:w="960" w:type="dxa"/>
            <w:tcBorders>
              <w:tl2br w:val="nil"/>
              <w:tr2bl w:val="nil"/>
            </w:tcBorders>
            <w:noWrap w:val="0"/>
            <w:vAlign w:val="center"/>
          </w:tcPr>
          <w:p w14:paraId="6796F94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0.218 </w:t>
            </w:r>
          </w:p>
        </w:tc>
      </w:tr>
      <w:tr w14:paraId="1DB52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78AF1D62">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606829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4200</w:t>
            </w:r>
          </w:p>
        </w:tc>
        <w:tc>
          <w:tcPr>
            <w:tcW w:w="999" w:type="dxa"/>
            <w:tcBorders>
              <w:tl2br w:val="nil"/>
              <w:tr2bl w:val="nil"/>
            </w:tcBorders>
            <w:noWrap w:val="0"/>
            <w:vAlign w:val="center"/>
          </w:tcPr>
          <w:p w14:paraId="7206EE84">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0.226 </w:t>
            </w:r>
          </w:p>
        </w:tc>
        <w:tc>
          <w:tcPr>
            <w:tcW w:w="913" w:type="dxa"/>
            <w:tcBorders>
              <w:tl2br w:val="nil"/>
              <w:tr2bl w:val="nil"/>
            </w:tcBorders>
            <w:noWrap w:val="0"/>
            <w:vAlign w:val="center"/>
          </w:tcPr>
          <w:p w14:paraId="4E032516">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0.225 </w:t>
            </w:r>
          </w:p>
        </w:tc>
        <w:tc>
          <w:tcPr>
            <w:tcW w:w="911" w:type="dxa"/>
            <w:tcBorders>
              <w:tl2br w:val="nil"/>
              <w:tr2bl w:val="nil"/>
            </w:tcBorders>
            <w:noWrap w:val="0"/>
            <w:vAlign w:val="center"/>
          </w:tcPr>
          <w:p w14:paraId="0D3B7348">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0.225 </w:t>
            </w:r>
          </w:p>
        </w:tc>
        <w:tc>
          <w:tcPr>
            <w:tcW w:w="912" w:type="dxa"/>
            <w:tcBorders>
              <w:tl2br w:val="nil"/>
              <w:tr2bl w:val="nil"/>
            </w:tcBorders>
            <w:noWrap w:val="0"/>
            <w:vAlign w:val="center"/>
          </w:tcPr>
          <w:p w14:paraId="7FBE4747">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0.223 </w:t>
            </w:r>
          </w:p>
        </w:tc>
        <w:tc>
          <w:tcPr>
            <w:tcW w:w="960" w:type="dxa"/>
            <w:tcBorders>
              <w:tl2br w:val="nil"/>
              <w:tr2bl w:val="nil"/>
            </w:tcBorders>
            <w:noWrap w:val="0"/>
            <w:vAlign w:val="center"/>
          </w:tcPr>
          <w:p w14:paraId="2388AECC">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0.222 </w:t>
            </w:r>
          </w:p>
        </w:tc>
        <w:tc>
          <w:tcPr>
            <w:tcW w:w="960" w:type="dxa"/>
            <w:tcBorders>
              <w:tl2br w:val="nil"/>
              <w:tr2bl w:val="nil"/>
            </w:tcBorders>
            <w:noWrap w:val="0"/>
            <w:vAlign w:val="center"/>
          </w:tcPr>
          <w:p w14:paraId="320418E8">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0.220 </w:t>
            </w:r>
          </w:p>
        </w:tc>
        <w:tc>
          <w:tcPr>
            <w:tcW w:w="960" w:type="dxa"/>
            <w:tcBorders>
              <w:tl2br w:val="nil"/>
              <w:tr2bl w:val="nil"/>
            </w:tcBorders>
            <w:noWrap w:val="0"/>
            <w:vAlign w:val="center"/>
          </w:tcPr>
          <w:p w14:paraId="11164C04">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0.219 </w:t>
            </w:r>
          </w:p>
        </w:tc>
      </w:tr>
    </w:tbl>
    <w:p w14:paraId="3B8CDDF2">
      <w:pPr>
        <w:pStyle w:val="102"/>
        <w:snapToGrid w:val="0"/>
        <w:spacing w:line="240" w:lineRule="auto"/>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表</w:t>
      </w:r>
      <w:r>
        <w:rPr>
          <w:rFonts w:hint="default" w:ascii="Times New Roman" w:hAnsi="Times New Roman" w:cs="Times New Roman"/>
          <w:b/>
          <w:bCs/>
          <w:color w:val="auto"/>
          <w:sz w:val="21"/>
          <w:highlight w:val="none"/>
          <w:lang w:val="en-US" w:eastAsia="zh-CN"/>
        </w:rPr>
        <w:t>4.2-</w:t>
      </w:r>
      <w:r>
        <w:rPr>
          <w:rFonts w:hint="eastAsia" w:ascii="Times New Roman" w:cs="Times New Roman"/>
          <w:b/>
          <w:bCs/>
          <w:color w:val="auto"/>
          <w:sz w:val="21"/>
          <w:highlight w:val="none"/>
          <w:lang w:val="en-US" w:eastAsia="zh-CN"/>
        </w:rPr>
        <w:t>11</w:t>
      </w:r>
      <w:r>
        <w:rPr>
          <w:rFonts w:hint="default" w:ascii="Times New Roman" w:hAnsi="Times New Roman" w:cs="Times New Roman"/>
          <w:b/>
          <w:bCs/>
          <w:color w:val="auto"/>
          <w:sz w:val="21"/>
          <w:highlight w:val="none"/>
        </w:rPr>
        <w:t xml:space="preserve">  尾水正常排放</w:t>
      </w:r>
      <w:r>
        <w:rPr>
          <w:rFonts w:hint="eastAsia" w:ascii="Times New Roman" w:cs="Times New Roman"/>
          <w:b/>
          <w:bCs/>
          <w:color w:val="auto"/>
          <w:sz w:val="21"/>
          <w:highlight w:val="none"/>
          <w:lang w:val="en-US" w:eastAsia="zh-CN"/>
        </w:rPr>
        <w:t>TP</w:t>
      </w:r>
      <w:r>
        <w:rPr>
          <w:rFonts w:hint="default" w:ascii="Times New Roman" w:hAnsi="Times New Roman" w:cs="Times New Roman"/>
          <w:b/>
          <w:bCs/>
          <w:color w:val="auto"/>
          <w:sz w:val="21"/>
          <w:highlight w:val="none"/>
        </w:rPr>
        <w:t>对</w:t>
      </w:r>
      <w:r>
        <w:rPr>
          <w:rFonts w:hint="default" w:ascii="Times New Roman" w:hAnsi="Times New Roman" w:cs="Times New Roman"/>
          <w:b/>
          <w:bCs/>
          <w:color w:val="auto"/>
          <w:sz w:val="21"/>
          <w:highlight w:val="none"/>
          <w:lang w:eastAsia="zh-CN"/>
        </w:rPr>
        <w:t>溢水河</w:t>
      </w:r>
      <w:r>
        <w:rPr>
          <w:rFonts w:hint="default" w:ascii="Times New Roman" w:hAnsi="Times New Roman" w:cs="Times New Roman"/>
          <w:b/>
          <w:bCs/>
          <w:color w:val="auto"/>
          <w:sz w:val="21"/>
          <w:highlight w:val="none"/>
        </w:rPr>
        <w:t>水环境影响预测  单位：mg/L</w:t>
      </w:r>
    </w:p>
    <w:tbl>
      <w:tblPr>
        <w:tblStyle w:val="31"/>
        <w:tblW w:w="84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053"/>
        <w:gridCol w:w="999"/>
        <w:gridCol w:w="913"/>
        <w:gridCol w:w="911"/>
        <w:gridCol w:w="912"/>
        <w:gridCol w:w="960"/>
        <w:gridCol w:w="960"/>
        <w:gridCol w:w="960"/>
      </w:tblGrid>
      <w:tr w14:paraId="14776D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766" w:type="dxa"/>
            <w:tcBorders>
              <w:tl2br w:val="nil"/>
              <w:tr2bl w:val="nil"/>
            </w:tcBorders>
            <w:noWrap w:val="0"/>
            <w:vAlign w:val="center"/>
          </w:tcPr>
          <w:p w14:paraId="27E7700E">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阶段</w:t>
            </w:r>
          </w:p>
        </w:tc>
        <w:tc>
          <w:tcPr>
            <w:tcW w:w="1053" w:type="dxa"/>
            <w:tcBorders>
              <w:tl2br w:val="nil"/>
              <w:tr2bl w:val="nil"/>
            </w:tcBorders>
            <w:noWrap w:val="0"/>
            <w:vAlign w:val="center"/>
          </w:tcPr>
          <w:p w14:paraId="6468BE43">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Y/X</w:t>
            </w:r>
          </w:p>
        </w:tc>
        <w:tc>
          <w:tcPr>
            <w:tcW w:w="999" w:type="dxa"/>
            <w:tcBorders>
              <w:tl2br w:val="nil"/>
              <w:tr2bl w:val="nil"/>
            </w:tcBorders>
            <w:noWrap w:val="0"/>
            <w:vAlign w:val="center"/>
          </w:tcPr>
          <w:p w14:paraId="1E5ED64D">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5</w:t>
            </w:r>
          </w:p>
        </w:tc>
        <w:tc>
          <w:tcPr>
            <w:tcW w:w="913" w:type="dxa"/>
            <w:tcBorders>
              <w:tl2br w:val="nil"/>
              <w:tr2bl w:val="nil"/>
            </w:tcBorders>
            <w:noWrap w:val="0"/>
            <w:vAlign w:val="center"/>
          </w:tcPr>
          <w:p w14:paraId="3B5D6701">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10</w:t>
            </w:r>
          </w:p>
        </w:tc>
        <w:tc>
          <w:tcPr>
            <w:tcW w:w="911" w:type="dxa"/>
            <w:tcBorders>
              <w:tl2br w:val="nil"/>
              <w:tr2bl w:val="nil"/>
            </w:tcBorders>
            <w:noWrap w:val="0"/>
            <w:vAlign w:val="center"/>
          </w:tcPr>
          <w:p w14:paraId="24AEDFB2">
            <w:pPr>
              <w:pStyle w:val="64"/>
              <w:adjustRightInd w:val="0"/>
              <w:snapToGrid w:val="0"/>
              <w:spacing w:line="240" w:lineRule="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20</w:t>
            </w:r>
          </w:p>
        </w:tc>
        <w:tc>
          <w:tcPr>
            <w:tcW w:w="912" w:type="dxa"/>
            <w:tcBorders>
              <w:tl2br w:val="nil"/>
              <w:tr2bl w:val="nil"/>
            </w:tcBorders>
            <w:noWrap w:val="0"/>
            <w:vAlign w:val="center"/>
          </w:tcPr>
          <w:p w14:paraId="1BE121A2">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30</w:t>
            </w:r>
          </w:p>
        </w:tc>
        <w:tc>
          <w:tcPr>
            <w:tcW w:w="960" w:type="dxa"/>
            <w:tcBorders>
              <w:tl2br w:val="nil"/>
              <w:tr2bl w:val="nil"/>
            </w:tcBorders>
            <w:noWrap w:val="0"/>
            <w:vAlign w:val="center"/>
          </w:tcPr>
          <w:p w14:paraId="41D69A38">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40</w:t>
            </w:r>
          </w:p>
        </w:tc>
        <w:tc>
          <w:tcPr>
            <w:tcW w:w="960" w:type="dxa"/>
            <w:tcBorders>
              <w:tl2br w:val="nil"/>
              <w:tr2bl w:val="nil"/>
            </w:tcBorders>
            <w:noWrap w:val="0"/>
            <w:vAlign w:val="center"/>
          </w:tcPr>
          <w:p w14:paraId="16EC2D5E">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50</w:t>
            </w:r>
          </w:p>
        </w:tc>
        <w:tc>
          <w:tcPr>
            <w:tcW w:w="960" w:type="dxa"/>
            <w:tcBorders>
              <w:tl2br w:val="nil"/>
              <w:tr2bl w:val="nil"/>
            </w:tcBorders>
            <w:noWrap w:val="0"/>
            <w:vAlign w:val="center"/>
          </w:tcPr>
          <w:p w14:paraId="15BCB574">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60</w:t>
            </w:r>
          </w:p>
        </w:tc>
      </w:tr>
      <w:tr w14:paraId="035B47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restart"/>
            <w:tcBorders>
              <w:tl2br w:val="nil"/>
              <w:tr2bl w:val="nil"/>
            </w:tcBorders>
            <w:noWrap w:val="0"/>
            <w:vAlign w:val="center"/>
          </w:tcPr>
          <w:p w14:paraId="0A12BDF9">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混合</w:t>
            </w:r>
          </w:p>
          <w:p w14:paraId="3CEA7C95">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过程段</w:t>
            </w:r>
          </w:p>
        </w:tc>
        <w:tc>
          <w:tcPr>
            <w:tcW w:w="1053" w:type="dxa"/>
            <w:tcBorders>
              <w:tl2br w:val="nil"/>
              <w:tr2bl w:val="nil"/>
            </w:tcBorders>
            <w:noWrap w:val="0"/>
            <w:vAlign w:val="center"/>
          </w:tcPr>
          <w:p w14:paraId="1494B99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 </w:t>
            </w:r>
          </w:p>
        </w:tc>
        <w:tc>
          <w:tcPr>
            <w:tcW w:w="999" w:type="dxa"/>
            <w:tcBorders>
              <w:tl2br w:val="nil"/>
              <w:tr2bl w:val="nil"/>
            </w:tcBorders>
            <w:noWrap w:val="0"/>
            <w:vAlign w:val="center"/>
          </w:tcPr>
          <w:p w14:paraId="0FDAC99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3" w:type="dxa"/>
            <w:tcBorders>
              <w:tl2br w:val="nil"/>
              <w:tr2bl w:val="nil"/>
            </w:tcBorders>
            <w:noWrap w:val="0"/>
            <w:vAlign w:val="center"/>
          </w:tcPr>
          <w:p w14:paraId="6F14635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1" w:type="dxa"/>
            <w:tcBorders>
              <w:tl2br w:val="nil"/>
              <w:tr2bl w:val="nil"/>
            </w:tcBorders>
            <w:noWrap w:val="0"/>
            <w:vAlign w:val="center"/>
          </w:tcPr>
          <w:p w14:paraId="647F1B6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73BCE44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CC334E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204E4E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4A2794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25346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7C1E587A">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4A5C4A8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999" w:type="dxa"/>
            <w:tcBorders>
              <w:tl2br w:val="nil"/>
              <w:tr2bl w:val="nil"/>
            </w:tcBorders>
            <w:noWrap w:val="0"/>
            <w:vAlign w:val="center"/>
          </w:tcPr>
          <w:p w14:paraId="52554A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3" w:type="dxa"/>
            <w:tcBorders>
              <w:tl2br w:val="nil"/>
              <w:tr2bl w:val="nil"/>
            </w:tcBorders>
            <w:noWrap w:val="0"/>
            <w:vAlign w:val="center"/>
          </w:tcPr>
          <w:p w14:paraId="2B3F457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1" w:type="dxa"/>
            <w:tcBorders>
              <w:tl2br w:val="nil"/>
              <w:tr2bl w:val="nil"/>
            </w:tcBorders>
            <w:noWrap w:val="0"/>
            <w:vAlign w:val="center"/>
          </w:tcPr>
          <w:p w14:paraId="75739AD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2EA14B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5FE40D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5A8503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54ECA9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69BB9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2E491EE3">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138789E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 </w:t>
            </w:r>
          </w:p>
        </w:tc>
        <w:tc>
          <w:tcPr>
            <w:tcW w:w="999" w:type="dxa"/>
            <w:tcBorders>
              <w:tl2br w:val="nil"/>
              <w:tr2bl w:val="nil"/>
            </w:tcBorders>
            <w:noWrap w:val="0"/>
            <w:vAlign w:val="center"/>
          </w:tcPr>
          <w:p w14:paraId="3ACE8B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913" w:type="dxa"/>
            <w:tcBorders>
              <w:tl2br w:val="nil"/>
              <w:tr2bl w:val="nil"/>
            </w:tcBorders>
            <w:noWrap w:val="0"/>
            <w:vAlign w:val="center"/>
          </w:tcPr>
          <w:p w14:paraId="5292A14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0D88022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2EBB61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A10C5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CDB5D3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26E71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74C6A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66" w:type="dxa"/>
            <w:vMerge w:val="continue"/>
            <w:tcBorders>
              <w:tl2br w:val="nil"/>
              <w:tr2bl w:val="nil"/>
            </w:tcBorders>
            <w:noWrap w:val="0"/>
            <w:vAlign w:val="center"/>
          </w:tcPr>
          <w:p w14:paraId="0DD440FB">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26B577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999" w:type="dxa"/>
            <w:tcBorders>
              <w:tl2br w:val="nil"/>
              <w:tr2bl w:val="nil"/>
            </w:tcBorders>
            <w:noWrap w:val="0"/>
            <w:vAlign w:val="center"/>
          </w:tcPr>
          <w:p w14:paraId="7CEB03F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913" w:type="dxa"/>
            <w:tcBorders>
              <w:tl2br w:val="nil"/>
              <w:tr2bl w:val="nil"/>
            </w:tcBorders>
            <w:noWrap w:val="0"/>
            <w:vAlign w:val="center"/>
          </w:tcPr>
          <w:p w14:paraId="0950E71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133CB96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407E0A0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7434964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665AC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604DC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50A29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640D1500">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DF6660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 </w:t>
            </w:r>
          </w:p>
        </w:tc>
        <w:tc>
          <w:tcPr>
            <w:tcW w:w="999" w:type="dxa"/>
            <w:tcBorders>
              <w:tl2br w:val="nil"/>
              <w:tr2bl w:val="nil"/>
            </w:tcBorders>
            <w:noWrap w:val="0"/>
            <w:vAlign w:val="center"/>
          </w:tcPr>
          <w:p w14:paraId="723A79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913" w:type="dxa"/>
            <w:tcBorders>
              <w:tl2br w:val="nil"/>
              <w:tr2bl w:val="nil"/>
            </w:tcBorders>
            <w:noWrap w:val="0"/>
            <w:vAlign w:val="center"/>
          </w:tcPr>
          <w:p w14:paraId="58AAB7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2C4B66C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18630C2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6277D1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5F0934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459C934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396A5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259D25AB">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8E7BB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999" w:type="dxa"/>
            <w:tcBorders>
              <w:tl2br w:val="nil"/>
              <w:tr2bl w:val="nil"/>
            </w:tcBorders>
            <w:noWrap w:val="0"/>
            <w:vAlign w:val="center"/>
          </w:tcPr>
          <w:p w14:paraId="568A8D0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913" w:type="dxa"/>
            <w:tcBorders>
              <w:tl2br w:val="nil"/>
              <w:tr2bl w:val="nil"/>
            </w:tcBorders>
            <w:noWrap w:val="0"/>
            <w:vAlign w:val="center"/>
          </w:tcPr>
          <w:p w14:paraId="75DA27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5D8E4EC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7D4BC99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5EAABCF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1CEC80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4E6BE73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2F16D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0669E784">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690DDB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 </w:t>
            </w:r>
          </w:p>
        </w:tc>
        <w:tc>
          <w:tcPr>
            <w:tcW w:w="999" w:type="dxa"/>
            <w:tcBorders>
              <w:tl2br w:val="nil"/>
              <w:tr2bl w:val="nil"/>
            </w:tcBorders>
            <w:noWrap w:val="0"/>
            <w:vAlign w:val="center"/>
          </w:tcPr>
          <w:p w14:paraId="06E3008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3455B3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1CB1FA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6B6E40E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6DA0849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7030292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2345D37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3A53C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6" w:type="dxa"/>
            <w:vMerge w:val="continue"/>
            <w:tcBorders>
              <w:tl2br w:val="nil"/>
              <w:tr2bl w:val="nil"/>
            </w:tcBorders>
            <w:noWrap w:val="0"/>
            <w:vAlign w:val="center"/>
          </w:tcPr>
          <w:p w14:paraId="5B9A9EB4">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6D50A36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 </w:t>
            </w:r>
          </w:p>
        </w:tc>
        <w:tc>
          <w:tcPr>
            <w:tcW w:w="999" w:type="dxa"/>
            <w:tcBorders>
              <w:tl2br w:val="nil"/>
              <w:tr2bl w:val="nil"/>
            </w:tcBorders>
            <w:noWrap w:val="0"/>
            <w:vAlign w:val="center"/>
          </w:tcPr>
          <w:p w14:paraId="078102A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263D3A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5A28D49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12" w:type="dxa"/>
            <w:tcBorders>
              <w:tl2br w:val="nil"/>
              <w:tr2bl w:val="nil"/>
            </w:tcBorders>
            <w:noWrap w:val="0"/>
            <w:vAlign w:val="center"/>
          </w:tcPr>
          <w:p w14:paraId="4B86DE6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6A5D197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DB99E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B2F1F5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3ADBF9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66" w:type="dxa"/>
            <w:vMerge w:val="continue"/>
            <w:tcBorders>
              <w:tl2br w:val="nil"/>
              <w:tr2bl w:val="nil"/>
            </w:tcBorders>
            <w:noWrap w:val="0"/>
            <w:vAlign w:val="center"/>
          </w:tcPr>
          <w:p w14:paraId="2BD0E7BE">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93F2CD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999" w:type="dxa"/>
            <w:tcBorders>
              <w:tl2br w:val="nil"/>
              <w:tr2bl w:val="nil"/>
            </w:tcBorders>
            <w:noWrap w:val="0"/>
            <w:vAlign w:val="center"/>
          </w:tcPr>
          <w:p w14:paraId="2A6D88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070FDD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17DFEB3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092569F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FCF64C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70196B5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6081219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19637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66" w:type="dxa"/>
            <w:vMerge w:val="continue"/>
            <w:tcBorders>
              <w:tl2br w:val="nil"/>
              <w:tr2bl w:val="nil"/>
            </w:tcBorders>
            <w:noWrap w:val="0"/>
            <w:vAlign w:val="center"/>
          </w:tcPr>
          <w:p w14:paraId="3C3DEA84">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63A0553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 </w:t>
            </w:r>
          </w:p>
        </w:tc>
        <w:tc>
          <w:tcPr>
            <w:tcW w:w="999" w:type="dxa"/>
            <w:tcBorders>
              <w:tl2br w:val="nil"/>
              <w:tr2bl w:val="nil"/>
            </w:tcBorders>
            <w:noWrap w:val="0"/>
            <w:vAlign w:val="center"/>
          </w:tcPr>
          <w:p w14:paraId="3821E49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4879170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1A10924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528A1A7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C19CD2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E9B32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58E15F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7F401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7E33B80D">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314C2C2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450 </w:t>
            </w:r>
          </w:p>
        </w:tc>
        <w:tc>
          <w:tcPr>
            <w:tcW w:w="999" w:type="dxa"/>
            <w:tcBorders>
              <w:tl2br w:val="nil"/>
              <w:tr2bl w:val="nil"/>
            </w:tcBorders>
            <w:noWrap w:val="0"/>
            <w:vAlign w:val="center"/>
          </w:tcPr>
          <w:p w14:paraId="6C8CE2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1192ED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598703C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37EDC5A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29433A7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628F1B2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B2090D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48010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7F883FC3">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80149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 </w:t>
            </w:r>
          </w:p>
        </w:tc>
        <w:tc>
          <w:tcPr>
            <w:tcW w:w="999" w:type="dxa"/>
            <w:tcBorders>
              <w:tl2br w:val="nil"/>
              <w:tr2bl w:val="nil"/>
            </w:tcBorders>
            <w:noWrap w:val="0"/>
            <w:vAlign w:val="center"/>
          </w:tcPr>
          <w:p w14:paraId="16A7C2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635F7F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1" w:type="dxa"/>
            <w:tcBorders>
              <w:tl2br w:val="nil"/>
              <w:tr2bl w:val="nil"/>
            </w:tcBorders>
            <w:noWrap w:val="0"/>
            <w:vAlign w:val="center"/>
          </w:tcPr>
          <w:p w14:paraId="4413E8D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7A98D6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711089E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4551DB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22BF380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0FC94F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2AFB8EB4">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030D79C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 </w:t>
            </w:r>
          </w:p>
        </w:tc>
        <w:tc>
          <w:tcPr>
            <w:tcW w:w="999" w:type="dxa"/>
            <w:tcBorders>
              <w:tl2br w:val="nil"/>
              <w:tr2bl w:val="nil"/>
            </w:tcBorders>
            <w:noWrap w:val="0"/>
            <w:vAlign w:val="center"/>
          </w:tcPr>
          <w:p w14:paraId="36AE3D1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5834542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758965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2E62818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B532AC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2814D6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6B1BC5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4EA88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107DE3DB">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90E622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800 </w:t>
            </w:r>
          </w:p>
        </w:tc>
        <w:tc>
          <w:tcPr>
            <w:tcW w:w="999" w:type="dxa"/>
            <w:tcBorders>
              <w:tl2br w:val="nil"/>
              <w:tr2bl w:val="nil"/>
            </w:tcBorders>
            <w:noWrap w:val="0"/>
            <w:vAlign w:val="center"/>
          </w:tcPr>
          <w:p w14:paraId="6BDE0C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913" w:type="dxa"/>
            <w:tcBorders>
              <w:tl2br w:val="nil"/>
              <w:tr2bl w:val="nil"/>
            </w:tcBorders>
            <w:noWrap w:val="0"/>
            <w:vAlign w:val="center"/>
          </w:tcPr>
          <w:p w14:paraId="0BC999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250DC07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68F9A8D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992FD1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6BEFE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5EF9FEF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4851A4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E514640">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FFE8ED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999" w:type="dxa"/>
            <w:tcBorders>
              <w:tl2br w:val="nil"/>
              <w:tr2bl w:val="nil"/>
            </w:tcBorders>
            <w:noWrap w:val="0"/>
            <w:vAlign w:val="center"/>
          </w:tcPr>
          <w:p w14:paraId="257B6A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3" w:type="dxa"/>
            <w:tcBorders>
              <w:tl2br w:val="nil"/>
              <w:tr2bl w:val="nil"/>
            </w:tcBorders>
            <w:noWrap w:val="0"/>
            <w:vAlign w:val="center"/>
          </w:tcPr>
          <w:p w14:paraId="3786FC2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43808A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3B0A4C4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FD773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4123B98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18E97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4CB23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760AD9E">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E46F79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 </w:t>
            </w:r>
          </w:p>
        </w:tc>
        <w:tc>
          <w:tcPr>
            <w:tcW w:w="999" w:type="dxa"/>
            <w:tcBorders>
              <w:tl2br w:val="nil"/>
              <w:tr2bl w:val="nil"/>
            </w:tcBorders>
            <w:noWrap w:val="0"/>
            <w:vAlign w:val="center"/>
          </w:tcPr>
          <w:p w14:paraId="531B34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3" w:type="dxa"/>
            <w:tcBorders>
              <w:tl2br w:val="nil"/>
              <w:tr2bl w:val="nil"/>
            </w:tcBorders>
            <w:noWrap w:val="0"/>
            <w:vAlign w:val="center"/>
          </w:tcPr>
          <w:p w14:paraId="7D1B3C7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44865B1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559D53B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60" w:type="dxa"/>
            <w:tcBorders>
              <w:tl2br w:val="nil"/>
              <w:tr2bl w:val="nil"/>
            </w:tcBorders>
            <w:noWrap w:val="0"/>
            <w:vAlign w:val="center"/>
          </w:tcPr>
          <w:p w14:paraId="61819C9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A4F561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C0907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7E5C7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7B58665">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2BB1D64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999" w:type="dxa"/>
            <w:tcBorders>
              <w:tl2br w:val="nil"/>
              <w:tr2bl w:val="nil"/>
            </w:tcBorders>
            <w:noWrap w:val="0"/>
            <w:vAlign w:val="center"/>
          </w:tcPr>
          <w:p w14:paraId="1774F6D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3" w:type="dxa"/>
            <w:tcBorders>
              <w:tl2br w:val="nil"/>
              <w:tr2bl w:val="nil"/>
            </w:tcBorders>
            <w:noWrap w:val="0"/>
            <w:vAlign w:val="center"/>
          </w:tcPr>
          <w:p w14:paraId="186CA5A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1D0704E5">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436325C8">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60" w:type="dxa"/>
            <w:tcBorders>
              <w:tl2br w:val="nil"/>
              <w:tr2bl w:val="nil"/>
            </w:tcBorders>
            <w:noWrap w:val="0"/>
            <w:vAlign w:val="center"/>
          </w:tcPr>
          <w:p w14:paraId="775701D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F819E4D">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27798EF">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3D2E9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74D7E6A">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5FB7CA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 </w:t>
            </w:r>
          </w:p>
        </w:tc>
        <w:tc>
          <w:tcPr>
            <w:tcW w:w="999" w:type="dxa"/>
            <w:tcBorders>
              <w:tl2br w:val="nil"/>
              <w:tr2bl w:val="nil"/>
            </w:tcBorders>
            <w:noWrap w:val="0"/>
            <w:vAlign w:val="center"/>
          </w:tcPr>
          <w:p w14:paraId="2D05BA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3" w:type="dxa"/>
            <w:tcBorders>
              <w:tl2br w:val="nil"/>
              <w:tr2bl w:val="nil"/>
            </w:tcBorders>
            <w:shd w:val="clear" w:color="auto" w:fill="auto"/>
            <w:noWrap w:val="0"/>
            <w:vAlign w:val="center"/>
          </w:tcPr>
          <w:p w14:paraId="70C5686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0A948D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4D1314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960" w:type="dxa"/>
            <w:tcBorders>
              <w:tl2br w:val="nil"/>
              <w:tr2bl w:val="nil"/>
            </w:tcBorders>
            <w:noWrap w:val="0"/>
            <w:vAlign w:val="center"/>
          </w:tcPr>
          <w:p w14:paraId="0B9D4B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6257F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5AC8F0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60B17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0B5254FB">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6A176ABC">
            <w:pPr>
              <w:keepNext w:val="0"/>
              <w:keepLines w:val="0"/>
              <w:widowControl/>
              <w:suppressLineNumbers w:val="0"/>
              <w:jc w:val="center"/>
              <w:textAlignment w:val="center"/>
              <w:rPr>
                <w:rFonts w:hint="default"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3000</w:t>
            </w:r>
          </w:p>
        </w:tc>
        <w:tc>
          <w:tcPr>
            <w:tcW w:w="999" w:type="dxa"/>
            <w:tcBorders>
              <w:tl2br w:val="nil"/>
              <w:tr2bl w:val="nil"/>
            </w:tcBorders>
            <w:noWrap w:val="0"/>
            <w:vAlign w:val="center"/>
          </w:tcPr>
          <w:p w14:paraId="52838F1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13" w:type="dxa"/>
            <w:tcBorders>
              <w:tl2br w:val="nil"/>
              <w:tr2bl w:val="nil"/>
            </w:tcBorders>
            <w:noWrap w:val="0"/>
            <w:vAlign w:val="center"/>
          </w:tcPr>
          <w:p w14:paraId="0B44C0B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6ABB9A2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7C68259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60" w:type="dxa"/>
            <w:tcBorders>
              <w:tl2br w:val="nil"/>
              <w:tr2bl w:val="nil"/>
            </w:tcBorders>
            <w:noWrap w:val="0"/>
            <w:vAlign w:val="center"/>
          </w:tcPr>
          <w:p w14:paraId="753A80B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36C09CF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214B2A3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0.030 </w:t>
            </w:r>
          </w:p>
        </w:tc>
      </w:tr>
      <w:tr w14:paraId="62DE7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66" w:type="dxa"/>
            <w:vMerge w:val="continue"/>
            <w:tcBorders>
              <w:tl2br w:val="nil"/>
              <w:tr2bl w:val="nil"/>
            </w:tcBorders>
            <w:noWrap w:val="0"/>
            <w:vAlign w:val="center"/>
          </w:tcPr>
          <w:p w14:paraId="54FEB94D">
            <w:pPr>
              <w:pStyle w:val="64"/>
              <w:adjustRightInd w:val="0"/>
              <w:snapToGrid w:val="0"/>
              <w:spacing w:line="240" w:lineRule="auto"/>
              <w:rPr>
                <w:rFonts w:hint="default" w:ascii="Times New Roman" w:hAnsi="Times New Roman" w:cs="Times New Roman"/>
                <w:color w:val="auto"/>
                <w:sz w:val="21"/>
                <w:szCs w:val="21"/>
                <w:highlight w:val="none"/>
              </w:rPr>
            </w:pPr>
          </w:p>
        </w:tc>
        <w:tc>
          <w:tcPr>
            <w:tcW w:w="1053" w:type="dxa"/>
            <w:tcBorders>
              <w:tl2br w:val="nil"/>
              <w:tr2bl w:val="nil"/>
            </w:tcBorders>
            <w:noWrap w:val="0"/>
            <w:vAlign w:val="center"/>
          </w:tcPr>
          <w:p w14:paraId="7CD126D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4200</w:t>
            </w:r>
          </w:p>
        </w:tc>
        <w:tc>
          <w:tcPr>
            <w:tcW w:w="999" w:type="dxa"/>
            <w:tcBorders>
              <w:tl2br w:val="nil"/>
              <w:tr2bl w:val="nil"/>
            </w:tcBorders>
            <w:noWrap w:val="0"/>
            <w:vAlign w:val="center"/>
          </w:tcPr>
          <w:p w14:paraId="16EBB0E8">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13" w:type="dxa"/>
            <w:tcBorders>
              <w:tl2br w:val="nil"/>
              <w:tr2bl w:val="nil"/>
            </w:tcBorders>
            <w:noWrap w:val="0"/>
            <w:vAlign w:val="center"/>
          </w:tcPr>
          <w:p w14:paraId="26F9417A">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11" w:type="dxa"/>
            <w:tcBorders>
              <w:tl2br w:val="nil"/>
              <w:tr2bl w:val="nil"/>
            </w:tcBorders>
            <w:noWrap w:val="0"/>
            <w:vAlign w:val="center"/>
          </w:tcPr>
          <w:p w14:paraId="1F91E93C">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12" w:type="dxa"/>
            <w:tcBorders>
              <w:tl2br w:val="nil"/>
              <w:tr2bl w:val="nil"/>
            </w:tcBorders>
            <w:noWrap w:val="0"/>
            <w:vAlign w:val="center"/>
          </w:tcPr>
          <w:p w14:paraId="2BA3A71C">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0.031 </w:t>
            </w:r>
          </w:p>
        </w:tc>
        <w:tc>
          <w:tcPr>
            <w:tcW w:w="960" w:type="dxa"/>
            <w:tcBorders>
              <w:tl2br w:val="nil"/>
              <w:tr2bl w:val="nil"/>
            </w:tcBorders>
            <w:noWrap w:val="0"/>
            <w:vAlign w:val="center"/>
          </w:tcPr>
          <w:p w14:paraId="3D5722A7">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193E2648">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0.030 </w:t>
            </w:r>
          </w:p>
        </w:tc>
        <w:tc>
          <w:tcPr>
            <w:tcW w:w="960" w:type="dxa"/>
            <w:tcBorders>
              <w:tl2br w:val="nil"/>
              <w:tr2bl w:val="nil"/>
            </w:tcBorders>
            <w:noWrap w:val="0"/>
            <w:vAlign w:val="center"/>
          </w:tcPr>
          <w:p w14:paraId="0CB47075">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0.030 </w:t>
            </w:r>
          </w:p>
        </w:tc>
      </w:tr>
    </w:tbl>
    <w:p w14:paraId="78BCE3FF">
      <w:pPr>
        <w:pStyle w:val="102"/>
        <w:snapToGrid w:val="0"/>
        <w:spacing w:line="240" w:lineRule="auto"/>
        <w:rPr>
          <w:rFonts w:hint="default" w:ascii="Times New Roman" w:hAnsi="Times New Roman" w:cs="Times New Roman"/>
          <w:b/>
          <w:bCs/>
          <w:color w:val="auto"/>
          <w:sz w:val="21"/>
          <w:highlight w:val="none"/>
          <w:u w:val="none"/>
        </w:rPr>
      </w:pPr>
      <w:r>
        <w:rPr>
          <w:rFonts w:hint="default" w:ascii="Times New Roman" w:hAnsi="Times New Roman" w:cs="Times New Roman"/>
          <w:b/>
          <w:bCs/>
          <w:color w:val="auto"/>
          <w:sz w:val="21"/>
          <w:highlight w:val="none"/>
          <w:u w:val="none"/>
        </w:rPr>
        <w:t>表</w:t>
      </w:r>
      <w:r>
        <w:rPr>
          <w:rFonts w:hint="default" w:ascii="Times New Roman" w:hAnsi="Times New Roman" w:cs="Times New Roman"/>
          <w:b/>
          <w:bCs/>
          <w:color w:val="auto"/>
          <w:sz w:val="21"/>
          <w:highlight w:val="none"/>
          <w:u w:val="none"/>
          <w:lang w:val="en-US" w:eastAsia="zh-CN"/>
        </w:rPr>
        <w:t>4.2-</w:t>
      </w:r>
      <w:r>
        <w:rPr>
          <w:rFonts w:hint="eastAsia" w:ascii="Times New Roman" w:cs="Times New Roman"/>
          <w:b/>
          <w:bCs/>
          <w:color w:val="auto"/>
          <w:sz w:val="21"/>
          <w:highlight w:val="none"/>
          <w:u w:val="none"/>
          <w:lang w:val="en-US" w:eastAsia="zh-CN"/>
        </w:rPr>
        <w:t>12</w:t>
      </w:r>
      <w:r>
        <w:rPr>
          <w:rFonts w:hint="default" w:ascii="Times New Roman" w:hAnsi="Times New Roman" w:cs="Times New Roman"/>
          <w:b/>
          <w:bCs/>
          <w:color w:val="auto"/>
          <w:sz w:val="21"/>
          <w:highlight w:val="none"/>
          <w:u w:val="none"/>
          <w:lang w:val="en-US" w:eastAsia="zh-CN"/>
        </w:rPr>
        <w:t xml:space="preserve"> </w:t>
      </w:r>
      <w:r>
        <w:rPr>
          <w:rFonts w:hint="default" w:ascii="Times New Roman" w:hAnsi="Times New Roman" w:cs="Times New Roman"/>
          <w:b/>
          <w:bCs/>
          <w:color w:val="auto"/>
          <w:sz w:val="21"/>
          <w:highlight w:val="none"/>
          <w:u w:val="none"/>
        </w:rPr>
        <w:t xml:space="preserve"> 尾水</w:t>
      </w:r>
      <w:r>
        <w:rPr>
          <w:rFonts w:hint="default" w:ascii="Times New Roman" w:hAnsi="Times New Roman" w:cs="Times New Roman"/>
          <w:b/>
          <w:bCs/>
          <w:color w:val="auto"/>
          <w:sz w:val="21"/>
          <w:highlight w:val="none"/>
          <w:u w:val="none"/>
          <w:lang w:eastAsia="zh-CN"/>
        </w:rPr>
        <w:t>非</w:t>
      </w:r>
      <w:r>
        <w:rPr>
          <w:rFonts w:hint="default" w:ascii="Times New Roman" w:hAnsi="Times New Roman" w:cs="Times New Roman"/>
          <w:b/>
          <w:bCs/>
          <w:color w:val="auto"/>
          <w:sz w:val="21"/>
          <w:highlight w:val="none"/>
          <w:u w:val="none"/>
        </w:rPr>
        <w:t>正常排放COD对</w:t>
      </w:r>
      <w:r>
        <w:rPr>
          <w:rFonts w:hint="default" w:ascii="Times New Roman" w:hAnsi="Times New Roman" w:cs="Times New Roman"/>
          <w:b/>
          <w:bCs/>
          <w:color w:val="auto"/>
          <w:sz w:val="21"/>
          <w:highlight w:val="none"/>
          <w:u w:val="none"/>
          <w:lang w:eastAsia="zh-CN"/>
        </w:rPr>
        <w:t>溢水河</w:t>
      </w:r>
      <w:r>
        <w:rPr>
          <w:rFonts w:hint="default" w:ascii="Times New Roman" w:hAnsi="Times New Roman" w:cs="Times New Roman"/>
          <w:b/>
          <w:bCs/>
          <w:color w:val="auto"/>
          <w:sz w:val="21"/>
          <w:highlight w:val="none"/>
          <w:u w:val="none"/>
        </w:rPr>
        <w:t>水环境影响预测  单位：mg/L</w:t>
      </w:r>
    </w:p>
    <w:tbl>
      <w:tblPr>
        <w:tblStyle w:val="31"/>
        <w:tblW w:w="890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74"/>
        <w:gridCol w:w="826"/>
        <w:gridCol w:w="857"/>
        <w:gridCol w:w="817"/>
        <w:gridCol w:w="850"/>
        <w:gridCol w:w="817"/>
        <w:gridCol w:w="866"/>
        <w:gridCol w:w="850"/>
        <w:gridCol w:w="817"/>
        <w:gridCol w:w="837"/>
      </w:tblGrid>
      <w:tr w14:paraId="665EA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697" w:type="dxa"/>
            <w:tcBorders>
              <w:tl2br w:val="nil"/>
              <w:tr2bl w:val="nil"/>
            </w:tcBorders>
            <w:noWrap w:val="0"/>
            <w:vAlign w:val="center"/>
          </w:tcPr>
          <w:p w14:paraId="016C554F">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阶段</w:t>
            </w:r>
          </w:p>
        </w:tc>
        <w:tc>
          <w:tcPr>
            <w:tcW w:w="674" w:type="dxa"/>
            <w:tcBorders>
              <w:tl2br w:val="nil"/>
              <w:tr2bl w:val="nil"/>
            </w:tcBorders>
            <w:noWrap w:val="0"/>
            <w:vAlign w:val="center"/>
          </w:tcPr>
          <w:p w14:paraId="3025BD6F">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Y/X</w:t>
            </w:r>
          </w:p>
        </w:tc>
        <w:tc>
          <w:tcPr>
            <w:tcW w:w="826" w:type="dxa"/>
            <w:tcBorders>
              <w:tl2br w:val="nil"/>
              <w:tr2bl w:val="nil"/>
            </w:tcBorders>
            <w:noWrap w:val="0"/>
            <w:vAlign w:val="center"/>
          </w:tcPr>
          <w:p w14:paraId="43E4A648">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1</w:t>
            </w:r>
          </w:p>
        </w:tc>
        <w:tc>
          <w:tcPr>
            <w:tcW w:w="857" w:type="dxa"/>
            <w:tcBorders>
              <w:tl2br w:val="nil"/>
              <w:tr2bl w:val="nil"/>
            </w:tcBorders>
            <w:noWrap w:val="0"/>
            <w:vAlign w:val="center"/>
          </w:tcPr>
          <w:p w14:paraId="299A4767">
            <w:pPr>
              <w:pStyle w:val="64"/>
              <w:adjustRightInd w:val="0"/>
              <w:snapToGrid w:val="0"/>
              <w:spacing w:line="240" w:lineRule="auto"/>
              <w:rPr>
                <w:rFonts w:hint="default" w:ascii="Times New Roman"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2</w:t>
            </w:r>
          </w:p>
        </w:tc>
        <w:tc>
          <w:tcPr>
            <w:tcW w:w="817" w:type="dxa"/>
            <w:tcBorders>
              <w:tl2br w:val="nil"/>
              <w:tr2bl w:val="nil"/>
            </w:tcBorders>
            <w:noWrap w:val="0"/>
            <w:vAlign w:val="center"/>
          </w:tcPr>
          <w:p w14:paraId="27EB0690">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5</w:t>
            </w:r>
          </w:p>
        </w:tc>
        <w:tc>
          <w:tcPr>
            <w:tcW w:w="850" w:type="dxa"/>
            <w:tcBorders>
              <w:tl2br w:val="nil"/>
              <w:tr2bl w:val="nil"/>
            </w:tcBorders>
            <w:noWrap w:val="0"/>
            <w:vAlign w:val="center"/>
          </w:tcPr>
          <w:p w14:paraId="06370BB7">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10</w:t>
            </w:r>
          </w:p>
        </w:tc>
        <w:tc>
          <w:tcPr>
            <w:tcW w:w="817" w:type="dxa"/>
            <w:tcBorders>
              <w:tl2br w:val="nil"/>
              <w:tr2bl w:val="nil"/>
            </w:tcBorders>
            <w:noWrap w:val="0"/>
            <w:vAlign w:val="center"/>
          </w:tcPr>
          <w:p w14:paraId="2E312757">
            <w:pPr>
              <w:pStyle w:val="64"/>
              <w:adjustRightInd w:val="0"/>
              <w:snapToGrid w:val="0"/>
              <w:spacing w:line="240" w:lineRule="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20</w:t>
            </w:r>
          </w:p>
        </w:tc>
        <w:tc>
          <w:tcPr>
            <w:tcW w:w="866" w:type="dxa"/>
            <w:tcBorders>
              <w:tl2br w:val="nil"/>
              <w:tr2bl w:val="nil"/>
            </w:tcBorders>
            <w:noWrap w:val="0"/>
            <w:vAlign w:val="center"/>
          </w:tcPr>
          <w:p w14:paraId="6DCA8C31">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30</w:t>
            </w:r>
          </w:p>
        </w:tc>
        <w:tc>
          <w:tcPr>
            <w:tcW w:w="850" w:type="dxa"/>
            <w:tcBorders>
              <w:tl2br w:val="nil"/>
              <w:tr2bl w:val="nil"/>
            </w:tcBorders>
            <w:noWrap w:val="0"/>
            <w:vAlign w:val="center"/>
          </w:tcPr>
          <w:p w14:paraId="537E36A7">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40</w:t>
            </w:r>
          </w:p>
        </w:tc>
        <w:tc>
          <w:tcPr>
            <w:tcW w:w="817" w:type="dxa"/>
            <w:tcBorders>
              <w:tl2br w:val="nil"/>
              <w:tr2bl w:val="nil"/>
            </w:tcBorders>
            <w:noWrap w:val="0"/>
            <w:vAlign w:val="center"/>
          </w:tcPr>
          <w:p w14:paraId="7316B5A6">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50</w:t>
            </w:r>
          </w:p>
        </w:tc>
        <w:tc>
          <w:tcPr>
            <w:tcW w:w="837" w:type="dxa"/>
            <w:tcBorders>
              <w:tl2br w:val="nil"/>
              <w:tr2bl w:val="nil"/>
            </w:tcBorders>
            <w:noWrap w:val="0"/>
            <w:vAlign w:val="center"/>
          </w:tcPr>
          <w:p w14:paraId="0D6574DF">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60</w:t>
            </w:r>
          </w:p>
        </w:tc>
      </w:tr>
      <w:tr w14:paraId="769490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restart"/>
            <w:tcBorders>
              <w:tl2br w:val="nil"/>
              <w:tr2bl w:val="nil"/>
            </w:tcBorders>
            <w:noWrap w:val="0"/>
            <w:vAlign w:val="center"/>
          </w:tcPr>
          <w:p w14:paraId="61CDF7FA">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混合</w:t>
            </w:r>
          </w:p>
          <w:p w14:paraId="53FBDE63">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过程段</w:t>
            </w:r>
          </w:p>
        </w:tc>
        <w:tc>
          <w:tcPr>
            <w:tcW w:w="674" w:type="dxa"/>
            <w:tcBorders>
              <w:tl2br w:val="nil"/>
              <w:tr2bl w:val="nil"/>
            </w:tcBorders>
            <w:noWrap w:val="0"/>
            <w:vAlign w:val="center"/>
          </w:tcPr>
          <w:p w14:paraId="7594FF8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 </w:t>
            </w:r>
          </w:p>
        </w:tc>
        <w:tc>
          <w:tcPr>
            <w:tcW w:w="826" w:type="dxa"/>
            <w:tcBorders>
              <w:tl2br w:val="nil"/>
              <w:tr2bl w:val="nil"/>
            </w:tcBorders>
            <w:noWrap w:val="0"/>
            <w:vAlign w:val="center"/>
          </w:tcPr>
          <w:p w14:paraId="719341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24.925 </w:t>
            </w:r>
          </w:p>
        </w:tc>
        <w:tc>
          <w:tcPr>
            <w:tcW w:w="857" w:type="dxa"/>
            <w:tcBorders>
              <w:tl2br w:val="nil"/>
              <w:tr2bl w:val="nil"/>
            </w:tcBorders>
            <w:noWrap w:val="0"/>
            <w:vAlign w:val="center"/>
          </w:tcPr>
          <w:p w14:paraId="03ADF3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17.617 </w:t>
            </w:r>
          </w:p>
        </w:tc>
        <w:tc>
          <w:tcPr>
            <w:tcW w:w="817" w:type="dxa"/>
            <w:tcBorders>
              <w:tl2br w:val="nil"/>
              <w:tr2bl w:val="nil"/>
            </w:tcBorders>
            <w:noWrap w:val="0"/>
            <w:vAlign w:val="center"/>
          </w:tcPr>
          <w:p w14:paraId="77B6A9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11.036 </w:t>
            </w:r>
          </w:p>
        </w:tc>
        <w:tc>
          <w:tcPr>
            <w:tcW w:w="850" w:type="dxa"/>
            <w:tcBorders>
              <w:tl2br w:val="nil"/>
              <w:tr2bl w:val="nil"/>
            </w:tcBorders>
            <w:noWrap w:val="0"/>
            <w:vAlign w:val="center"/>
          </w:tcPr>
          <w:p w14:paraId="5BD1385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17BFB30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66" w:type="dxa"/>
            <w:tcBorders>
              <w:tl2br w:val="nil"/>
              <w:tr2bl w:val="nil"/>
            </w:tcBorders>
            <w:noWrap w:val="0"/>
            <w:vAlign w:val="center"/>
          </w:tcPr>
          <w:p w14:paraId="7780FE2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50" w:type="dxa"/>
            <w:tcBorders>
              <w:tl2br w:val="nil"/>
              <w:tr2bl w:val="nil"/>
            </w:tcBorders>
            <w:noWrap w:val="0"/>
            <w:vAlign w:val="center"/>
          </w:tcPr>
          <w:p w14:paraId="7CBF2FE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58A3F5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27EA41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3DB7DD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782E93B9">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16E89C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826" w:type="dxa"/>
            <w:tcBorders>
              <w:tl2br w:val="nil"/>
              <w:tr2bl w:val="nil"/>
            </w:tcBorders>
            <w:noWrap w:val="0"/>
            <w:vAlign w:val="center"/>
          </w:tcPr>
          <w:p w14:paraId="4D89B6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22.146 </w:t>
            </w:r>
          </w:p>
        </w:tc>
        <w:tc>
          <w:tcPr>
            <w:tcW w:w="857" w:type="dxa"/>
            <w:tcBorders>
              <w:tl2br w:val="nil"/>
              <w:tr2bl w:val="nil"/>
            </w:tcBorders>
            <w:noWrap w:val="0"/>
            <w:vAlign w:val="center"/>
          </w:tcPr>
          <w:p w14:paraId="480FF6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18.684 </w:t>
            </w:r>
          </w:p>
        </w:tc>
        <w:tc>
          <w:tcPr>
            <w:tcW w:w="817" w:type="dxa"/>
            <w:tcBorders>
              <w:tl2br w:val="nil"/>
              <w:tr2bl w:val="nil"/>
            </w:tcBorders>
            <w:noWrap w:val="0"/>
            <w:vAlign w:val="center"/>
          </w:tcPr>
          <w:p w14:paraId="34DB6AF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11.568 </w:t>
            </w:r>
          </w:p>
        </w:tc>
        <w:tc>
          <w:tcPr>
            <w:tcW w:w="850" w:type="dxa"/>
            <w:tcBorders>
              <w:tl2br w:val="nil"/>
              <w:tr2bl w:val="nil"/>
            </w:tcBorders>
            <w:noWrap w:val="0"/>
            <w:vAlign w:val="center"/>
          </w:tcPr>
          <w:p w14:paraId="270B44F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2300ECF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66" w:type="dxa"/>
            <w:tcBorders>
              <w:tl2br w:val="nil"/>
              <w:tr2bl w:val="nil"/>
            </w:tcBorders>
            <w:noWrap w:val="0"/>
            <w:vAlign w:val="center"/>
          </w:tcPr>
          <w:p w14:paraId="5B9B1A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50" w:type="dxa"/>
            <w:tcBorders>
              <w:tl2br w:val="nil"/>
              <w:tr2bl w:val="nil"/>
            </w:tcBorders>
            <w:noWrap w:val="0"/>
            <w:vAlign w:val="center"/>
          </w:tcPr>
          <w:p w14:paraId="3F2E9CE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020E6CC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5D4305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1A918B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97" w:type="dxa"/>
            <w:vMerge w:val="continue"/>
            <w:tcBorders>
              <w:tl2br w:val="nil"/>
              <w:tr2bl w:val="nil"/>
            </w:tcBorders>
            <w:noWrap w:val="0"/>
            <w:vAlign w:val="center"/>
          </w:tcPr>
          <w:p w14:paraId="28C10B2D">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642D6B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 </w:t>
            </w:r>
          </w:p>
        </w:tc>
        <w:tc>
          <w:tcPr>
            <w:tcW w:w="826" w:type="dxa"/>
            <w:tcBorders>
              <w:tl2br w:val="nil"/>
              <w:tr2bl w:val="nil"/>
            </w:tcBorders>
            <w:noWrap w:val="0"/>
            <w:vAlign w:val="center"/>
          </w:tcPr>
          <w:p w14:paraId="40CBEA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16.504 </w:t>
            </w:r>
          </w:p>
        </w:tc>
        <w:tc>
          <w:tcPr>
            <w:tcW w:w="857" w:type="dxa"/>
            <w:tcBorders>
              <w:tl2br w:val="nil"/>
              <w:tr2bl w:val="nil"/>
            </w:tcBorders>
            <w:noWrap w:val="0"/>
            <w:vAlign w:val="center"/>
          </w:tcPr>
          <w:p w14:paraId="3AFC01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16.109 </w:t>
            </w:r>
          </w:p>
        </w:tc>
        <w:tc>
          <w:tcPr>
            <w:tcW w:w="817" w:type="dxa"/>
            <w:tcBorders>
              <w:tl2br w:val="nil"/>
              <w:tr2bl w:val="nil"/>
            </w:tcBorders>
            <w:noWrap w:val="0"/>
            <w:vAlign w:val="center"/>
          </w:tcPr>
          <w:p w14:paraId="478F4DF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14.035 </w:t>
            </w:r>
          </w:p>
        </w:tc>
        <w:tc>
          <w:tcPr>
            <w:tcW w:w="850" w:type="dxa"/>
            <w:tcBorders>
              <w:tl2br w:val="nil"/>
              <w:tr2bl w:val="nil"/>
            </w:tcBorders>
            <w:noWrap w:val="0"/>
            <w:vAlign w:val="center"/>
          </w:tcPr>
          <w:p w14:paraId="04842FF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11.472 </w:t>
            </w:r>
          </w:p>
        </w:tc>
        <w:tc>
          <w:tcPr>
            <w:tcW w:w="817" w:type="dxa"/>
            <w:tcBorders>
              <w:tl2br w:val="nil"/>
              <w:tr2bl w:val="nil"/>
            </w:tcBorders>
            <w:noWrap w:val="0"/>
            <w:vAlign w:val="center"/>
          </w:tcPr>
          <w:p w14:paraId="53741FC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66" w:type="dxa"/>
            <w:tcBorders>
              <w:tl2br w:val="nil"/>
              <w:tr2bl w:val="nil"/>
            </w:tcBorders>
            <w:noWrap w:val="0"/>
            <w:vAlign w:val="center"/>
          </w:tcPr>
          <w:p w14:paraId="6A1DD29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50" w:type="dxa"/>
            <w:tcBorders>
              <w:tl2br w:val="nil"/>
              <w:tr2bl w:val="nil"/>
            </w:tcBorders>
            <w:noWrap w:val="0"/>
            <w:vAlign w:val="center"/>
          </w:tcPr>
          <w:p w14:paraId="5D06CE9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71F19D6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4F6BDE9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6C4AC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6CBC85B8">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00F9E1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826" w:type="dxa"/>
            <w:tcBorders>
              <w:tl2br w:val="nil"/>
              <w:tr2bl w:val="nil"/>
            </w:tcBorders>
            <w:noWrap w:val="0"/>
            <w:vAlign w:val="center"/>
          </w:tcPr>
          <w:p w14:paraId="3B801E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14.939 </w:t>
            </w:r>
          </w:p>
        </w:tc>
        <w:tc>
          <w:tcPr>
            <w:tcW w:w="857" w:type="dxa"/>
            <w:tcBorders>
              <w:tl2br w:val="nil"/>
              <w:tr2bl w:val="nil"/>
            </w:tcBorders>
            <w:noWrap w:val="0"/>
            <w:vAlign w:val="center"/>
          </w:tcPr>
          <w:p w14:paraId="79B9D9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14.795 </w:t>
            </w:r>
          </w:p>
        </w:tc>
        <w:tc>
          <w:tcPr>
            <w:tcW w:w="817" w:type="dxa"/>
            <w:tcBorders>
              <w:tl2br w:val="nil"/>
              <w:tr2bl w:val="nil"/>
            </w:tcBorders>
            <w:noWrap w:val="0"/>
            <w:vAlign w:val="center"/>
          </w:tcPr>
          <w:p w14:paraId="03CC234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13.925 </w:t>
            </w:r>
          </w:p>
        </w:tc>
        <w:tc>
          <w:tcPr>
            <w:tcW w:w="850" w:type="dxa"/>
            <w:tcBorders>
              <w:tl2br w:val="nil"/>
              <w:tr2bl w:val="nil"/>
            </w:tcBorders>
            <w:noWrap w:val="0"/>
            <w:vAlign w:val="center"/>
          </w:tcPr>
          <w:p w14:paraId="52D38F0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12.154 </w:t>
            </w:r>
          </w:p>
        </w:tc>
        <w:tc>
          <w:tcPr>
            <w:tcW w:w="817" w:type="dxa"/>
            <w:tcBorders>
              <w:tl2br w:val="nil"/>
              <w:tr2bl w:val="nil"/>
            </w:tcBorders>
            <w:noWrap w:val="0"/>
            <w:vAlign w:val="center"/>
          </w:tcPr>
          <w:p w14:paraId="7A19FAA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11.028 </w:t>
            </w:r>
          </w:p>
        </w:tc>
        <w:tc>
          <w:tcPr>
            <w:tcW w:w="866" w:type="dxa"/>
            <w:tcBorders>
              <w:tl2br w:val="nil"/>
              <w:tr2bl w:val="nil"/>
            </w:tcBorders>
            <w:noWrap w:val="0"/>
            <w:vAlign w:val="center"/>
          </w:tcPr>
          <w:p w14:paraId="1C8E43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50" w:type="dxa"/>
            <w:tcBorders>
              <w:tl2br w:val="nil"/>
              <w:tr2bl w:val="nil"/>
            </w:tcBorders>
            <w:noWrap w:val="0"/>
            <w:vAlign w:val="center"/>
          </w:tcPr>
          <w:p w14:paraId="70CD50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6BDE5DB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4949CC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09AED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33D97CA4">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B8B1A3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 </w:t>
            </w:r>
          </w:p>
        </w:tc>
        <w:tc>
          <w:tcPr>
            <w:tcW w:w="826" w:type="dxa"/>
            <w:tcBorders>
              <w:tl2br w:val="nil"/>
              <w:tr2bl w:val="nil"/>
            </w:tcBorders>
            <w:noWrap w:val="0"/>
            <w:vAlign w:val="center"/>
          </w:tcPr>
          <w:p w14:paraId="272EB6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14.229 </w:t>
            </w:r>
          </w:p>
        </w:tc>
        <w:tc>
          <w:tcPr>
            <w:tcW w:w="857" w:type="dxa"/>
            <w:tcBorders>
              <w:tl2br w:val="nil"/>
              <w:tr2bl w:val="nil"/>
            </w:tcBorders>
            <w:noWrap w:val="0"/>
            <w:vAlign w:val="center"/>
          </w:tcPr>
          <w:p w14:paraId="7101F4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14.150 </w:t>
            </w:r>
          </w:p>
        </w:tc>
        <w:tc>
          <w:tcPr>
            <w:tcW w:w="817" w:type="dxa"/>
            <w:tcBorders>
              <w:tl2br w:val="nil"/>
              <w:tr2bl w:val="nil"/>
            </w:tcBorders>
            <w:noWrap w:val="0"/>
            <w:vAlign w:val="center"/>
          </w:tcPr>
          <w:p w14:paraId="0BBC3C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13.648 </w:t>
            </w:r>
          </w:p>
        </w:tc>
        <w:tc>
          <w:tcPr>
            <w:tcW w:w="850" w:type="dxa"/>
            <w:tcBorders>
              <w:tl2br w:val="nil"/>
              <w:tr2bl w:val="nil"/>
            </w:tcBorders>
            <w:noWrap w:val="0"/>
            <w:vAlign w:val="center"/>
          </w:tcPr>
          <w:p w14:paraId="4027EC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12.424 </w:t>
            </w:r>
          </w:p>
        </w:tc>
        <w:tc>
          <w:tcPr>
            <w:tcW w:w="817" w:type="dxa"/>
            <w:tcBorders>
              <w:tl2br w:val="nil"/>
              <w:tr2bl w:val="nil"/>
            </w:tcBorders>
            <w:noWrap w:val="0"/>
            <w:vAlign w:val="center"/>
          </w:tcPr>
          <w:p w14:paraId="7F60D87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11.119 </w:t>
            </w:r>
          </w:p>
        </w:tc>
        <w:tc>
          <w:tcPr>
            <w:tcW w:w="866" w:type="dxa"/>
            <w:tcBorders>
              <w:tl2br w:val="nil"/>
              <w:tr2bl w:val="nil"/>
            </w:tcBorders>
            <w:noWrap w:val="0"/>
            <w:vAlign w:val="center"/>
          </w:tcPr>
          <w:p w14:paraId="1D2D21D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11.002 </w:t>
            </w:r>
          </w:p>
        </w:tc>
        <w:tc>
          <w:tcPr>
            <w:tcW w:w="850" w:type="dxa"/>
            <w:tcBorders>
              <w:tl2br w:val="nil"/>
              <w:tr2bl w:val="nil"/>
            </w:tcBorders>
            <w:noWrap w:val="0"/>
            <w:vAlign w:val="center"/>
          </w:tcPr>
          <w:p w14:paraId="31115A1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17EAE7E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77B3745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1F5E2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5B1BAD24">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DAD0DD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826" w:type="dxa"/>
            <w:tcBorders>
              <w:tl2br w:val="nil"/>
              <w:tr2bl w:val="nil"/>
            </w:tcBorders>
            <w:noWrap w:val="0"/>
            <w:vAlign w:val="center"/>
          </w:tcPr>
          <w:p w14:paraId="0DC2BF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13.801 </w:t>
            </w:r>
          </w:p>
        </w:tc>
        <w:tc>
          <w:tcPr>
            <w:tcW w:w="857" w:type="dxa"/>
            <w:tcBorders>
              <w:tl2br w:val="nil"/>
              <w:tr2bl w:val="nil"/>
            </w:tcBorders>
            <w:noWrap w:val="0"/>
            <w:vAlign w:val="center"/>
          </w:tcPr>
          <w:p w14:paraId="74AF60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13.750 </w:t>
            </w:r>
          </w:p>
        </w:tc>
        <w:tc>
          <w:tcPr>
            <w:tcW w:w="817" w:type="dxa"/>
            <w:tcBorders>
              <w:tl2br w:val="nil"/>
              <w:tr2bl w:val="nil"/>
            </w:tcBorders>
            <w:noWrap w:val="0"/>
            <w:vAlign w:val="center"/>
          </w:tcPr>
          <w:p w14:paraId="5A65296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13.414 </w:t>
            </w:r>
          </w:p>
        </w:tc>
        <w:tc>
          <w:tcPr>
            <w:tcW w:w="850" w:type="dxa"/>
            <w:tcBorders>
              <w:tl2br w:val="nil"/>
              <w:tr2bl w:val="nil"/>
            </w:tcBorders>
            <w:noWrap w:val="0"/>
            <w:vAlign w:val="center"/>
          </w:tcPr>
          <w:p w14:paraId="74A97A3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12.516 </w:t>
            </w:r>
          </w:p>
        </w:tc>
        <w:tc>
          <w:tcPr>
            <w:tcW w:w="817" w:type="dxa"/>
            <w:tcBorders>
              <w:tl2br w:val="nil"/>
              <w:tr2bl w:val="nil"/>
            </w:tcBorders>
            <w:noWrap w:val="0"/>
            <w:vAlign w:val="center"/>
          </w:tcPr>
          <w:p w14:paraId="73C711C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11.236 </w:t>
            </w:r>
          </w:p>
        </w:tc>
        <w:tc>
          <w:tcPr>
            <w:tcW w:w="866" w:type="dxa"/>
            <w:tcBorders>
              <w:tl2br w:val="nil"/>
              <w:tr2bl w:val="nil"/>
            </w:tcBorders>
            <w:noWrap w:val="0"/>
            <w:vAlign w:val="center"/>
          </w:tcPr>
          <w:p w14:paraId="76F348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11.011 </w:t>
            </w:r>
          </w:p>
        </w:tc>
        <w:tc>
          <w:tcPr>
            <w:tcW w:w="850" w:type="dxa"/>
            <w:tcBorders>
              <w:tl2br w:val="nil"/>
              <w:tr2bl w:val="nil"/>
            </w:tcBorders>
            <w:noWrap w:val="0"/>
            <w:vAlign w:val="center"/>
          </w:tcPr>
          <w:p w14:paraId="29B3287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17" w:type="dxa"/>
            <w:tcBorders>
              <w:tl2br w:val="nil"/>
              <w:tr2bl w:val="nil"/>
            </w:tcBorders>
            <w:noWrap w:val="0"/>
            <w:vAlign w:val="center"/>
          </w:tcPr>
          <w:p w14:paraId="4612372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7CBCAC1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5F539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59AD5ECA">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30B891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 </w:t>
            </w:r>
          </w:p>
        </w:tc>
        <w:tc>
          <w:tcPr>
            <w:tcW w:w="826" w:type="dxa"/>
            <w:tcBorders>
              <w:tl2br w:val="nil"/>
              <w:tr2bl w:val="nil"/>
            </w:tcBorders>
            <w:noWrap w:val="0"/>
            <w:vAlign w:val="center"/>
          </w:tcPr>
          <w:p w14:paraId="5CCCE7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13.508 </w:t>
            </w:r>
          </w:p>
        </w:tc>
        <w:tc>
          <w:tcPr>
            <w:tcW w:w="857" w:type="dxa"/>
            <w:tcBorders>
              <w:tl2br w:val="nil"/>
              <w:tr2bl w:val="nil"/>
            </w:tcBorders>
            <w:noWrap w:val="0"/>
            <w:vAlign w:val="center"/>
          </w:tcPr>
          <w:p w14:paraId="07BDE3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13.471 </w:t>
            </w:r>
          </w:p>
        </w:tc>
        <w:tc>
          <w:tcPr>
            <w:tcW w:w="817" w:type="dxa"/>
            <w:tcBorders>
              <w:tl2br w:val="nil"/>
              <w:tr2bl w:val="nil"/>
            </w:tcBorders>
            <w:noWrap w:val="0"/>
            <w:vAlign w:val="center"/>
          </w:tcPr>
          <w:p w14:paraId="3F4C06D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13.227 </w:t>
            </w:r>
          </w:p>
        </w:tc>
        <w:tc>
          <w:tcPr>
            <w:tcW w:w="850" w:type="dxa"/>
            <w:tcBorders>
              <w:tl2br w:val="nil"/>
              <w:tr2bl w:val="nil"/>
            </w:tcBorders>
            <w:noWrap w:val="0"/>
            <w:vAlign w:val="center"/>
          </w:tcPr>
          <w:p w14:paraId="522FC35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12.535 </w:t>
            </w:r>
          </w:p>
        </w:tc>
        <w:tc>
          <w:tcPr>
            <w:tcW w:w="817" w:type="dxa"/>
            <w:tcBorders>
              <w:tl2br w:val="nil"/>
              <w:tr2bl w:val="nil"/>
            </w:tcBorders>
            <w:noWrap w:val="0"/>
            <w:vAlign w:val="center"/>
          </w:tcPr>
          <w:p w14:paraId="10364DB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11.347 </w:t>
            </w:r>
          </w:p>
        </w:tc>
        <w:tc>
          <w:tcPr>
            <w:tcW w:w="866" w:type="dxa"/>
            <w:tcBorders>
              <w:tl2br w:val="nil"/>
              <w:tr2bl w:val="nil"/>
            </w:tcBorders>
            <w:noWrap w:val="0"/>
            <w:vAlign w:val="center"/>
          </w:tcPr>
          <w:p w14:paraId="63BB53F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11.029 </w:t>
            </w:r>
          </w:p>
        </w:tc>
        <w:tc>
          <w:tcPr>
            <w:tcW w:w="850" w:type="dxa"/>
            <w:tcBorders>
              <w:tl2br w:val="nil"/>
              <w:tr2bl w:val="nil"/>
            </w:tcBorders>
            <w:noWrap w:val="0"/>
            <w:vAlign w:val="center"/>
          </w:tcPr>
          <w:p w14:paraId="3088F3F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c>
          <w:tcPr>
            <w:tcW w:w="817" w:type="dxa"/>
            <w:tcBorders>
              <w:tl2br w:val="nil"/>
              <w:tr2bl w:val="nil"/>
            </w:tcBorders>
            <w:noWrap w:val="0"/>
            <w:vAlign w:val="center"/>
          </w:tcPr>
          <w:p w14:paraId="0DCEEBB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2487776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47DE8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97" w:type="dxa"/>
            <w:vMerge w:val="continue"/>
            <w:tcBorders>
              <w:tl2br w:val="nil"/>
              <w:tr2bl w:val="nil"/>
            </w:tcBorders>
            <w:noWrap w:val="0"/>
            <w:vAlign w:val="center"/>
          </w:tcPr>
          <w:p w14:paraId="1B062184">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1FB87CB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 </w:t>
            </w:r>
          </w:p>
        </w:tc>
        <w:tc>
          <w:tcPr>
            <w:tcW w:w="826" w:type="dxa"/>
            <w:tcBorders>
              <w:tl2br w:val="nil"/>
              <w:tr2bl w:val="nil"/>
            </w:tcBorders>
            <w:noWrap w:val="0"/>
            <w:vAlign w:val="center"/>
          </w:tcPr>
          <w:p w14:paraId="2497E0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13.291 </w:t>
            </w:r>
          </w:p>
        </w:tc>
        <w:tc>
          <w:tcPr>
            <w:tcW w:w="857" w:type="dxa"/>
            <w:tcBorders>
              <w:tl2br w:val="nil"/>
              <w:tr2bl w:val="nil"/>
            </w:tcBorders>
            <w:noWrap w:val="0"/>
            <w:vAlign w:val="center"/>
          </w:tcPr>
          <w:p w14:paraId="175111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13.263 </w:t>
            </w:r>
          </w:p>
        </w:tc>
        <w:tc>
          <w:tcPr>
            <w:tcW w:w="817" w:type="dxa"/>
            <w:tcBorders>
              <w:tl2br w:val="nil"/>
              <w:tr2bl w:val="nil"/>
            </w:tcBorders>
            <w:noWrap w:val="0"/>
            <w:vAlign w:val="center"/>
          </w:tcPr>
          <w:p w14:paraId="1101C1F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13.075 </w:t>
            </w:r>
          </w:p>
        </w:tc>
        <w:tc>
          <w:tcPr>
            <w:tcW w:w="850" w:type="dxa"/>
            <w:tcBorders>
              <w:tl2br w:val="nil"/>
              <w:tr2bl w:val="nil"/>
            </w:tcBorders>
            <w:noWrap w:val="0"/>
            <w:vAlign w:val="center"/>
          </w:tcPr>
          <w:p w14:paraId="7130CA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12.521 </w:t>
            </w:r>
          </w:p>
        </w:tc>
        <w:tc>
          <w:tcPr>
            <w:tcW w:w="817" w:type="dxa"/>
            <w:tcBorders>
              <w:tl2br w:val="nil"/>
              <w:tr2bl w:val="nil"/>
            </w:tcBorders>
            <w:noWrap w:val="0"/>
            <w:vAlign w:val="center"/>
          </w:tcPr>
          <w:p w14:paraId="5D2E1AE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11.440 </w:t>
            </w:r>
          </w:p>
        </w:tc>
        <w:tc>
          <w:tcPr>
            <w:tcW w:w="866" w:type="dxa"/>
            <w:tcBorders>
              <w:tl2br w:val="nil"/>
              <w:tr2bl w:val="nil"/>
            </w:tcBorders>
            <w:noWrap w:val="0"/>
            <w:vAlign w:val="center"/>
          </w:tcPr>
          <w:p w14:paraId="697D9D5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11.056 </w:t>
            </w:r>
          </w:p>
        </w:tc>
        <w:tc>
          <w:tcPr>
            <w:tcW w:w="850" w:type="dxa"/>
            <w:tcBorders>
              <w:tl2br w:val="nil"/>
              <w:tr2bl w:val="nil"/>
            </w:tcBorders>
            <w:noWrap w:val="0"/>
            <w:vAlign w:val="center"/>
          </w:tcPr>
          <w:p w14:paraId="5A8328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11.003 </w:t>
            </w:r>
          </w:p>
        </w:tc>
        <w:tc>
          <w:tcPr>
            <w:tcW w:w="817" w:type="dxa"/>
            <w:tcBorders>
              <w:tl2br w:val="nil"/>
              <w:tr2bl w:val="nil"/>
            </w:tcBorders>
            <w:noWrap w:val="0"/>
            <w:vAlign w:val="center"/>
          </w:tcPr>
          <w:p w14:paraId="0EC1F72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4EBE96A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6CE463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97" w:type="dxa"/>
            <w:vMerge w:val="continue"/>
            <w:tcBorders>
              <w:tl2br w:val="nil"/>
              <w:tr2bl w:val="nil"/>
            </w:tcBorders>
            <w:noWrap w:val="0"/>
            <w:vAlign w:val="center"/>
          </w:tcPr>
          <w:p w14:paraId="248409EA">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5E4C6A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826" w:type="dxa"/>
            <w:tcBorders>
              <w:tl2br w:val="nil"/>
              <w:tr2bl w:val="nil"/>
            </w:tcBorders>
            <w:noWrap w:val="0"/>
            <w:vAlign w:val="center"/>
          </w:tcPr>
          <w:p w14:paraId="021800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13.122 </w:t>
            </w:r>
          </w:p>
        </w:tc>
        <w:tc>
          <w:tcPr>
            <w:tcW w:w="857" w:type="dxa"/>
            <w:tcBorders>
              <w:tl2br w:val="nil"/>
              <w:tr2bl w:val="nil"/>
            </w:tcBorders>
            <w:noWrap w:val="0"/>
            <w:vAlign w:val="center"/>
          </w:tcPr>
          <w:p w14:paraId="6B9D5B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13.099 </w:t>
            </w:r>
          </w:p>
        </w:tc>
        <w:tc>
          <w:tcPr>
            <w:tcW w:w="817" w:type="dxa"/>
            <w:tcBorders>
              <w:tl2br w:val="nil"/>
              <w:tr2bl w:val="nil"/>
            </w:tcBorders>
            <w:noWrap w:val="0"/>
            <w:vAlign w:val="center"/>
          </w:tcPr>
          <w:p w14:paraId="0AC424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12.949 </w:t>
            </w:r>
          </w:p>
        </w:tc>
        <w:tc>
          <w:tcPr>
            <w:tcW w:w="850" w:type="dxa"/>
            <w:tcBorders>
              <w:tl2br w:val="nil"/>
              <w:tr2bl w:val="nil"/>
            </w:tcBorders>
            <w:noWrap w:val="0"/>
            <w:vAlign w:val="center"/>
          </w:tcPr>
          <w:p w14:paraId="05DD445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12.494 </w:t>
            </w:r>
          </w:p>
        </w:tc>
        <w:tc>
          <w:tcPr>
            <w:tcW w:w="817" w:type="dxa"/>
            <w:tcBorders>
              <w:tl2br w:val="nil"/>
              <w:tr2bl w:val="nil"/>
            </w:tcBorders>
            <w:noWrap w:val="0"/>
            <w:vAlign w:val="center"/>
          </w:tcPr>
          <w:p w14:paraId="5ADE3A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11.516 </w:t>
            </w:r>
          </w:p>
        </w:tc>
        <w:tc>
          <w:tcPr>
            <w:tcW w:w="866" w:type="dxa"/>
            <w:tcBorders>
              <w:tl2br w:val="nil"/>
              <w:tr2bl w:val="nil"/>
            </w:tcBorders>
            <w:noWrap w:val="0"/>
            <w:vAlign w:val="center"/>
          </w:tcPr>
          <w:p w14:paraId="25EF9AD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11.088 </w:t>
            </w:r>
          </w:p>
        </w:tc>
        <w:tc>
          <w:tcPr>
            <w:tcW w:w="850" w:type="dxa"/>
            <w:tcBorders>
              <w:tl2br w:val="nil"/>
              <w:tr2bl w:val="nil"/>
            </w:tcBorders>
            <w:noWrap w:val="0"/>
            <w:vAlign w:val="center"/>
          </w:tcPr>
          <w:p w14:paraId="32136A7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11.007 </w:t>
            </w:r>
          </w:p>
        </w:tc>
        <w:tc>
          <w:tcPr>
            <w:tcW w:w="817" w:type="dxa"/>
            <w:tcBorders>
              <w:tl2br w:val="nil"/>
              <w:tr2bl w:val="nil"/>
            </w:tcBorders>
            <w:noWrap w:val="0"/>
            <w:vAlign w:val="center"/>
          </w:tcPr>
          <w:p w14:paraId="0522145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c>
          <w:tcPr>
            <w:tcW w:w="837" w:type="dxa"/>
            <w:tcBorders>
              <w:tl2br w:val="nil"/>
              <w:tr2bl w:val="nil"/>
            </w:tcBorders>
            <w:noWrap w:val="0"/>
            <w:vAlign w:val="center"/>
          </w:tcPr>
          <w:p w14:paraId="33B9869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43FA7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61AE9824">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0AE91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 </w:t>
            </w:r>
          </w:p>
        </w:tc>
        <w:tc>
          <w:tcPr>
            <w:tcW w:w="826" w:type="dxa"/>
            <w:tcBorders>
              <w:tl2br w:val="nil"/>
              <w:tr2bl w:val="nil"/>
            </w:tcBorders>
            <w:noWrap w:val="0"/>
            <w:vAlign w:val="center"/>
          </w:tcPr>
          <w:p w14:paraId="6ECE09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12.985 </w:t>
            </w:r>
          </w:p>
        </w:tc>
        <w:tc>
          <w:tcPr>
            <w:tcW w:w="857" w:type="dxa"/>
            <w:tcBorders>
              <w:tl2br w:val="nil"/>
              <w:tr2bl w:val="nil"/>
            </w:tcBorders>
            <w:noWrap w:val="0"/>
            <w:vAlign w:val="center"/>
          </w:tcPr>
          <w:p w14:paraId="25F378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12.967 </w:t>
            </w:r>
          </w:p>
        </w:tc>
        <w:tc>
          <w:tcPr>
            <w:tcW w:w="817" w:type="dxa"/>
            <w:tcBorders>
              <w:tl2br w:val="nil"/>
              <w:tr2bl w:val="nil"/>
            </w:tcBorders>
            <w:noWrap w:val="0"/>
            <w:vAlign w:val="center"/>
          </w:tcPr>
          <w:p w14:paraId="70D4E66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12.843 </w:t>
            </w:r>
          </w:p>
        </w:tc>
        <w:tc>
          <w:tcPr>
            <w:tcW w:w="850" w:type="dxa"/>
            <w:tcBorders>
              <w:tl2br w:val="nil"/>
              <w:tr2bl w:val="nil"/>
            </w:tcBorders>
            <w:noWrap w:val="0"/>
            <w:vAlign w:val="center"/>
          </w:tcPr>
          <w:p w14:paraId="68583F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12.460 </w:t>
            </w:r>
          </w:p>
        </w:tc>
        <w:tc>
          <w:tcPr>
            <w:tcW w:w="817" w:type="dxa"/>
            <w:tcBorders>
              <w:tl2br w:val="nil"/>
              <w:tr2bl w:val="nil"/>
            </w:tcBorders>
            <w:noWrap w:val="0"/>
            <w:vAlign w:val="center"/>
          </w:tcPr>
          <w:p w14:paraId="140349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11.576 </w:t>
            </w:r>
          </w:p>
        </w:tc>
        <w:tc>
          <w:tcPr>
            <w:tcW w:w="866" w:type="dxa"/>
            <w:tcBorders>
              <w:tl2br w:val="nil"/>
              <w:tr2bl w:val="nil"/>
            </w:tcBorders>
            <w:noWrap w:val="0"/>
            <w:vAlign w:val="center"/>
          </w:tcPr>
          <w:p w14:paraId="35CFA6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11.122 </w:t>
            </w:r>
          </w:p>
        </w:tc>
        <w:tc>
          <w:tcPr>
            <w:tcW w:w="850" w:type="dxa"/>
            <w:tcBorders>
              <w:tl2br w:val="nil"/>
              <w:tr2bl w:val="nil"/>
            </w:tcBorders>
            <w:noWrap w:val="0"/>
            <w:vAlign w:val="center"/>
          </w:tcPr>
          <w:p w14:paraId="1807546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11.014 </w:t>
            </w:r>
          </w:p>
        </w:tc>
        <w:tc>
          <w:tcPr>
            <w:tcW w:w="817" w:type="dxa"/>
            <w:tcBorders>
              <w:tl2br w:val="nil"/>
              <w:tr2bl w:val="nil"/>
            </w:tcBorders>
            <w:noWrap w:val="0"/>
            <w:vAlign w:val="center"/>
          </w:tcPr>
          <w:p w14:paraId="016A24D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c>
          <w:tcPr>
            <w:tcW w:w="837" w:type="dxa"/>
            <w:tcBorders>
              <w:tl2br w:val="nil"/>
              <w:tr2bl w:val="nil"/>
            </w:tcBorders>
            <w:noWrap w:val="0"/>
            <w:vAlign w:val="center"/>
          </w:tcPr>
          <w:p w14:paraId="1A6EE2D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691CE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6378BCA1">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97FB9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450 </w:t>
            </w:r>
          </w:p>
        </w:tc>
        <w:tc>
          <w:tcPr>
            <w:tcW w:w="826" w:type="dxa"/>
            <w:tcBorders>
              <w:tl2br w:val="nil"/>
              <w:tr2bl w:val="nil"/>
            </w:tcBorders>
            <w:noWrap w:val="0"/>
            <w:vAlign w:val="center"/>
          </w:tcPr>
          <w:p w14:paraId="247E53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12.872 </w:t>
            </w:r>
          </w:p>
        </w:tc>
        <w:tc>
          <w:tcPr>
            <w:tcW w:w="857" w:type="dxa"/>
            <w:tcBorders>
              <w:tl2br w:val="nil"/>
              <w:tr2bl w:val="nil"/>
            </w:tcBorders>
            <w:noWrap w:val="0"/>
            <w:vAlign w:val="center"/>
          </w:tcPr>
          <w:p w14:paraId="65AF88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12.856 </w:t>
            </w:r>
          </w:p>
        </w:tc>
        <w:tc>
          <w:tcPr>
            <w:tcW w:w="817" w:type="dxa"/>
            <w:tcBorders>
              <w:tl2br w:val="nil"/>
              <w:tr2bl w:val="nil"/>
            </w:tcBorders>
            <w:noWrap w:val="0"/>
            <w:vAlign w:val="center"/>
          </w:tcPr>
          <w:p w14:paraId="7C701F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12.752 </w:t>
            </w:r>
          </w:p>
        </w:tc>
        <w:tc>
          <w:tcPr>
            <w:tcW w:w="850" w:type="dxa"/>
            <w:tcBorders>
              <w:tl2br w:val="nil"/>
              <w:tr2bl w:val="nil"/>
            </w:tcBorders>
            <w:noWrap w:val="0"/>
            <w:vAlign w:val="center"/>
          </w:tcPr>
          <w:p w14:paraId="5BEF108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12.425 </w:t>
            </w:r>
          </w:p>
        </w:tc>
        <w:tc>
          <w:tcPr>
            <w:tcW w:w="817" w:type="dxa"/>
            <w:tcBorders>
              <w:tl2br w:val="nil"/>
              <w:tr2bl w:val="nil"/>
            </w:tcBorders>
            <w:noWrap w:val="0"/>
            <w:vAlign w:val="center"/>
          </w:tcPr>
          <w:p w14:paraId="1D9D6FB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11.623 </w:t>
            </w:r>
          </w:p>
        </w:tc>
        <w:tc>
          <w:tcPr>
            <w:tcW w:w="866" w:type="dxa"/>
            <w:tcBorders>
              <w:tl2br w:val="nil"/>
              <w:tr2bl w:val="nil"/>
            </w:tcBorders>
            <w:noWrap w:val="0"/>
            <w:vAlign w:val="center"/>
          </w:tcPr>
          <w:p w14:paraId="1ADE8D9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11.157 </w:t>
            </w:r>
          </w:p>
        </w:tc>
        <w:tc>
          <w:tcPr>
            <w:tcW w:w="850" w:type="dxa"/>
            <w:tcBorders>
              <w:tl2br w:val="nil"/>
              <w:tr2bl w:val="nil"/>
            </w:tcBorders>
            <w:noWrap w:val="0"/>
            <w:vAlign w:val="center"/>
          </w:tcPr>
          <w:p w14:paraId="1BBD43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11.023 </w:t>
            </w:r>
          </w:p>
        </w:tc>
        <w:tc>
          <w:tcPr>
            <w:tcW w:w="817" w:type="dxa"/>
            <w:tcBorders>
              <w:tl2br w:val="nil"/>
              <w:tr2bl w:val="nil"/>
            </w:tcBorders>
            <w:noWrap w:val="0"/>
            <w:vAlign w:val="center"/>
          </w:tcPr>
          <w:p w14:paraId="25C4803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11.002 </w:t>
            </w:r>
          </w:p>
        </w:tc>
        <w:tc>
          <w:tcPr>
            <w:tcW w:w="837" w:type="dxa"/>
            <w:tcBorders>
              <w:tl2br w:val="nil"/>
              <w:tr2bl w:val="nil"/>
            </w:tcBorders>
            <w:noWrap w:val="0"/>
            <w:vAlign w:val="center"/>
          </w:tcPr>
          <w:p w14:paraId="32B3905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10FDAC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475A0600">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BA1185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 </w:t>
            </w:r>
          </w:p>
        </w:tc>
        <w:tc>
          <w:tcPr>
            <w:tcW w:w="826" w:type="dxa"/>
            <w:tcBorders>
              <w:tl2br w:val="nil"/>
              <w:tr2bl w:val="nil"/>
            </w:tcBorders>
            <w:noWrap w:val="0"/>
            <w:vAlign w:val="center"/>
          </w:tcPr>
          <w:p w14:paraId="1469C7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12.776 </w:t>
            </w:r>
          </w:p>
        </w:tc>
        <w:tc>
          <w:tcPr>
            <w:tcW w:w="857" w:type="dxa"/>
            <w:tcBorders>
              <w:tl2br w:val="nil"/>
              <w:tr2bl w:val="nil"/>
            </w:tcBorders>
            <w:noWrap w:val="0"/>
            <w:vAlign w:val="center"/>
          </w:tcPr>
          <w:p w14:paraId="4128FF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12.762 </w:t>
            </w:r>
          </w:p>
        </w:tc>
        <w:tc>
          <w:tcPr>
            <w:tcW w:w="817" w:type="dxa"/>
            <w:tcBorders>
              <w:tl2br w:val="nil"/>
              <w:tr2bl w:val="nil"/>
            </w:tcBorders>
            <w:noWrap w:val="0"/>
            <w:vAlign w:val="center"/>
          </w:tcPr>
          <w:p w14:paraId="4F2F12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12.673 </w:t>
            </w:r>
          </w:p>
        </w:tc>
        <w:tc>
          <w:tcPr>
            <w:tcW w:w="850" w:type="dxa"/>
            <w:tcBorders>
              <w:tl2br w:val="nil"/>
              <w:tr2bl w:val="nil"/>
            </w:tcBorders>
            <w:noWrap w:val="0"/>
            <w:vAlign w:val="center"/>
          </w:tcPr>
          <w:p w14:paraId="6CD7C9C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12.389 </w:t>
            </w:r>
          </w:p>
        </w:tc>
        <w:tc>
          <w:tcPr>
            <w:tcW w:w="817" w:type="dxa"/>
            <w:tcBorders>
              <w:tl2br w:val="nil"/>
              <w:tr2bl w:val="nil"/>
            </w:tcBorders>
            <w:noWrap w:val="0"/>
            <w:vAlign w:val="center"/>
          </w:tcPr>
          <w:p w14:paraId="0E22B09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11.660 </w:t>
            </w:r>
          </w:p>
        </w:tc>
        <w:tc>
          <w:tcPr>
            <w:tcW w:w="866" w:type="dxa"/>
            <w:tcBorders>
              <w:tl2br w:val="nil"/>
              <w:tr2bl w:val="nil"/>
            </w:tcBorders>
            <w:noWrap w:val="0"/>
            <w:vAlign w:val="center"/>
          </w:tcPr>
          <w:p w14:paraId="507921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11.191 </w:t>
            </w:r>
          </w:p>
        </w:tc>
        <w:tc>
          <w:tcPr>
            <w:tcW w:w="850" w:type="dxa"/>
            <w:tcBorders>
              <w:tl2br w:val="nil"/>
              <w:tr2bl w:val="nil"/>
            </w:tcBorders>
            <w:noWrap w:val="0"/>
            <w:vAlign w:val="center"/>
          </w:tcPr>
          <w:p w14:paraId="50F02B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11.034 </w:t>
            </w:r>
          </w:p>
        </w:tc>
        <w:tc>
          <w:tcPr>
            <w:tcW w:w="817" w:type="dxa"/>
            <w:tcBorders>
              <w:tl2br w:val="nil"/>
              <w:tr2bl w:val="nil"/>
            </w:tcBorders>
            <w:noWrap w:val="0"/>
            <w:vAlign w:val="center"/>
          </w:tcPr>
          <w:p w14:paraId="7042297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11.004 </w:t>
            </w:r>
          </w:p>
        </w:tc>
        <w:tc>
          <w:tcPr>
            <w:tcW w:w="837" w:type="dxa"/>
            <w:tcBorders>
              <w:tl2br w:val="nil"/>
              <w:tr2bl w:val="nil"/>
            </w:tcBorders>
            <w:noWrap w:val="0"/>
            <w:vAlign w:val="center"/>
          </w:tcPr>
          <w:p w14:paraId="4CB99C3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11.000 </w:t>
            </w:r>
          </w:p>
        </w:tc>
      </w:tr>
      <w:tr w14:paraId="4E8683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45756E5C">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18DD4C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 </w:t>
            </w:r>
          </w:p>
        </w:tc>
        <w:tc>
          <w:tcPr>
            <w:tcW w:w="826" w:type="dxa"/>
            <w:tcBorders>
              <w:tl2br w:val="nil"/>
              <w:tr2bl w:val="nil"/>
            </w:tcBorders>
            <w:noWrap w:val="0"/>
            <w:vAlign w:val="center"/>
          </w:tcPr>
          <w:p w14:paraId="25544D2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12.621 </w:t>
            </w:r>
          </w:p>
        </w:tc>
        <w:tc>
          <w:tcPr>
            <w:tcW w:w="857" w:type="dxa"/>
            <w:tcBorders>
              <w:tl2br w:val="nil"/>
              <w:tr2bl w:val="nil"/>
            </w:tcBorders>
            <w:noWrap w:val="0"/>
            <w:vAlign w:val="center"/>
          </w:tcPr>
          <w:p w14:paraId="4989ED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12.611 </w:t>
            </w:r>
          </w:p>
        </w:tc>
        <w:tc>
          <w:tcPr>
            <w:tcW w:w="817" w:type="dxa"/>
            <w:tcBorders>
              <w:tl2br w:val="nil"/>
              <w:tr2bl w:val="nil"/>
            </w:tcBorders>
            <w:noWrap w:val="0"/>
            <w:vAlign w:val="center"/>
          </w:tcPr>
          <w:p w14:paraId="6FFB561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12.542 </w:t>
            </w:r>
          </w:p>
        </w:tc>
        <w:tc>
          <w:tcPr>
            <w:tcW w:w="850" w:type="dxa"/>
            <w:tcBorders>
              <w:tl2br w:val="nil"/>
              <w:tr2bl w:val="nil"/>
            </w:tcBorders>
            <w:noWrap w:val="0"/>
            <w:vAlign w:val="center"/>
          </w:tcPr>
          <w:p w14:paraId="10CA615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12.321 </w:t>
            </w:r>
          </w:p>
        </w:tc>
        <w:tc>
          <w:tcPr>
            <w:tcW w:w="817" w:type="dxa"/>
            <w:tcBorders>
              <w:tl2br w:val="nil"/>
              <w:tr2bl w:val="nil"/>
            </w:tcBorders>
            <w:noWrap w:val="0"/>
            <w:vAlign w:val="center"/>
          </w:tcPr>
          <w:p w14:paraId="6273FE8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11.710 </w:t>
            </w:r>
          </w:p>
        </w:tc>
        <w:tc>
          <w:tcPr>
            <w:tcW w:w="866" w:type="dxa"/>
            <w:tcBorders>
              <w:tl2br w:val="nil"/>
              <w:tr2bl w:val="nil"/>
            </w:tcBorders>
            <w:noWrap w:val="0"/>
            <w:vAlign w:val="center"/>
          </w:tcPr>
          <w:p w14:paraId="330E870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11.253 </w:t>
            </w:r>
          </w:p>
        </w:tc>
        <w:tc>
          <w:tcPr>
            <w:tcW w:w="850" w:type="dxa"/>
            <w:tcBorders>
              <w:tl2br w:val="nil"/>
              <w:tr2bl w:val="nil"/>
            </w:tcBorders>
            <w:noWrap w:val="0"/>
            <w:vAlign w:val="center"/>
          </w:tcPr>
          <w:p w14:paraId="724A10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11.059 </w:t>
            </w:r>
          </w:p>
        </w:tc>
        <w:tc>
          <w:tcPr>
            <w:tcW w:w="817" w:type="dxa"/>
            <w:tcBorders>
              <w:tl2br w:val="nil"/>
              <w:tr2bl w:val="nil"/>
            </w:tcBorders>
            <w:noWrap w:val="0"/>
            <w:vAlign w:val="center"/>
          </w:tcPr>
          <w:p w14:paraId="5A96B2D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11.009 </w:t>
            </w:r>
          </w:p>
        </w:tc>
        <w:tc>
          <w:tcPr>
            <w:tcW w:w="837" w:type="dxa"/>
            <w:tcBorders>
              <w:tl2br w:val="nil"/>
              <w:tr2bl w:val="nil"/>
            </w:tcBorders>
            <w:noWrap w:val="0"/>
            <w:vAlign w:val="center"/>
          </w:tcPr>
          <w:p w14:paraId="3F15E61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11.001 </w:t>
            </w:r>
          </w:p>
        </w:tc>
      </w:tr>
      <w:tr w14:paraId="488A9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79D82636">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14EE3B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800 </w:t>
            </w:r>
          </w:p>
        </w:tc>
        <w:tc>
          <w:tcPr>
            <w:tcW w:w="826" w:type="dxa"/>
            <w:tcBorders>
              <w:tl2br w:val="nil"/>
              <w:tr2bl w:val="nil"/>
            </w:tcBorders>
            <w:noWrap w:val="0"/>
            <w:vAlign w:val="center"/>
          </w:tcPr>
          <w:p w14:paraId="74FA06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12.403 </w:t>
            </w:r>
          </w:p>
        </w:tc>
        <w:tc>
          <w:tcPr>
            <w:tcW w:w="857" w:type="dxa"/>
            <w:tcBorders>
              <w:tl2br w:val="nil"/>
              <w:tr2bl w:val="nil"/>
            </w:tcBorders>
            <w:noWrap w:val="0"/>
            <w:vAlign w:val="center"/>
          </w:tcPr>
          <w:p w14:paraId="4C066E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12.396 </w:t>
            </w:r>
          </w:p>
        </w:tc>
        <w:tc>
          <w:tcPr>
            <w:tcW w:w="817" w:type="dxa"/>
            <w:tcBorders>
              <w:tl2br w:val="nil"/>
              <w:tr2bl w:val="nil"/>
            </w:tcBorders>
            <w:noWrap w:val="0"/>
            <w:vAlign w:val="center"/>
          </w:tcPr>
          <w:p w14:paraId="13F0939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12.352 </w:t>
            </w:r>
          </w:p>
        </w:tc>
        <w:tc>
          <w:tcPr>
            <w:tcW w:w="850" w:type="dxa"/>
            <w:tcBorders>
              <w:tl2br w:val="nil"/>
              <w:tr2bl w:val="nil"/>
            </w:tcBorders>
            <w:noWrap w:val="0"/>
            <w:vAlign w:val="center"/>
          </w:tcPr>
          <w:p w14:paraId="7E6BE77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12.203 </w:t>
            </w:r>
          </w:p>
        </w:tc>
        <w:tc>
          <w:tcPr>
            <w:tcW w:w="817" w:type="dxa"/>
            <w:tcBorders>
              <w:tl2br w:val="nil"/>
              <w:tr2bl w:val="nil"/>
            </w:tcBorders>
            <w:noWrap w:val="0"/>
            <w:vAlign w:val="center"/>
          </w:tcPr>
          <w:p w14:paraId="2E6D7FD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11.756 </w:t>
            </w:r>
          </w:p>
        </w:tc>
        <w:tc>
          <w:tcPr>
            <w:tcW w:w="866" w:type="dxa"/>
            <w:tcBorders>
              <w:tl2br w:val="nil"/>
              <w:tr2bl w:val="nil"/>
            </w:tcBorders>
            <w:noWrap w:val="0"/>
            <w:vAlign w:val="center"/>
          </w:tcPr>
          <w:p w14:paraId="4BC9202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11.348 </w:t>
            </w:r>
          </w:p>
        </w:tc>
        <w:tc>
          <w:tcPr>
            <w:tcW w:w="850" w:type="dxa"/>
            <w:tcBorders>
              <w:tl2br w:val="nil"/>
              <w:tr2bl w:val="nil"/>
            </w:tcBorders>
            <w:noWrap w:val="0"/>
            <w:vAlign w:val="center"/>
          </w:tcPr>
          <w:p w14:paraId="131FCF1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11.118 </w:t>
            </w:r>
          </w:p>
        </w:tc>
        <w:tc>
          <w:tcPr>
            <w:tcW w:w="817" w:type="dxa"/>
            <w:tcBorders>
              <w:tl2br w:val="nil"/>
              <w:tr2bl w:val="nil"/>
            </w:tcBorders>
            <w:noWrap w:val="0"/>
            <w:vAlign w:val="center"/>
          </w:tcPr>
          <w:p w14:paraId="38E03E1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11.029 </w:t>
            </w:r>
          </w:p>
        </w:tc>
        <w:tc>
          <w:tcPr>
            <w:tcW w:w="837" w:type="dxa"/>
            <w:tcBorders>
              <w:tl2br w:val="nil"/>
              <w:tr2bl w:val="nil"/>
            </w:tcBorders>
            <w:noWrap w:val="0"/>
            <w:vAlign w:val="center"/>
          </w:tcPr>
          <w:p w14:paraId="17EB22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11.005 </w:t>
            </w:r>
          </w:p>
        </w:tc>
      </w:tr>
      <w:tr w14:paraId="62951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1563B51">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284E81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826" w:type="dxa"/>
            <w:tcBorders>
              <w:tl2br w:val="nil"/>
              <w:tr2bl w:val="nil"/>
            </w:tcBorders>
            <w:noWrap w:val="0"/>
            <w:vAlign w:val="center"/>
          </w:tcPr>
          <w:p w14:paraId="06785D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12.254 </w:t>
            </w:r>
          </w:p>
        </w:tc>
        <w:tc>
          <w:tcPr>
            <w:tcW w:w="857" w:type="dxa"/>
            <w:tcBorders>
              <w:tl2br w:val="nil"/>
              <w:tr2bl w:val="nil"/>
            </w:tcBorders>
            <w:noWrap w:val="0"/>
            <w:vAlign w:val="center"/>
          </w:tcPr>
          <w:p w14:paraId="08AC8A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12.249 </w:t>
            </w:r>
          </w:p>
        </w:tc>
        <w:tc>
          <w:tcPr>
            <w:tcW w:w="817" w:type="dxa"/>
            <w:tcBorders>
              <w:tl2br w:val="nil"/>
              <w:tr2bl w:val="nil"/>
            </w:tcBorders>
            <w:noWrap w:val="0"/>
            <w:vAlign w:val="center"/>
          </w:tcPr>
          <w:p w14:paraId="5EC81AF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12.217 </w:t>
            </w:r>
          </w:p>
        </w:tc>
        <w:tc>
          <w:tcPr>
            <w:tcW w:w="850" w:type="dxa"/>
            <w:tcBorders>
              <w:tl2br w:val="nil"/>
              <w:tr2bl w:val="nil"/>
            </w:tcBorders>
            <w:noWrap w:val="0"/>
            <w:vAlign w:val="center"/>
          </w:tcPr>
          <w:p w14:paraId="59086C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12.109 </w:t>
            </w:r>
          </w:p>
        </w:tc>
        <w:tc>
          <w:tcPr>
            <w:tcW w:w="817" w:type="dxa"/>
            <w:tcBorders>
              <w:tl2br w:val="nil"/>
              <w:tr2bl w:val="nil"/>
            </w:tcBorders>
            <w:noWrap w:val="0"/>
            <w:vAlign w:val="center"/>
          </w:tcPr>
          <w:p w14:paraId="5CD038E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11.765 </w:t>
            </w:r>
          </w:p>
        </w:tc>
        <w:tc>
          <w:tcPr>
            <w:tcW w:w="866" w:type="dxa"/>
            <w:tcBorders>
              <w:tl2br w:val="nil"/>
              <w:tr2bl w:val="nil"/>
            </w:tcBorders>
            <w:noWrap w:val="0"/>
            <w:vAlign w:val="center"/>
          </w:tcPr>
          <w:p w14:paraId="02CC7CE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11.411 </w:t>
            </w:r>
          </w:p>
        </w:tc>
        <w:tc>
          <w:tcPr>
            <w:tcW w:w="850" w:type="dxa"/>
            <w:tcBorders>
              <w:tl2br w:val="nil"/>
              <w:tr2bl w:val="nil"/>
            </w:tcBorders>
            <w:noWrap w:val="0"/>
            <w:vAlign w:val="center"/>
          </w:tcPr>
          <w:p w14:paraId="6ADB6AD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11.173 </w:t>
            </w:r>
          </w:p>
        </w:tc>
        <w:tc>
          <w:tcPr>
            <w:tcW w:w="817" w:type="dxa"/>
            <w:tcBorders>
              <w:tl2br w:val="nil"/>
              <w:tr2bl w:val="nil"/>
            </w:tcBorders>
            <w:noWrap w:val="0"/>
            <w:vAlign w:val="center"/>
          </w:tcPr>
          <w:p w14:paraId="4AE4D8D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11.057 </w:t>
            </w:r>
          </w:p>
        </w:tc>
        <w:tc>
          <w:tcPr>
            <w:tcW w:w="837" w:type="dxa"/>
            <w:tcBorders>
              <w:tl2br w:val="nil"/>
              <w:tr2bl w:val="nil"/>
            </w:tcBorders>
            <w:noWrap w:val="0"/>
            <w:vAlign w:val="center"/>
          </w:tcPr>
          <w:p w14:paraId="61E63E2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11.014 </w:t>
            </w:r>
          </w:p>
        </w:tc>
      </w:tr>
      <w:tr w14:paraId="6FA1A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6605BF18">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C2D8B7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 </w:t>
            </w:r>
          </w:p>
        </w:tc>
        <w:tc>
          <w:tcPr>
            <w:tcW w:w="826" w:type="dxa"/>
            <w:tcBorders>
              <w:tl2br w:val="nil"/>
              <w:tr2bl w:val="nil"/>
            </w:tcBorders>
            <w:noWrap w:val="0"/>
            <w:vAlign w:val="center"/>
          </w:tcPr>
          <w:p w14:paraId="40FD99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12.144 </w:t>
            </w:r>
          </w:p>
        </w:tc>
        <w:tc>
          <w:tcPr>
            <w:tcW w:w="857" w:type="dxa"/>
            <w:tcBorders>
              <w:tl2br w:val="nil"/>
              <w:tr2bl w:val="nil"/>
            </w:tcBorders>
            <w:noWrap w:val="0"/>
            <w:vAlign w:val="center"/>
          </w:tcPr>
          <w:p w14:paraId="144011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12.140 </w:t>
            </w:r>
          </w:p>
        </w:tc>
        <w:tc>
          <w:tcPr>
            <w:tcW w:w="817" w:type="dxa"/>
            <w:tcBorders>
              <w:tl2br w:val="nil"/>
              <w:tr2bl w:val="nil"/>
            </w:tcBorders>
            <w:noWrap w:val="0"/>
            <w:vAlign w:val="center"/>
          </w:tcPr>
          <w:p w14:paraId="5D15DA1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12.116 </w:t>
            </w:r>
          </w:p>
        </w:tc>
        <w:tc>
          <w:tcPr>
            <w:tcW w:w="850" w:type="dxa"/>
            <w:tcBorders>
              <w:tl2br w:val="nil"/>
              <w:tr2bl w:val="nil"/>
            </w:tcBorders>
            <w:noWrap w:val="0"/>
            <w:vAlign w:val="center"/>
          </w:tcPr>
          <w:p w14:paraId="24981AB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12.033 </w:t>
            </w:r>
          </w:p>
        </w:tc>
        <w:tc>
          <w:tcPr>
            <w:tcW w:w="817" w:type="dxa"/>
            <w:tcBorders>
              <w:tl2br w:val="nil"/>
              <w:tr2bl w:val="nil"/>
            </w:tcBorders>
            <w:noWrap w:val="0"/>
            <w:vAlign w:val="center"/>
          </w:tcPr>
          <w:p w14:paraId="3F3CAA9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11.757 </w:t>
            </w:r>
          </w:p>
        </w:tc>
        <w:tc>
          <w:tcPr>
            <w:tcW w:w="866" w:type="dxa"/>
            <w:tcBorders>
              <w:tl2br w:val="nil"/>
              <w:tr2bl w:val="nil"/>
            </w:tcBorders>
            <w:noWrap w:val="0"/>
            <w:vAlign w:val="center"/>
          </w:tcPr>
          <w:p w14:paraId="3224D1C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11.452 </w:t>
            </w:r>
          </w:p>
        </w:tc>
        <w:tc>
          <w:tcPr>
            <w:tcW w:w="850" w:type="dxa"/>
            <w:tcBorders>
              <w:tl2br w:val="nil"/>
              <w:tr2bl w:val="nil"/>
            </w:tcBorders>
            <w:noWrap w:val="0"/>
            <w:vAlign w:val="center"/>
          </w:tcPr>
          <w:p w14:paraId="340C753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11.219 </w:t>
            </w:r>
          </w:p>
        </w:tc>
        <w:tc>
          <w:tcPr>
            <w:tcW w:w="817" w:type="dxa"/>
            <w:tcBorders>
              <w:tl2br w:val="nil"/>
              <w:tr2bl w:val="nil"/>
            </w:tcBorders>
            <w:noWrap w:val="0"/>
            <w:vAlign w:val="center"/>
          </w:tcPr>
          <w:p w14:paraId="5DEB3FC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11.086 </w:t>
            </w:r>
          </w:p>
        </w:tc>
        <w:tc>
          <w:tcPr>
            <w:tcW w:w="837" w:type="dxa"/>
            <w:tcBorders>
              <w:tl2br w:val="nil"/>
              <w:tr2bl w:val="nil"/>
            </w:tcBorders>
            <w:noWrap w:val="0"/>
            <w:vAlign w:val="center"/>
          </w:tcPr>
          <w:p w14:paraId="5EFC8D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11.028 </w:t>
            </w:r>
          </w:p>
        </w:tc>
      </w:tr>
      <w:tr w14:paraId="6F032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045AA53">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B94EE17">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826" w:type="dxa"/>
            <w:tcBorders>
              <w:tl2br w:val="nil"/>
              <w:tr2bl w:val="nil"/>
            </w:tcBorders>
            <w:noWrap w:val="0"/>
            <w:vAlign w:val="center"/>
          </w:tcPr>
          <w:p w14:paraId="799F9EA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12.022 </w:t>
            </w:r>
          </w:p>
        </w:tc>
        <w:tc>
          <w:tcPr>
            <w:tcW w:w="857" w:type="dxa"/>
            <w:tcBorders>
              <w:tl2br w:val="nil"/>
              <w:tr2bl w:val="nil"/>
            </w:tcBorders>
            <w:noWrap w:val="0"/>
            <w:vAlign w:val="center"/>
          </w:tcPr>
          <w:p w14:paraId="3A1E50CB">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12.019 </w:t>
            </w:r>
          </w:p>
        </w:tc>
        <w:tc>
          <w:tcPr>
            <w:tcW w:w="817" w:type="dxa"/>
            <w:tcBorders>
              <w:tl2br w:val="nil"/>
              <w:tr2bl w:val="nil"/>
            </w:tcBorders>
            <w:noWrap w:val="0"/>
            <w:vAlign w:val="center"/>
          </w:tcPr>
          <w:p w14:paraId="5FC14B1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12.002 </w:t>
            </w:r>
          </w:p>
        </w:tc>
        <w:tc>
          <w:tcPr>
            <w:tcW w:w="850" w:type="dxa"/>
            <w:tcBorders>
              <w:tl2br w:val="nil"/>
              <w:tr2bl w:val="nil"/>
            </w:tcBorders>
            <w:noWrap w:val="0"/>
            <w:vAlign w:val="center"/>
          </w:tcPr>
          <w:p w14:paraId="7A9233B2">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11.941 </w:t>
            </w:r>
          </w:p>
        </w:tc>
        <w:tc>
          <w:tcPr>
            <w:tcW w:w="817" w:type="dxa"/>
            <w:tcBorders>
              <w:tl2br w:val="nil"/>
              <w:tr2bl w:val="nil"/>
            </w:tcBorders>
            <w:noWrap w:val="0"/>
            <w:vAlign w:val="center"/>
          </w:tcPr>
          <w:p w14:paraId="0061B98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11.735 </w:t>
            </w:r>
          </w:p>
        </w:tc>
        <w:tc>
          <w:tcPr>
            <w:tcW w:w="866" w:type="dxa"/>
            <w:tcBorders>
              <w:tl2br w:val="nil"/>
              <w:tr2bl w:val="nil"/>
            </w:tcBorders>
            <w:noWrap w:val="0"/>
            <w:vAlign w:val="center"/>
          </w:tcPr>
          <w:p w14:paraId="6BEBC3D2">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11.486 </w:t>
            </w:r>
          </w:p>
        </w:tc>
        <w:tc>
          <w:tcPr>
            <w:tcW w:w="850" w:type="dxa"/>
            <w:tcBorders>
              <w:tl2br w:val="nil"/>
              <w:tr2bl w:val="nil"/>
            </w:tcBorders>
            <w:noWrap w:val="0"/>
            <w:vAlign w:val="center"/>
          </w:tcPr>
          <w:p w14:paraId="6F282A5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11.272 </w:t>
            </w:r>
          </w:p>
        </w:tc>
        <w:tc>
          <w:tcPr>
            <w:tcW w:w="817" w:type="dxa"/>
            <w:tcBorders>
              <w:tl2br w:val="nil"/>
              <w:tr2bl w:val="nil"/>
            </w:tcBorders>
            <w:noWrap w:val="0"/>
            <w:vAlign w:val="center"/>
          </w:tcPr>
          <w:p w14:paraId="11349722">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11.129 </w:t>
            </w:r>
          </w:p>
        </w:tc>
        <w:tc>
          <w:tcPr>
            <w:tcW w:w="837" w:type="dxa"/>
            <w:tcBorders>
              <w:tl2br w:val="nil"/>
              <w:tr2bl w:val="nil"/>
            </w:tcBorders>
            <w:noWrap w:val="0"/>
            <w:vAlign w:val="center"/>
          </w:tcPr>
          <w:p w14:paraId="35780D60">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11.052 </w:t>
            </w:r>
          </w:p>
        </w:tc>
      </w:tr>
      <w:tr w14:paraId="0D1D96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C5BF723">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224154F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 </w:t>
            </w:r>
          </w:p>
        </w:tc>
        <w:tc>
          <w:tcPr>
            <w:tcW w:w="826" w:type="dxa"/>
            <w:tcBorders>
              <w:tl2br w:val="nil"/>
              <w:tr2bl w:val="nil"/>
            </w:tcBorders>
            <w:shd w:val="clear" w:color="auto" w:fill="auto"/>
            <w:noWrap w:val="0"/>
            <w:vAlign w:val="center"/>
          </w:tcPr>
          <w:p w14:paraId="4691858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11.883 </w:t>
            </w:r>
          </w:p>
        </w:tc>
        <w:tc>
          <w:tcPr>
            <w:tcW w:w="857" w:type="dxa"/>
            <w:tcBorders>
              <w:tl2br w:val="nil"/>
              <w:tr2bl w:val="nil"/>
            </w:tcBorders>
            <w:noWrap w:val="0"/>
            <w:vAlign w:val="center"/>
          </w:tcPr>
          <w:p w14:paraId="7257A5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11.881 </w:t>
            </w:r>
          </w:p>
        </w:tc>
        <w:tc>
          <w:tcPr>
            <w:tcW w:w="817" w:type="dxa"/>
            <w:tcBorders>
              <w:tl2br w:val="nil"/>
              <w:tr2bl w:val="nil"/>
            </w:tcBorders>
            <w:noWrap w:val="0"/>
            <w:vAlign w:val="center"/>
          </w:tcPr>
          <w:p w14:paraId="15E46D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11.870 </w:t>
            </w:r>
          </w:p>
        </w:tc>
        <w:tc>
          <w:tcPr>
            <w:tcW w:w="850" w:type="dxa"/>
            <w:tcBorders>
              <w:tl2br w:val="nil"/>
              <w:tr2bl w:val="nil"/>
            </w:tcBorders>
            <w:noWrap w:val="0"/>
            <w:vAlign w:val="center"/>
          </w:tcPr>
          <w:p w14:paraId="44264F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11.830 </w:t>
            </w:r>
          </w:p>
        </w:tc>
        <w:tc>
          <w:tcPr>
            <w:tcW w:w="817" w:type="dxa"/>
            <w:tcBorders>
              <w:tl2br w:val="nil"/>
              <w:tr2bl w:val="nil"/>
            </w:tcBorders>
            <w:noWrap w:val="0"/>
            <w:vAlign w:val="center"/>
          </w:tcPr>
          <w:p w14:paraId="69B6BB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11.689 </w:t>
            </w:r>
          </w:p>
        </w:tc>
        <w:tc>
          <w:tcPr>
            <w:tcW w:w="866" w:type="dxa"/>
            <w:tcBorders>
              <w:tl2br w:val="nil"/>
              <w:tr2bl w:val="nil"/>
            </w:tcBorders>
            <w:noWrap w:val="0"/>
            <w:vAlign w:val="center"/>
          </w:tcPr>
          <w:p w14:paraId="6533FE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11.506 </w:t>
            </w:r>
          </w:p>
        </w:tc>
        <w:tc>
          <w:tcPr>
            <w:tcW w:w="850" w:type="dxa"/>
            <w:tcBorders>
              <w:tl2br w:val="nil"/>
              <w:tr2bl w:val="nil"/>
            </w:tcBorders>
            <w:noWrap w:val="0"/>
            <w:vAlign w:val="center"/>
          </w:tcPr>
          <w:p w14:paraId="1283AF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11.328 </w:t>
            </w:r>
          </w:p>
        </w:tc>
        <w:tc>
          <w:tcPr>
            <w:tcW w:w="817" w:type="dxa"/>
            <w:tcBorders>
              <w:tl2br w:val="nil"/>
              <w:tr2bl w:val="nil"/>
            </w:tcBorders>
            <w:noWrap w:val="0"/>
            <w:vAlign w:val="center"/>
          </w:tcPr>
          <w:p w14:paraId="397E7E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11.187 </w:t>
            </w:r>
          </w:p>
        </w:tc>
        <w:tc>
          <w:tcPr>
            <w:tcW w:w="837" w:type="dxa"/>
            <w:tcBorders>
              <w:tl2br w:val="nil"/>
              <w:tr2bl w:val="nil"/>
            </w:tcBorders>
            <w:noWrap w:val="0"/>
            <w:vAlign w:val="center"/>
          </w:tcPr>
          <w:p w14:paraId="01BABC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11.095 </w:t>
            </w:r>
          </w:p>
        </w:tc>
      </w:tr>
      <w:tr w14:paraId="36741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0F753A78">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4BEE5F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3000 </w:t>
            </w:r>
          </w:p>
        </w:tc>
        <w:tc>
          <w:tcPr>
            <w:tcW w:w="826" w:type="dxa"/>
            <w:tcBorders>
              <w:tl2br w:val="nil"/>
              <w:tr2bl w:val="nil"/>
            </w:tcBorders>
            <w:shd w:val="clear" w:color="auto" w:fill="auto"/>
            <w:noWrap w:val="0"/>
            <w:vAlign w:val="center"/>
          </w:tcPr>
          <w:p w14:paraId="3D97689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11.717 </w:t>
            </w:r>
          </w:p>
        </w:tc>
        <w:tc>
          <w:tcPr>
            <w:tcW w:w="857" w:type="dxa"/>
            <w:tcBorders>
              <w:tl2br w:val="nil"/>
              <w:tr2bl w:val="nil"/>
            </w:tcBorders>
            <w:noWrap w:val="0"/>
            <w:vAlign w:val="center"/>
          </w:tcPr>
          <w:p w14:paraId="174E8C9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11.716 </w:t>
            </w:r>
          </w:p>
        </w:tc>
        <w:tc>
          <w:tcPr>
            <w:tcW w:w="817" w:type="dxa"/>
            <w:tcBorders>
              <w:tl2br w:val="nil"/>
              <w:tr2bl w:val="nil"/>
            </w:tcBorders>
            <w:noWrap w:val="0"/>
            <w:vAlign w:val="center"/>
          </w:tcPr>
          <w:p w14:paraId="4B6EA06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11.710 </w:t>
            </w:r>
          </w:p>
        </w:tc>
        <w:tc>
          <w:tcPr>
            <w:tcW w:w="850" w:type="dxa"/>
            <w:tcBorders>
              <w:tl2br w:val="nil"/>
              <w:tr2bl w:val="nil"/>
            </w:tcBorders>
            <w:noWrap w:val="0"/>
            <w:vAlign w:val="center"/>
          </w:tcPr>
          <w:p w14:paraId="69B88D8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11.688 </w:t>
            </w:r>
          </w:p>
        </w:tc>
        <w:tc>
          <w:tcPr>
            <w:tcW w:w="817" w:type="dxa"/>
            <w:tcBorders>
              <w:tl2br w:val="nil"/>
              <w:tr2bl w:val="nil"/>
            </w:tcBorders>
            <w:noWrap w:val="0"/>
            <w:vAlign w:val="center"/>
          </w:tcPr>
          <w:p w14:paraId="441B17B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11.608 </w:t>
            </w:r>
          </w:p>
        </w:tc>
        <w:tc>
          <w:tcPr>
            <w:tcW w:w="866" w:type="dxa"/>
            <w:tcBorders>
              <w:tl2br w:val="nil"/>
              <w:tr2bl w:val="nil"/>
            </w:tcBorders>
            <w:noWrap w:val="0"/>
            <w:vAlign w:val="center"/>
          </w:tcPr>
          <w:p w14:paraId="1A85D72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11.495 </w:t>
            </w:r>
          </w:p>
        </w:tc>
        <w:tc>
          <w:tcPr>
            <w:tcW w:w="850" w:type="dxa"/>
            <w:tcBorders>
              <w:tl2br w:val="nil"/>
              <w:tr2bl w:val="nil"/>
            </w:tcBorders>
            <w:noWrap w:val="0"/>
            <w:vAlign w:val="center"/>
          </w:tcPr>
          <w:p w14:paraId="582D688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11.370 </w:t>
            </w:r>
          </w:p>
        </w:tc>
        <w:tc>
          <w:tcPr>
            <w:tcW w:w="817" w:type="dxa"/>
            <w:tcBorders>
              <w:tl2br w:val="nil"/>
              <w:tr2bl w:val="nil"/>
            </w:tcBorders>
            <w:noWrap w:val="0"/>
            <w:vAlign w:val="center"/>
          </w:tcPr>
          <w:p w14:paraId="4C1A53E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11.255 </w:t>
            </w:r>
          </w:p>
        </w:tc>
        <w:tc>
          <w:tcPr>
            <w:tcW w:w="837" w:type="dxa"/>
            <w:tcBorders>
              <w:tl2br w:val="nil"/>
              <w:tr2bl w:val="nil"/>
            </w:tcBorders>
            <w:noWrap w:val="0"/>
            <w:vAlign w:val="center"/>
          </w:tcPr>
          <w:p w14:paraId="61170AA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11.162 </w:t>
            </w:r>
          </w:p>
        </w:tc>
      </w:tr>
      <w:tr w14:paraId="4AAD48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312AC01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29FECEB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4200</w:t>
            </w:r>
          </w:p>
        </w:tc>
        <w:tc>
          <w:tcPr>
            <w:tcW w:w="826" w:type="dxa"/>
            <w:tcBorders>
              <w:tl2br w:val="nil"/>
              <w:tr2bl w:val="nil"/>
            </w:tcBorders>
            <w:shd w:val="clear" w:color="auto" w:fill="auto"/>
            <w:noWrap w:val="0"/>
            <w:vAlign w:val="center"/>
          </w:tcPr>
          <w:p w14:paraId="6C26ECD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11.603 </w:t>
            </w:r>
          </w:p>
        </w:tc>
        <w:tc>
          <w:tcPr>
            <w:tcW w:w="857" w:type="dxa"/>
            <w:tcBorders>
              <w:tl2br w:val="nil"/>
              <w:tr2bl w:val="nil"/>
            </w:tcBorders>
            <w:noWrap w:val="0"/>
            <w:vAlign w:val="center"/>
          </w:tcPr>
          <w:p w14:paraId="515202B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11.602 </w:t>
            </w:r>
          </w:p>
        </w:tc>
        <w:tc>
          <w:tcPr>
            <w:tcW w:w="817" w:type="dxa"/>
            <w:tcBorders>
              <w:tl2br w:val="nil"/>
              <w:tr2bl w:val="nil"/>
            </w:tcBorders>
            <w:noWrap w:val="0"/>
            <w:vAlign w:val="center"/>
          </w:tcPr>
          <w:p w14:paraId="6C0F188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11.598 </w:t>
            </w:r>
          </w:p>
        </w:tc>
        <w:tc>
          <w:tcPr>
            <w:tcW w:w="850" w:type="dxa"/>
            <w:tcBorders>
              <w:tl2br w:val="nil"/>
              <w:tr2bl w:val="nil"/>
            </w:tcBorders>
            <w:noWrap w:val="0"/>
            <w:vAlign w:val="center"/>
          </w:tcPr>
          <w:p w14:paraId="567B906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11.585 </w:t>
            </w:r>
          </w:p>
        </w:tc>
        <w:tc>
          <w:tcPr>
            <w:tcW w:w="817" w:type="dxa"/>
            <w:tcBorders>
              <w:tl2br w:val="nil"/>
              <w:tr2bl w:val="nil"/>
            </w:tcBorders>
            <w:noWrap w:val="0"/>
            <w:vAlign w:val="center"/>
          </w:tcPr>
          <w:p w14:paraId="662367C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11.536 </w:t>
            </w:r>
          </w:p>
        </w:tc>
        <w:tc>
          <w:tcPr>
            <w:tcW w:w="866" w:type="dxa"/>
            <w:tcBorders>
              <w:tl2br w:val="nil"/>
              <w:tr2bl w:val="nil"/>
            </w:tcBorders>
            <w:noWrap w:val="0"/>
            <w:vAlign w:val="center"/>
          </w:tcPr>
          <w:p w14:paraId="1F15409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11.462 </w:t>
            </w:r>
          </w:p>
        </w:tc>
        <w:tc>
          <w:tcPr>
            <w:tcW w:w="850" w:type="dxa"/>
            <w:tcBorders>
              <w:tl2br w:val="nil"/>
              <w:tr2bl w:val="nil"/>
            </w:tcBorders>
            <w:noWrap w:val="0"/>
            <w:vAlign w:val="center"/>
          </w:tcPr>
          <w:p w14:paraId="3E7F18F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11.376 </w:t>
            </w:r>
          </w:p>
        </w:tc>
        <w:tc>
          <w:tcPr>
            <w:tcW w:w="817" w:type="dxa"/>
            <w:tcBorders>
              <w:tl2br w:val="nil"/>
              <w:tr2bl w:val="nil"/>
            </w:tcBorders>
            <w:noWrap w:val="0"/>
            <w:vAlign w:val="center"/>
          </w:tcPr>
          <w:p w14:paraId="2784C63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11.288 </w:t>
            </w:r>
          </w:p>
        </w:tc>
        <w:tc>
          <w:tcPr>
            <w:tcW w:w="837" w:type="dxa"/>
            <w:tcBorders>
              <w:tl2br w:val="nil"/>
              <w:tr2bl w:val="nil"/>
            </w:tcBorders>
            <w:noWrap w:val="0"/>
            <w:vAlign w:val="center"/>
          </w:tcPr>
          <w:p w14:paraId="510EDBD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11.208 </w:t>
            </w:r>
          </w:p>
        </w:tc>
      </w:tr>
    </w:tbl>
    <w:p w14:paraId="0BC054A5">
      <w:pPr>
        <w:pStyle w:val="102"/>
        <w:snapToGrid w:val="0"/>
        <w:spacing w:line="240" w:lineRule="auto"/>
        <w:rPr>
          <w:rFonts w:hint="default" w:ascii="Times New Roman" w:hAnsi="Times New Roman" w:cs="Times New Roman"/>
          <w:b/>
          <w:bCs/>
          <w:color w:val="auto"/>
          <w:sz w:val="21"/>
          <w:highlight w:val="none"/>
          <w:u w:val="none"/>
        </w:rPr>
      </w:pPr>
    </w:p>
    <w:p w14:paraId="4F199DD9">
      <w:pPr>
        <w:pStyle w:val="102"/>
        <w:snapToGrid w:val="0"/>
        <w:spacing w:line="240" w:lineRule="auto"/>
        <w:rPr>
          <w:rFonts w:hint="default" w:ascii="Times New Roman" w:hAnsi="Times New Roman" w:cs="Times New Roman"/>
          <w:b/>
          <w:bCs/>
          <w:color w:val="auto"/>
          <w:sz w:val="21"/>
          <w:highlight w:val="none"/>
          <w:u w:val="none"/>
        </w:rPr>
      </w:pPr>
    </w:p>
    <w:p w14:paraId="1222EABC">
      <w:pPr>
        <w:pStyle w:val="102"/>
        <w:snapToGrid w:val="0"/>
        <w:spacing w:line="240" w:lineRule="auto"/>
        <w:rPr>
          <w:rFonts w:hint="default" w:ascii="Times New Roman" w:hAnsi="Times New Roman" w:cs="Times New Roman"/>
          <w:b/>
          <w:bCs/>
          <w:color w:val="auto"/>
          <w:sz w:val="21"/>
          <w:highlight w:val="none"/>
          <w:u w:val="none"/>
        </w:rPr>
      </w:pPr>
      <w:r>
        <w:rPr>
          <w:rFonts w:hint="default" w:ascii="Times New Roman" w:hAnsi="Times New Roman" w:cs="Times New Roman"/>
          <w:b/>
          <w:bCs/>
          <w:color w:val="auto"/>
          <w:sz w:val="21"/>
          <w:highlight w:val="none"/>
          <w:u w:val="none"/>
        </w:rPr>
        <w:t>表</w:t>
      </w:r>
      <w:r>
        <w:rPr>
          <w:rFonts w:hint="default" w:ascii="Times New Roman" w:hAnsi="Times New Roman" w:cs="Times New Roman"/>
          <w:b/>
          <w:bCs/>
          <w:color w:val="auto"/>
          <w:sz w:val="21"/>
          <w:highlight w:val="none"/>
          <w:u w:val="none"/>
          <w:lang w:val="en-US" w:eastAsia="zh-CN"/>
        </w:rPr>
        <w:t>4.2-</w:t>
      </w:r>
      <w:r>
        <w:rPr>
          <w:rFonts w:hint="eastAsia" w:ascii="Times New Roman" w:cs="Times New Roman"/>
          <w:b/>
          <w:bCs/>
          <w:color w:val="auto"/>
          <w:sz w:val="21"/>
          <w:highlight w:val="none"/>
          <w:u w:val="none"/>
          <w:lang w:val="en-US" w:eastAsia="zh-CN"/>
        </w:rPr>
        <w:t>13</w:t>
      </w:r>
      <w:r>
        <w:rPr>
          <w:rFonts w:hint="default" w:ascii="Times New Roman" w:hAnsi="Times New Roman" w:cs="Times New Roman"/>
          <w:b/>
          <w:bCs/>
          <w:color w:val="auto"/>
          <w:sz w:val="21"/>
          <w:highlight w:val="none"/>
          <w:u w:val="none"/>
        </w:rPr>
        <w:t xml:space="preserve">  尾水</w:t>
      </w:r>
      <w:r>
        <w:rPr>
          <w:rFonts w:hint="default" w:ascii="Times New Roman" w:hAnsi="Times New Roman" w:cs="Times New Roman"/>
          <w:b/>
          <w:bCs/>
          <w:color w:val="auto"/>
          <w:sz w:val="21"/>
          <w:highlight w:val="none"/>
          <w:u w:val="none"/>
          <w:lang w:eastAsia="zh-CN"/>
        </w:rPr>
        <w:t>非</w:t>
      </w:r>
      <w:r>
        <w:rPr>
          <w:rFonts w:hint="default" w:ascii="Times New Roman" w:hAnsi="Times New Roman" w:cs="Times New Roman"/>
          <w:b/>
          <w:bCs/>
          <w:color w:val="auto"/>
          <w:sz w:val="21"/>
          <w:highlight w:val="none"/>
          <w:u w:val="none"/>
        </w:rPr>
        <w:t>正常排放NH</w:t>
      </w:r>
      <w:r>
        <w:rPr>
          <w:rFonts w:hint="default" w:ascii="Times New Roman" w:hAnsi="Times New Roman" w:cs="Times New Roman"/>
          <w:b/>
          <w:bCs/>
          <w:color w:val="auto"/>
          <w:sz w:val="21"/>
          <w:highlight w:val="none"/>
          <w:u w:val="none"/>
          <w:vertAlign w:val="subscript"/>
        </w:rPr>
        <w:t>3</w:t>
      </w:r>
      <w:r>
        <w:rPr>
          <w:rFonts w:hint="default" w:ascii="Times New Roman" w:hAnsi="Times New Roman" w:cs="Times New Roman"/>
          <w:b/>
          <w:bCs/>
          <w:color w:val="auto"/>
          <w:sz w:val="21"/>
          <w:highlight w:val="none"/>
          <w:u w:val="none"/>
        </w:rPr>
        <w:t>-N对</w:t>
      </w:r>
      <w:r>
        <w:rPr>
          <w:rFonts w:hint="default" w:ascii="Times New Roman" w:hAnsi="Times New Roman" w:cs="Times New Roman"/>
          <w:b/>
          <w:bCs/>
          <w:color w:val="auto"/>
          <w:sz w:val="21"/>
          <w:highlight w:val="none"/>
          <w:u w:val="none"/>
          <w:lang w:eastAsia="zh-CN"/>
        </w:rPr>
        <w:t>溢水河</w:t>
      </w:r>
      <w:r>
        <w:rPr>
          <w:rFonts w:hint="default" w:ascii="Times New Roman" w:hAnsi="Times New Roman" w:cs="Times New Roman"/>
          <w:b/>
          <w:bCs/>
          <w:color w:val="auto"/>
          <w:sz w:val="21"/>
          <w:highlight w:val="none"/>
          <w:u w:val="none"/>
        </w:rPr>
        <w:t>水环境影响预测  单位：mg/L</w:t>
      </w:r>
    </w:p>
    <w:tbl>
      <w:tblPr>
        <w:tblStyle w:val="31"/>
        <w:tblW w:w="890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74"/>
        <w:gridCol w:w="826"/>
        <w:gridCol w:w="857"/>
        <w:gridCol w:w="817"/>
        <w:gridCol w:w="850"/>
        <w:gridCol w:w="817"/>
        <w:gridCol w:w="866"/>
        <w:gridCol w:w="850"/>
        <w:gridCol w:w="817"/>
        <w:gridCol w:w="837"/>
      </w:tblGrid>
      <w:tr w14:paraId="15ACB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697" w:type="dxa"/>
            <w:tcBorders>
              <w:tl2br w:val="nil"/>
              <w:tr2bl w:val="nil"/>
            </w:tcBorders>
            <w:noWrap w:val="0"/>
            <w:vAlign w:val="center"/>
          </w:tcPr>
          <w:p w14:paraId="06196801">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阶段</w:t>
            </w:r>
          </w:p>
        </w:tc>
        <w:tc>
          <w:tcPr>
            <w:tcW w:w="674" w:type="dxa"/>
            <w:tcBorders>
              <w:tl2br w:val="nil"/>
              <w:tr2bl w:val="nil"/>
            </w:tcBorders>
            <w:noWrap w:val="0"/>
            <w:vAlign w:val="center"/>
          </w:tcPr>
          <w:p w14:paraId="483384CC">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Y/X</w:t>
            </w:r>
          </w:p>
        </w:tc>
        <w:tc>
          <w:tcPr>
            <w:tcW w:w="826" w:type="dxa"/>
            <w:tcBorders>
              <w:tl2br w:val="nil"/>
              <w:tr2bl w:val="nil"/>
            </w:tcBorders>
            <w:noWrap w:val="0"/>
            <w:vAlign w:val="center"/>
          </w:tcPr>
          <w:p w14:paraId="58C085BD">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1</w:t>
            </w:r>
          </w:p>
        </w:tc>
        <w:tc>
          <w:tcPr>
            <w:tcW w:w="857" w:type="dxa"/>
            <w:tcBorders>
              <w:tl2br w:val="nil"/>
              <w:tr2bl w:val="nil"/>
            </w:tcBorders>
            <w:noWrap w:val="0"/>
            <w:vAlign w:val="center"/>
          </w:tcPr>
          <w:p w14:paraId="50E18DBB">
            <w:pPr>
              <w:pStyle w:val="64"/>
              <w:adjustRightInd w:val="0"/>
              <w:snapToGrid w:val="0"/>
              <w:spacing w:line="240" w:lineRule="auto"/>
              <w:rPr>
                <w:rFonts w:hint="default" w:ascii="Times New Roman"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2</w:t>
            </w:r>
          </w:p>
        </w:tc>
        <w:tc>
          <w:tcPr>
            <w:tcW w:w="817" w:type="dxa"/>
            <w:tcBorders>
              <w:tl2br w:val="nil"/>
              <w:tr2bl w:val="nil"/>
            </w:tcBorders>
            <w:noWrap w:val="0"/>
            <w:vAlign w:val="center"/>
          </w:tcPr>
          <w:p w14:paraId="34C11CB9">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5</w:t>
            </w:r>
          </w:p>
        </w:tc>
        <w:tc>
          <w:tcPr>
            <w:tcW w:w="850" w:type="dxa"/>
            <w:tcBorders>
              <w:tl2br w:val="nil"/>
              <w:tr2bl w:val="nil"/>
            </w:tcBorders>
            <w:noWrap w:val="0"/>
            <w:vAlign w:val="center"/>
          </w:tcPr>
          <w:p w14:paraId="23389230">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10</w:t>
            </w:r>
          </w:p>
        </w:tc>
        <w:tc>
          <w:tcPr>
            <w:tcW w:w="817" w:type="dxa"/>
            <w:tcBorders>
              <w:tl2br w:val="nil"/>
              <w:tr2bl w:val="nil"/>
            </w:tcBorders>
            <w:noWrap w:val="0"/>
            <w:vAlign w:val="center"/>
          </w:tcPr>
          <w:p w14:paraId="2120721D">
            <w:pPr>
              <w:pStyle w:val="64"/>
              <w:adjustRightInd w:val="0"/>
              <w:snapToGrid w:val="0"/>
              <w:spacing w:line="240" w:lineRule="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20</w:t>
            </w:r>
          </w:p>
        </w:tc>
        <w:tc>
          <w:tcPr>
            <w:tcW w:w="866" w:type="dxa"/>
            <w:tcBorders>
              <w:tl2br w:val="nil"/>
              <w:tr2bl w:val="nil"/>
            </w:tcBorders>
            <w:noWrap w:val="0"/>
            <w:vAlign w:val="center"/>
          </w:tcPr>
          <w:p w14:paraId="19A16D83">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30</w:t>
            </w:r>
          </w:p>
        </w:tc>
        <w:tc>
          <w:tcPr>
            <w:tcW w:w="850" w:type="dxa"/>
            <w:tcBorders>
              <w:tl2br w:val="nil"/>
              <w:tr2bl w:val="nil"/>
            </w:tcBorders>
            <w:noWrap w:val="0"/>
            <w:vAlign w:val="center"/>
          </w:tcPr>
          <w:p w14:paraId="4DAB142A">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40</w:t>
            </w:r>
          </w:p>
        </w:tc>
        <w:tc>
          <w:tcPr>
            <w:tcW w:w="817" w:type="dxa"/>
            <w:tcBorders>
              <w:tl2br w:val="nil"/>
              <w:tr2bl w:val="nil"/>
            </w:tcBorders>
            <w:noWrap w:val="0"/>
            <w:vAlign w:val="center"/>
          </w:tcPr>
          <w:p w14:paraId="1AC63BE2">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50</w:t>
            </w:r>
          </w:p>
        </w:tc>
        <w:tc>
          <w:tcPr>
            <w:tcW w:w="837" w:type="dxa"/>
            <w:tcBorders>
              <w:tl2br w:val="nil"/>
              <w:tr2bl w:val="nil"/>
            </w:tcBorders>
            <w:noWrap w:val="0"/>
            <w:vAlign w:val="center"/>
          </w:tcPr>
          <w:p w14:paraId="43CFEF16">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60</w:t>
            </w:r>
          </w:p>
        </w:tc>
      </w:tr>
      <w:tr w14:paraId="2A036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restart"/>
            <w:tcBorders>
              <w:tl2br w:val="nil"/>
              <w:tr2bl w:val="nil"/>
            </w:tcBorders>
            <w:noWrap w:val="0"/>
            <w:vAlign w:val="center"/>
          </w:tcPr>
          <w:p w14:paraId="59BC574F">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混合</w:t>
            </w:r>
          </w:p>
          <w:p w14:paraId="1C9436BD">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过程段</w:t>
            </w:r>
          </w:p>
        </w:tc>
        <w:tc>
          <w:tcPr>
            <w:tcW w:w="674" w:type="dxa"/>
            <w:tcBorders>
              <w:tl2br w:val="nil"/>
              <w:tr2bl w:val="nil"/>
            </w:tcBorders>
            <w:noWrap w:val="0"/>
            <w:vAlign w:val="center"/>
          </w:tcPr>
          <w:p w14:paraId="4E09438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 </w:t>
            </w:r>
          </w:p>
        </w:tc>
        <w:tc>
          <w:tcPr>
            <w:tcW w:w="826" w:type="dxa"/>
            <w:tcBorders>
              <w:tl2br w:val="nil"/>
              <w:tr2bl w:val="nil"/>
            </w:tcBorders>
            <w:noWrap w:val="0"/>
            <w:vAlign w:val="center"/>
          </w:tcPr>
          <w:p w14:paraId="4A0994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1.762 </w:t>
            </w:r>
          </w:p>
        </w:tc>
        <w:tc>
          <w:tcPr>
            <w:tcW w:w="857" w:type="dxa"/>
            <w:tcBorders>
              <w:tl2br w:val="nil"/>
              <w:tr2bl w:val="nil"/>
            </w:tcBorders>
            <w:noWrap w:val="0"/>
            <w:vAlign w:val="center"/>
          </w:tcPr>
          <w:p w14:paraId="1C217C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0.950 </w:t>
            </w:r>
          </w:p>
        </w:tc>
        <w:tc>
          <w:tcPr>
            <w:tcW w:w="817" w:type="dxa"/>
            <w:tcBorders>
              <w:tl2br w:val="nil"/>
              <w:tr2bl w:val="nil"/>
            </w:tcBorders>
            <w:noWrap w:val="0"/>
            <w:vAlign w:val="center"/>
          </w:tcPr>
          <w:p w14:paraId="721E27D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0.219 </w:t>
            </w:r>
          </w:p>
        </w:tc>
        <w:tc>
          <w:tcPr>
            <w:tcW w:w="850" w:type="dxa"/>
            <w:tcBorders>
              <w:tl2br w:val="nil"/>
              <w:tr2bl w:val="nil"/>
            </w:tcBorders>
            <w:noWrap w:val="0"/>
            <w:vAlign w:val="center"/>
          </w:tcPr>
          <w:p w14:paraId="7C0388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1491EF1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66" w:type="dxa"/>
            <w:tcBorders>
              <w:tl2br w:val="nil"/>
              <w:tr2bl w:val="nil"/>
            </w:tcBorders>
            <w:noWrap w:val="0"/>
            <w:vAlign w:val="center"/>
          </w:tcPr>
          <w:p w14:paraId="74763A5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50" w:type="dxa"/>
            <w:tcBorders>
              <w:tl2br w:val="nil"/>
              <w:tr2bl w:val="nil"/>
            </w:tcBorders>
            <w:noWrap w:val="0"/>
            <w:vAlign w:val="center"/>
          </w:tcPr>
          <w:p w14:paraId="092B5E4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605EA1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0D5C568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10C39F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87DB006">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E74663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826" w:type="dxa"/>
            <w:tcBorders>
              <w:tl2br w:val="nil"/>
              <w:tr2bl w:val="nil"/>
            </w:tcBorders>
            <w:noWrap w:val="0"/>
            <w:vAlign w:val="center"/>
          </w:tcPr>
          <w:p w14:paraId="036978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1.454 </w:t>
            </w:r>
          </w:p>
        </w:tc>
        <w:tc>
          <w:tcPr>
            <w:tcW w:w="857" w:type="dxa"/>
            <w:tcBorders>
              <w:tl2br w:val="nil"/>
              <w:tr2bl w:val="nil"/>
            </w:tcBorders>
            <w:noWrap w:val="0"/>
            <w:vAlign w:val="center"/>
          </w:tcPr>
          <w:p w14:paraId="3755AF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1.069 </w:t>
            </w:r>
          </w:p>
        </w:tc>
        <w:tc>
          <w:tcPr>
            <w:tcW w:w="817" w:type="dxa"/>
            <w:tcBorders>
              <w:tl2br w:val="nil"/>
              <w:tr2bl w:val="nil"/>
            </w:tcBorders>
            <w:noWrap w:val="0"/>
            <w:vAlign w:val="center"/>
          </w:tcPr>
          <w:p w14:paraId="3D374A0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0.278 </w:t>
            </w:r>
          </w:p>
        </w:tc>
        <w:tc>
          <w:tcPr>
            <w:tcW w:w="850" w:type="dxa"/>
            <w:tcBorders>
              <w:tl2br w:val="nil"/>
              <w:tr2bl w:val="nil"/>
            </w:tcBorders>
            <w:noWrap w:val="0"/>
            <w:vAlign w:val="center"/>
          </w:tcPr>
          <w:p w14:paraId="51A1AA0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56F97DC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66" w:type="dxa"/>
            <w:tcBorders>
              <w:tl2br w:val="nil"/>
              <w:tr2bl w:val="nil"/>
            </w:tcBorders>
            <w:noWrap w:val="0"/>
            <w:vAlign w:val="center"/>
          </w:tcPr>
          <w:p w14:paraId="6004E2E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50" w:type="dxa"/>
            <w:tcBorders>
              <w:tl2br w:val="nil"/>
              <w:tr2bl w:val="nil"/>
            </w:tcBorders>
            <w:noWrap w:val="0"/>
            <w:vAlign w:val="center"/>
          </w:tcPr>
          <w:p w14:paraId="71D4C7C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49445A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31B79CE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0EA9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97" w:type="dxa"/>
            <w:vMerge w:val="continue"/>
            <w:tcBorders>
              <w:tl2br w:val="nil"/>
              <w:tr2bl w:val="nil"/>
            </w:tcBorders>
            <w:noWrap w:val="0"/>
            <w:vAlign w:val="center"/>
          </w:tcPr>
          <w:p w14:paraId="3EB897D2">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3DA739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 </w:t>
            </w:r>
          </w:p>
        </w:tc>
        <w:tc>
          <w:tcPr>
            <w:tcW w:w="826" w:type="dxa"/>
            <w:tcBorders>
              <w:tl2br w:val="nil"/>
              <w:tr2bl w:val="nil"/>
            </w:tcBorders>
            <w:noWrap w:val="0"/>
            <w:vAlign w:val="center"/>
          </w:tcPr>
          <w:p w14:paraId="52D0C9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0.827 </w:t>
            </w:r>
          </w:p>
        </w:tc>
        <w:tc>
          <w:tcPr>
            <w:tcW w:w="857" w:type="dxa"/>
            <w:tcBorders>
              <w:tl2br w:val="nil"/>
              <w:tr2bl w:val="nil"/>
            </w:tcBorders>
            <w:noWrap w:val="0"/>
            <w:vAlign w:val="center"/>
          </w:tcPr>
          <w:p w14:paraId="084919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0.783 </w:t>
            </w:r>
          </w:p>
        </w:tc>
        <w:tc>
          <w:tcPr>
            <w:tcW w:w="817" w:type="dxa"/>
            <w:tcBorders>
              <w:tl2br w:val="nil"/>
              <w:tr2bl w:val="nil"/>
            </w:tcBorders>
            <w:noWrap w:val="0"/>
            <w:vAlign w:val="center"/>
          </w:tcPr>
          <w:p w14:paraId="6EAB86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0.552 </w:t>
            </w:r>
          </w:p>
        </w:tc>
        <w:tc>
          <w:tcPr>
            <w:tcW w:w="850" w:type="dxa"/>
            <w:tcBorders>
              <w:tl2br w:val="nil"/>
              <w:tr2bl w:val="nil"/>
            </w:tcBorders>
            <w:noWrap w:val="0"/>
            <w:vAlign w:val="center"/>
          </w:tcPr>
          <w:p w14:paraId="4F0F329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0.267 </w:t>
            </w:r>
          </w:p>
        </w:tc>
        <w:tc>
          <w:tcPr>
            <w:tcW w:w="817" w:type="dxa"/>
            <w:tcBorders>
              <w:tl2br w:val="nil"/>
              <w:tr2bl w:val="nil"/>
            </w:tcBorders>
            <w:noWrap w:val="0"/>
            <w:vAlign w:val="center"/>
          </w:tcPr>
          <w:p w14:paraId="2545857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66" w:type="dxa"/>
            <w:tcBorders>
              <w:tl2br w:val="nil"/>
              <w:tr2bl w:val="nil"/>
            </w:tcBorders>
            <w:noWrap w:val="0"/>
            <w:vAlign w:val="center"/>
          </w:tcPr>
          <w:p w14:paraId="04A361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50" w:type="dxa"/>
            <w:tcBorders>
              <w:tl2br w:val="nil"/>
              <w:tr2bl w:val="nil"/>
            </w:tcBorders>
            <w:noWrap w:val="0"/>
            <w:vAlign w:val="center"/>
          </w:tcPr>
          <w:p w14:paraId="381CE47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5AB375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6314C0C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7F1F77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258A9EA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7DFF96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826" w:type="dxa"/>
            <w:tcBorders>
              <w:tl2br w:val="nil"/>
              <w:tr2bl w:val="nil"/>
            </w:tcBorders>
            <w:noWrap w:val="0"/>
            <w:vAlign w:val="center"/>
          </w:tcPr>
          <w:p w14:paraId="6FCC8E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0.653 </w:t>
            </w:r>
          </w:p>
        </w:tc>
        <w:tc>
          <w:tcPr>
            <w:tcW w:w="857" w:type="dxa"/>
            <w:tcBorders>
              <w:tl2br w:val="nil"/>
              <w:tr2bl w:val="nil"/>
            </w:tcBorders>
            <w:noWrap w:val="0"/>
            <w:vAlign w:val="center"/>
          </w:tcPr>
          <w:p w14:paraId="6ED4D0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0.637 </w:t>
            </w:r>
          </w:p>
        </w:tc>
        <w:tc>
          <w:tcPr>
            <w:tcW w:w="817" w:type="dxa"/>
            <w:tcBorders>
              <w:tl2br w:val="nil"/>
              <w:tr2bl w:val="nil"/>
            </w:tcBorders>
            <w:noWrap w:val="0"/>
            <w:vAlign w:val="center"/>
          </w:tcPr>
          <w:p w14:paraId="1703FD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0.540 </w:t>
            </w:r>
          </w:p>
        </w:tc>
        <w:tc>
          <w:tcPr>
            <w:tcW w:w="850" w:type="dxa"/>
            <w:tcBorders>
              <w:tl2br w:val="nil"/>
              <w:tr2bl w:val="nil"/>
            </w:tcBorders>
            <w:noWrap w:val="0"/>
            <w:vAlign w:val="center"/>
          </w:tcPr>
          <w:p w14:paraId="72A2C8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0.343 </w:t>
            </w:r>
          </w:p>
        </w:tc>
        <w:tc>
          <w:tcPr>
            <w:tcW w:w="817" w:type="dxa"/>
            <w:tcBorders>
              <w:tl2br w:val="nil"/>
              <w:tr2bl w:val="nil"/>
            </w:tcBorders>
            <w:noWrap w:val="0"/>
            <w:vAlign w:val="center"/>
          </w:tcPr>
          <w:p w14:paraId="73815B1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866" w:type="dxa"/>
            <w:tcBorders>
              <w:tl2br w:val="nil"/>
              <w:tr2bl w:val="nil"/>
            </w:tcBorders>
            <w:noWrap w:val="0"/>
            <w:vAlign w:val="center"/>
          </w:tcPr>
          <w:p w14:paraId="6C86487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50" w:type="dxa"/>
            <w:tcBorders>
              <w:tl2br w:val="nil"/>
              <w:tr2bl w:val="nil"/>
            </w:tcBorders>
            <w:noWrap w:val="0"/>
            <w:vAlign w:val="center"/>
          </w:tcPr>
          <w:p w14:paraId="4C87137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2AC618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5D494E8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16893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0765C6D2">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535407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 </w:t>
            </w:r>
          </w:p>
        </w:tc>
        <w:tc>
          <w:tcPr>
            <w:tcW w:w="826" w:type="dxa"/>
            <w:tcBorders>
              <w:tl2br w:val="nil"/>
              <w:tr2bl w:val="nil"/>
            </w:tcBorders>
            <w:noWrap w:val="0"/>
            <w:vAlign w:val="center"/>
          </w:tcPr>
          <w:p w14:paraId="07FD29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0.574 </w:t>
            </w:r>
          </w:p>
        </w:tc>
        <w:tc>
          <w:tcPr>
            <w:tcW w:w="857" w:type="dxa"/>
            <w:tcBorders>
              <w:tl2br w:val="nil"/>
              <w:tr2bl w:val="nil"/>
            </w:tcBorders>
            <w:noWrap w:val="0"/>
            <w:vAlign w:val="center"/>
          </w:tcPr>
          <w:p w14:paraId="622FF1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0.565 </w:t>
            </w:r>
          </w:p>
        </w:tc>
        <w:tc>
          <w:tcPr>
            <w:tcW w:w="817" w:type="dxa"/>
            <w:tcBorders>
              <w:tl2br w:val="nil"/>
              <w:tr2bl w:val="nil"/>
            </w:tcBorders>
            <w:noWrap w:val="0"/>
            <w:vAlign w:val="center"/>
          </w:tcPr>
          <w:p w14:paraId="0D0F48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0.509 </w:t>
            </w:r>
          </w:p>
        </w:tc>
        <w:tc>
          <w:tcPr>
            <w:tcW w:w="850" w:type="dxa"/>
            <w:tcBorders>
              <w:tl2br w:val="nil"/>
              <w:tr2bl w:val="nil"/>
            </w:tcBorders>
            <w:noWrap w:val="0"/>
            <w:vAlign w:val="center"/>
          </w:tcPr>
          <w:p w14:paraId="6345E9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0.373 </w:t>
            </w:r>
          </w:p>
        </w:tc>
        <w:tc>
          <w:tcPr>
            <w:tcW w:w="817" w:type="dxa"/>
            <w:tcBorders>
              <w:tl2br w:val="nil"/>
              <w:tr2bl w:val="nil"/>
            </w:tcBorders>
            <w:noWrap w:val="0"/>
            <w:vAlign w:val="center"/>
          </w:tcPr>
          <w:p w14:paraId="1261C3D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0.228 </w:t>
            </w:r>
          </w:p>
        </w:tc>
        <w:tc>
          <w:tcPr>
            <w:tcW w:w="866" w:type="dxa"/>
            <w:tcBorders>
              <w:tl2br w:val="nil"/>
              <w:tr2bl w:val="nil"/>
            </w:tcBorders>
            <w:noWrap w:val="0"/>
            <w:vAlign w:val="center"/>
          </w:tcPr>
          <w:p w14:paraId="0DC5973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50" w:type="dxa"/>
            <w:tcBorders>
              <w:tl2br w:val="nil"/>
              <w:tr2bl w:val="nil"/>
            </w:tcBorders>
            <w:noWrap w:val="0"/>
            <w:vAlign w:val="center"/>
          </w:tcPr>
          <w:p w14:paraId="26FDA75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5EC5B2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416555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4E304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002E029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18E397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826" w:type="dxa"/>
            <w:tcBorders>
              <w:tl2br w:val="nil"/>
              <w:tr2bl w:val="nil"/>
            </w:tcBorders>
            <w:noWrap w:val="0"/>
            <w:vAlign w:val="center"/>
          </w:tcPr>
          <w:p w14:paraId="72FA15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0.526 </w:t>
            </w:r>
          </w:p>
        </w:tc>
        <w:tc>
          <w:tcPr>
            <w:tcW w:w="857" w:type="dxa"/>
            <w:tcBorders>
              <w:tl2br w:val="nil"/>
              <w:tr2bl w:val="nil"/>
            </w:tcBorders>
            <w:noWrap w:val="0"/>
            <w:vAlign w:val="center"/>
          </w:tcPr>
          <w:p w14:paraId="225037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0.521 </w:t>
            </w:r>
          </w:p>
        </w:tc>
        <w:tc>
          <w:tcPr>
            <w:tcW w:w="817" w:type="dxa"/>
            <w:tcBorders>
              <w:tl2br w:val="nil"/>
              <w:tr2bl w:val="nil"/>
            </w:tcBorders>
            <w:noWrap w:val="0"/>
            <w:vAlign w:val="center"/>
          </w:tcPr>
          <w:p w14:paraId="7B35B8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0.483 </w:t>
            </w:r>
          </w:p>
        </w:tc>
        <w:tc>
          <w:tcPr>
            <w:tcW w:w="850" w:type="dxa"/>
            <w:tcBorders>
              <w:tl2br w:val="nil"/>
              <w:tr2bl w:val="nil"/>
            </w:tcBorders>
            <w:noWrap w:val="0"/>
            <w:vAlign w:val="center"/>
          </w:tcPr>
          <w:p w14:paraId="78C7709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0.383 </w:t>
            </w:r>
          </w:p>
        </w:tc>
        <w:tc>
          <w:tcPr>
            <w:tcW w:w="817" w:type="dxa"/>
            <w:tcBorders>
              <w:tl2br w:val="nil"/>
              <w:tr2bl w:val="nil"/>
            </w:tcBorders>
            <w:noWrap w:val="0"/>
            <w:vAlign w:val="center"/>
          </w:tcPr>
          <w:p w14:paraId="0F59CC4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0.241 </w:t>
            </w:r>
          </w:p>
        </w:tc>
        <w:tc>
          <w:tcPr>
            <w:tcW w:w="866" w:type="dxa"/>
            <w:tcBorders>
              <w:tl2br w:val="nil"/>
              <w:tr2bl w:val="nil"/>
            </w:tcBorders>
            <w:noWrap w:val="0"/>
            <w:vAlign w:val="center"/>
          </w:tcPr>
          <w:p w14:paraId="77FCBD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850" w:type="dxa"/>
            <w:tcBorders>
              <w:tl2br w:val="nil"/>
              <w:tr2bl w:val="nil"/>
            </w:tcBorders>
            <w:noWrap w:val="0"/>
            <w:vAlign w:val="center"/>
          </w:tcPr>
          <w:p w14:paraId="01164F4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1867F45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3F5885C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7A661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02D4FE8B">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FB86BC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 </w:t>
            </w:r>
          </w:p>
        </w:tc>
        <w:tc>
          <w:tcPr>
            <w:tcW w:w="826" w:type="dxa"/>
            <w:tcBorders>
              <w:tl2br w:val="nil"/>
              <w:tr2bl w:val="nil"/>
            </w:tcBorders>
            <w:noWrap w:val="0"/>
            <w:vAlign w:val="center"/>
          </w:tcPr>
          <w:p w14:paraId="27F4B3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0.494 </w:t>
            </w:r>
          </w:p>
        </w:tc>
        <w:tc>
          <w:tcPr>
            <w:tcW w:w="857" w:type="dxa"/>
            <w:tcBorders>
              <w:tl2br w:val="nil"/>
              <w:tr2bl w:val="nil"/>
            </w:tcBorders>
            <w:noWrap w:val="0"/>
            <w:vAlign w:val="center"/>
          </w:tcPr>
          <w:p w14:paraId="153DF0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0.490 </w:t>
            </w:r>
          </w:p>
        </w:tc>
        <w:tc>
          <w:tcPr>
            <w:tcW w:w="817" w:type="dxa"/>
            <w:tcBorders>
              <w:tl2br w:val="nil"/>
              <w:tr2bl w:val="nil"/>
            </w:tcBorders>
            <w:noWrap w:val="0"/>
            <w:vAlign w:val="center"/>
          </w:tcPr>
          <w:p w14:paraId="610226B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0.462 </w:t>
            </w:r>
          </w:p>
        </w:tc>
        <w:tc>
          <w:tcPr>
            <w:tcW w:w="850" w:type="dxa"/>
            <w:tcBorders>
              <w:tl2br w:val="nil"/>
              <w:tr2bl w:val="nil"/>
            </w:tcBorders>
            <w:noWrap w:val="0"/>
            <w:vAlign w:val="center"/>
          </w:tcPr>
          <w:p w14:paraId="6C6025B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0.386 </w:t>
            </w:r>
          </w:p>
        </w:tc>
        <w:tc>
          <w:tcPr>
            <w:tcW w:w="817" w:type="dxa"/>
            <w:tcBorders>
              <w:tl2br w:val="nil"/>
              <w:tr2bl w:val="nil"/>
            </w:tcBorders>
            <w:noWrap w:val="0"/>
            <w:vAlign w:val="center"/>
          </w:tcPr>
          <w:p w14:paraId="05D9BC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0.254 </w:t>
            </w:r>
          </w:p>
        </w:tc>
        <w:tc>
          <w:tcPr>
            <w:tcW w:w="866" w:type="dxa"/>
            <w:tcBorders>
              <w:tl2br w:val="nil"/>
              <w:tr2bl w:val="nil"/>
            </w:tcBorders>
            <w:noWrap w:val="0"/>
            <w:vAlign w:val="center"/>
          </w:tcPr>
          <w:p w14:paraId="698A0D8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850" w:type="dxa"/>
            <w:tcBorders>
              <w:tl2br w:val="nil"/>
              <w:tr2bl w:val="nil"/>
            </w:tcBorders>
            <w:noWrap w:val="0"/>
            <w:vAlign w:val="center"/>
          </w:tcPr>
          <w:p w14:paraId="756D68C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638E924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6C44626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38318C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97" w:type="dxa"/>
            <w:vMerge w:val="continue"/>
            <w:tcBorders>
              <w:tl2br w:val="nil"/>
              <w:tr2bl w:val="nil"/>
            </w:tcBorders>
            <w:noWrap w:val="0"/>
            <w:vAlign w:val="center"/>
          </w:tcPr>
          <w:p w14:paraId="71BBFDE4">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F9D694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 </w:t>
            </w:r>
          </w:p>
        </w:tc>
        <w:tc>
          <w:tcPr>
            <w:tcW w:w="826" w:type="dxa"/>
            <w:tcBorders>
              <w:tl2br w:val="nil"/>
              <w:tr2bl w:val="nil"/>
            </w:tcBorders>
            <w:noWrap w:val="0"/>
            <w:vAlign w:val="center"/>
          </w:tcPr>
          <w:p w14:paraId="03F6F7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0.470 </w:t>
            </w:r>
          </w:p>
        </w:tc>
        <w:tc>
          <w:tcPr>
            <w:tcW w:w="857" w:type="dxa"/>
            <w:tcBorders>
              <w:tl2br w:val="nil"/>
              <w:tr2bl w:val="nil"/>
            </w:tcBorders>
            <w:noWrap w:val="0"/>
            <w:vAlign w:val="center"/>
          </w:tcPr>
          <w:p w14:paraId="2FC62A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0.466 </w:t>
            </w:r>
          </w:p>
        </w:tc>
        <w:tc>
          <w:tcPr>
            <w:tcW w:w="817" w:type="dxa"/>
            <w:tcBorders>
              <w:tl2br w:val="nil"/>
              <w:tr2bl w:val="nil"/>
            </w:tcBorders>
            <w:noWrap w:val="0"/>
            <w:vAlign w:val="center"/>
          </w:tcPr>
          <w:p w14:paraId="4E4362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0.446 </w:t>
            </w:r>
          </w:p>
        </w:tc>
        <w:tc>
          <w:tcPr>
            <w:tcW w:w="850" w:type="dxa"/>
            <w:tcBorders>
              <w:tl2br w:val="nil"/>
              <w:tr2bl w:val="nil"/>
            </w:tcBorders>
            <w:noWrap w:val="0"/>
            <w:vAlign w:val="center"/>
          </w:tcPr>
          <w:p w14:paraId="38FF0A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0.384 </w:t>
            </w:r>
          </w:p>
        </w:tc>
        <w:tc>
          <w:tcPr>
            <w:tcW w:w="817" w:type="dxa"/>
            <w:tcBorders>
              <w:tl2br w:val="nil"/>
              <w:tr2bl w:val="nil"/>
            </w:tcBorders>
            <w:noWrap w:val="0"/>
            <w:vAlign w:val="center"/>
          </w:tcPr>
          <w:p w14:paraId="216773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0.264 </w:t>
            </w:r>
          </w:p>
        </w:tc>
        <w:tc>
          <w:tcPr>
            <w:tcW w:w="866" w:type="dxa"/>
            <w:tcBorders>
              <w:tl2br w:val="nil"/>
              <w:tr2bl w:val="nil"/>
            </w:tcBorders>
            <w:noWrap w:val="0"/>
            <w:vAlign w:val="center"/>
          </w:tcPr>
          <w:p w14:paraId="3E36C2D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c>
          <w:tcPr>
            <w:tcW w:w="850" w:type="dxa"/>
            <w:tcBorders>
              <w:tl2br w:val="nil"/>
              <w:tr2bl w:val="nil"/>
            </w:tcBorders>
            <w:noWrap w:val="0"/>
            <w:vAlign w:val="center"/>
          </w:tcPr>
          <w:p w14:paraId="1709E3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17" w:type="dxa"/>
            <w:tcBorders>
              <w:tl2br w:val="nil"/>
              <w:tr2bl w:val="nil"/>
            </w:tcBorders>
            <w:noWrap w:val="0"/>
            <w:vAlign w:val="center"/>
          </w:tcPr>
          <w:p w14:paraId="386EF66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1CC8FE5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58A0F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97" w:type="dxa"/>
            <w:vMerge w:val="continue"/>
            <w:tcBorders>
              <w:tl2br w:val="nil"/>
              <w:tr2bl w:val="nil"/>
            </w:tcBorders>
            <w:noWrap w:val="0"/>
            <w:vAlign w:val="center"/>
          </w:tcPr>
          <w:p w14:paraId="031D1099">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13B0EB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826" w:type="dxa"/>
            <w:tcBorders>
              <w:tl2br w:val="nil"/>
              <w:tr2bl w:val="nil"/>
            </w:tcBorders>
            <w:noWrap w:val="0"/>
            <w:vAlign w:val="center"/>
          </w:tcPr>
          <w:p w14:paraId="524690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0.451 </w:t>
            </w:r>
          </w:p>
        </w:tc>
        <w:tc>
          <w:tcPr>
            <w:tcW w:w="857" w:type="dxa"/>
            <w:tcBorders>
              <w:tl2br w:val="nil"/>
              <w:tr2bl w:val="nil"/>
            </w:tcBorders>
            <w:noWrap w:val="0"/>
            <w:vAlign w:val="center"/>
          </w:tcPr>
          <w:p w14:paraId="7B9666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0.448 </w:t>
            </w:r>
          </w:p>
        </w:tc>
        <w:tc>
          <w:tcPr>
            <w:tcW w:w="817" w:type="dxa"/>
            <w:tcBorders>
              <w:tl2br w:val="nil"/>
              <w:tr2bl w:val="nil"/>
            </w:tcBorders>
            <w:noWrap w:val="0"/>
            <w:vAlign w:val="center"/>
          </w:tcPr>
          <w:p w14:paraId="1EC08BE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0.432 </w:t>
            </w:r>
          </w:p>
        </w:tc>
        <w:tc>
          <w:tcPr>
            <w:tcW w:w="850" w:type="dxa"/>
            <w:tcBorders>
              <w:tl2br w:val="nil"/>
              <w:tr2bl w:val="nil"/>
            </w:tcBorders>
            <w:noWrap w:val="0"/>
            <w:vAlign w:val="center"/>
          </w:tcPr>
          <w:p w14:paraId="6D0DE7F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0.381 </w:t>
            </w:r>
          </w:p>
        </w:tc>
        <w:tc>
          <w:tcPr>
            <w:tcW w:w="817" w:type="dxa"/>
            <w:tcBorders>
              <w:tl2br w:val="nil"/>
              <w:tr2bl w:val="nil"/>
            </w:tcBorders>
            <w:noWrap w:val="0"/>
            <w:vAlign w:val="center"/>
          </w:tcPr>
          <w:p w14:paraId="243B90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0.272 </w:t>
            </w:r>
          </w:p>
        </w:tc>
        <w:tc>
          <w:tcPr>
            <w:tcW w:w="866" w:type="dxa"/>
            <w:tcBorders>
              <w:tl2br w:val="nil"/>
              <w:tr2bl w:val="nil"/>
            </w:tcBorders>
            <w:noWrap w:val="0"/>
            <w:vAlign w:val="center"/>
          </w:tcPr>
          <w:p w14:paraId="64F302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0.225 </w:t>
            </w:r>
          </w:p>
        </w:tc>
        <w:tc>
          <w:tcPr>
            <w:tcW w:w="850" w:type="dxa"/>
            <w:tcBorders>
              <w:tl2br w:val="nil"/>
              <w:tr2bl w:val="nil"/>
            </w:tcBorders>
            <w:noWrap w:val="0"/>
            <w:vAlign w:val="center"/>
          </w:tcPr>
          <w:p w14:paraId="5D5B9A3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817" w:type="dxa"/>
            <w:tcBorders>
              <w:tl2br w:val="nil"/>
              <w:tr2bl w:val="nil"/>
            </w:tcBorders>
            <w:noWrap w:val="0"/>
            <w:vAlign w:val="center"/>
          </w:tcPr>
          <w:p w14:paraId="5E01BF8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4DCDD4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0AA7B9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2AB174E">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A967A4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 </w:t>
            </w:r>
          </w:p>
        </w:tc>
        <w:tc>
          <w:tcPr>
            <w:tcW w:w="826" w:type="dxa"/>
            <w:tcBorders>
              <w:tl2br w:val="nil"/>
              <w:tr2bl w:val="nil"/>
            </w:tcBorders>
            <w:noWrap w:val="0"/>
            <w:vAlign w:val="center"/>
          </w:tcPr>
          <w:p w14:paraId="51904D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0.436 </w:t>
            </w:r>
          </w:p>
        </w:tc>
        <w:tc>
          <w:tcPr>
            <w:tcW w:w="857" w:type="dxa"/>
            <w:tcBorders>
              <w:tl2br w:val="nil"/>
              <w:tr2bl w:val="nil"/>
            </w:tcBorders>
            <w:noWrap w:val="0"/>
            <w:vAlign w:val="center"/>
          </w:tcPr>
          <w:p w14:paraId="134272C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0.434 </w:t>
            </w:r>
          </w:p>
        </w:tc>
        <w:tc>
          <w:tcPr>
            <w:tcW w:w="817" w:type="dxa"/>
            <w:tcBorders>
              <w:tl2br w:val="nil"/>
              <w:tr2bl w:val="nil"/>
            </w:tcBorders>
            <w:noWrap w:val="0"/>
            <w:vAlign w:val="center"/>
          </w:tcPr>
          <w:p w14:paraId="34DCBF5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0.420 </w:t>
            </w:r>
          </w:p>
        </w:tc>
        <w:tc>
          <w:tcPr>
            <w:tcW w:w="850" w:type="dxa"/>
            <w:tcBorders>
              <w:tl2br w:val="nil"/>
              <w:tr2bl w:val="nil"/>
            </w:tcBorders>
            <w:noWrap w:val="0"/>
            <w:vAlign w:val="center"/>
          </w:tcPr>
          <w:p w14:paraId="790743B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0.377 </w:t>
            </w:r>
          </w:p>
        </w:tc>
        <w:tc>
          <w:tcPr>
            <w:tcW w:w="817" w:type="dxa"/>
            <w:tcBorders>
              <w:tl2br w:val="nil"/>
              <w:tr2bl w:val="nil"/>
            </w:tcBorders>
            <w:noWrap w:val="0"/>
            <w:vAlign w:val="center"/>
          </w:tcPr>
          <w:p w14:paraId="5E25EA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0.279 </w:t>
            </w:r>
          </w:p>
        </w:tc>
        <w:tc>
          <w:tcPr>
            <w:tcW w:w="866" w:type="dxa"/>
            <w:tcBorders>
              <w:tl2br w:val="nil"/>
              <w:tr2bl w:val="nil"/>
            </w:tcBorders>
            <w:noWrap w:val="0"/>
            <w:vAlign w:val="center"/>
          </w:tcPr>
          <w:p w14:paraId="70A7A50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0.229 </w:t>
            </w:r>
          </w:p>
        </w:tc>
        <w:tc>
          <w:tcPr>
            <w:tcW w:w="850" w:type="dxa"/>
            <w:tcBorders>
              <w:tl2br w:val="nil"/>
              <w:tr2bl w:val="nil"/>
            </w:tcBorders>
            <w:noWrap w:val="0"/>
            <w:vAlign w:val="center"/>
          </w:tcPr>
          <w:p w14:paraId="23AE474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c>
          <w:tcPr>
            <w:tcW w:w="817" w:type="dxa"/>
            <w:tcBorders>
              <w:tl2br w:val="nil"/>
              <w:tr2bl w:val="nil"/>
            </w:tcBorders>
            <w:noWrap w:val="0"/>
            <w:vAlign w:val="center"/>
          </w:tcPr>
          <w:p w14:paraId="46C69FD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7CDAA3C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4F63D1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660DBF5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EF5FD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450 </w:t>
            </w:r>
          </w:p>
        </w:tc>
        <w:tc>
          <w:tcPr>
            <w:tcW w:w="826" w:type="dxa"/>
            <w:tcBorders>
              <w:tl2br w:val="nil"/>
              <w:tr2bl w:val="nil"/>
            </w:tcBorders>
            <w:noWrap w:val="0"/>
            <w:vAlign w:val="center"/>
          </w:tcPr>
          <w:p w14:paraId="55B6F5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0.423 </w:t>
            </w:r>
          </w:p>
        </w:tc>
        <w:tc>
          <w:tcPr>
            <w:tcW w:w="857" w:type="dxa"/>
            <w:tcBorders>
              <w:tl2br w:val="nil"/>
              <w:tr2bl w:val="nil"/>
            </w:tcBorders>
            <w:noWrap w:val="0"/>
            <w:vAlign w:val="center"/>
          </w:tcPr>
          <w:p w14:paraId="7837A7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0.421 </w:t>
            </w:r>
          </w:p>
        </w:tc>
        <w:tc>
          <w:tcPr>
            <w:tcW w:w="817" w:type="dxa"/>
            <w:tcBorders>
              <w:tl2br w:val="nil"/>
              <w:tr2bl w:val="nil"/>
            </w:tcBorders>
            <w:noWrap w:val="0"/>
            <w:vAlign w:val="center"/>
          </w:tcPr>
          <w:p w14:paraId="6EF31A4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0.410 </w:t>
            </w:r>
          </w:p>
        </w:tc>
        <w:tc>
          <w:tcPr>
            <w:tcW w:w="850" w:type="dxa"/>
            <w:tcBorders>
              <w:tl2br w:val="nil"/>
              <w:tr2bl w:val="nil"/>
            </w:tcBorders>
            <w:noWrap w:val="0"/>
            <w:vAlign w:val="center"/>
          </w:tcPr>
          <w:p w14:paraId="3F20DFF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0.373 </w:t>
            </w:r>
          </w:p>
        </w:tc>
        <w:tc>
          <w:tcPr>
            <w:tcW w:w="817" w:type="dxa"/>
            <w:tcBorders>
              <w:tl2br w:val="nil"/>
              <w:tr2bl w:val="nil"/>
            </w:tcBorders>
            <w:noWrap w:val="0"/>
            <w:vAlign w:val="center"/>
          </w:tcPr>
          <w:p w14:paraId="297E0E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0.284 </w:t>
            </w:r>
          </w:p>
        </w:tc>
        <w:tc>
          <w:tcPr>
            <w:tcW w:w="866" w:type="dxa"/>
            <w:tcBorders>
              <w:tl2br w:val="nil"/>
              <w:tr2bl w:val="nil"/>
            </w:tcBorders>
            <w:noWrap w:val="0"/>
            <w:vAlign w:val="center"/>
          </w:tcPr>
          <w:p w14:paraId="689FE12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0.232 </w:t>
            </w:r>
          </w:p>
        </w:tc>
        <w:tc>
          <w:tcPr>
            <w:tcW w:w="850" w:type="dxa"/>
            <w:tcBorders>
              <w:tl2br w:val="nil"/>
              <w:tr2bl w:val="nil"/>
            </w:tcBorders>
            <w:noWrap w:val="0"/>
            <w:vAlign w:val="center"/>
          </w:tcPr>
          <w:p w14:paraId="40F732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817" w:type="dxa"/>
            <w:tcBorders>
              <w:tl2br w:val="nil"/>
              <w:tr2bl w:val="nil"/>
            </w:tcBorders>
            <w:noWrap w:val="0"/>
            <w:vAlign w:val="center"/>
          </w:tcPr>
          <w:p w14:paraId="78398C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534D74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290DE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32742C4A">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D5DE8F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 </w:t>
            </w:r>
          </w:p>
        </w:tc>
        <w:tc>
          <w:tcPr>
            <w:tcW w:w="826" w:type="dxa"/>
            <w:tcBorders>
              <w:tl2br w:val="nil"/>
              <w:tr2bl w:val="nil"/>
            </w:tcBorders>
            <w:noWrap w:val="0"/>
            <w:vAlign w:val="center"/>
          </w:tcPr>
          <w:p w14:paraId="6DE9F2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0.412 </w:t>
            </w:r>
          </w:p>
        </w:tc>
        <w:tc>
          <w:tcPr>
            <w:tcW w:w="857" w:type="dxa"/>
            <w:tcBorders>
              <w:tl2br w:val="nil"/>
              <w:tr2bl w:val="nil"/>
            </w:tcBorders>
            <w:noWrap w:val="0"/>
            <w:vAlign w:val="center"/>
          </w:tcPr>
          <w:p w14:paraId="472EDB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0.411 </w:t>
            </w:r>
          </w:p>
        </w:tc>
        <w:tc>
          <w:tcPr>
            <w:tcW w:w="817" w:type="dxa"/>
            <w:tcBorders>
              <w:tl2br w:val="nil"/>
              <w:tr2bl w:val="nil"/>
            </w:tcBorders>
            <w:noWrap w:val="0"/>
            <w:vAlign w:val="center"/>
          </w:tcPr>
          <w:p w14:paraId="55CF898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0.401 </w:t>
            </w:r>
          </w:p>
        </w:tc>
        <w:tc>
          <w:tcPr>
            <w:tcW w:w="850" w:type="dxa"/>
            <w:tcBorders>
              <w:tl2br w:val="nil"/>
              <w:tr2bl w:val="nil"/>
            </w:tcBorders>
            <w:noWrap w:val="0"/>
            <w:vAlign w:val="center"/>
          </w:tcPr>
          <w:p w14:paraId="63BB804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0.369 </w:t>
            </w:r>
          </w:p>
        </w:tc>
        <w:tc>
          <w:tcPr>
            <w:tcW w:w="817" w:type="dxa"/>
            <w:tcBorders>
              <w:tl2br w:val="nil"/>
              <w:tr2bl w:val="nil"/>
            </w:tcBorders>
            <w:noWrap w:val="0"/>
            <w:vAlign w:val="center"/>
          </w:tcPr>
          <w:p w14:paraId="315FC2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0.288 </w:t>
            </w:r>
          </w:p>
        </w:tc>
        <w:tc>
          <w:tcPr>
            <w:tcW w:w="866" w:type="dxa"/>
            <w:tcBorders>
              <w:tl2br w:val="nil"/>
              <w:tr2bl w:val="nil"/>
            </w:tcBorders>
            <w:noWrap w:val="0"/>
            <w:vAlign w:val="center"/>
          </w:tcPr>
          <w:p w14:paraId="54EC90F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0.236 </w:t>
            </w:r>
          </w:p>
        </w:tc>
        <w:tc>
          <w:tcPr>
            <w:tcW w:w="850" w:type="dxa"/>
            <w:tcBorders>
              <w:tl2br w:val="nil"/>
              <w:tr2bl w:val="nil"/>
            </w:tcBorders>
            <w:noWrap w:val="0"/>
            <w:vAlign w:val="center"/>
          </w:tcPr>
          <w:p w14:paraId="22725C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0.219 </w:t>
            </w:r>
          </w:p>
        </w:tc>
        <w:tc>
          <w:tcPr>
            <w:tcW w:w="817" w:type="dxa"/>
            <w:tcBorders>
              <w:tl2br w:val="nil"/>
              <w:tr2bl w:val="nil"/>
            </w:tcBorders>
            <w:noWrap w:val="0"/>
            <w:vAlign w:val="center"/>
          </w:tcPr>
          <w:p w14:paraId="242063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c>
          <w:tcPr>
            <w:tcW w:w="837" w:type="dxa"/>
            <w:tcBorders>
              <w:tl2br w:val="nil"/>
              <w:tr2bl w:val="nil"/>
            </w:tcBorders>
            <w:noWrap w:val="0"/>
            <w:vAlign w:val="center"/>
          </w:tcPr>
          <w:p w14:paraId="2F979C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7E34DA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7A1554FF">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1D9EDE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 </w:t>
            </w:r>
          </w:p>
        </w:tc>
        <w:tc>
          <w:tcPr>
            <w:tcW w:w="826" w:type="dxa"/>
            <w:tcBorders>
              <w:tl2br w:val="nil"/>
              <w:tr2bl w:val="nil"/>
            </w:tcBorders>
            <w:noWrap w:val="0"/>
            <w:vAlign w:val="center"/>
          </w:tcPr>
          <w:p w14:paraId="1E3EFB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0.395 </w:t>
            </w:r>
          </w:p>
        </w:tc>
        <w:tc>
          <w:tcPr>
            <w:tcW w:w="857" w:type="dxa"/>
            <w:tcBorders>
              <w:tl2br w:val="nil"/>
              <w:tr2bl w:val="nil"/>
            </w:tcBorders>
            <w:noWrap w:val="0"/>
            <w:vAlign w:val="center"/>
          </w:tcPr>
          <w:p w14:paraId="0A309D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0.394 </w:t>
            </w:r>
          </w:p>
        </w:tc>
        <w:tc>
          <w:tcPr>
            <w:tcW w:w="817" w:type="dxa"/>
            <w:tcBorders>
              <w:tl2br w:val="nil"/>
              <w:tr2bl w:val="nil"/>
            </w:tcBorders>
            <w:noWrap w:val="0"/>
            <w:vAlign w:val="center"/>
          </w:tcPr>
          <w:p w14:paraId="359C041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0.386 </w:t>
            </w:r>
          </w:p>
        </w:tc>
        <w:tc>
          <w:tcPr>
            <w:tcW w:w="850" w:type="dxa"/>
            <w:tcBorders>
              <w:tl2br w:val="nil"/>
              <w:tr2bl w:val="nil"/>
            </w:tcBorders>
            <w:noWrap w:val="0"/>
            <w:vAlign w:val="center"/>
          </w:tcPr>
          <w:p w14:paraId="1A07FD7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0.362 </w:t>
            </w:r>
          </w:p>
        </w:tc>
        <w:tc>
          <w:tcPr>
            <w:tcW w:w="817" w:type="dxa"/>
            <w:tcBorders>
              <w:tl2br w:val="nil"/>
              <w:tr2bl w:val="nil"/>
            </w:tcBorders>
            <w:noWrap w:val="0"/>
            <w:vAlign w:val="center"/>
          </w:tcPr>
          <w:p w14:paraId="4B941C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0.294 </w:t>
            </w:r>
          </w:p>
        </w:tc>
        <w:tc>
          <w:tcPr>
            <w:tcW w:w="866" w:type="dxa"/>
            <w:tcBorders>
              <w:tl2br w:val="nil"/>
              <w:tr2bl w:val="nil"/>
            </w:tcBorders>
            <w:noWrap w:val="0"/>
            <w:vAlign w:val="center"/>
          </w:tcPr>
          <w:p w14:paraId="686EA87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0.243 </w:t>
            </w:r>
          </w:p>
        </w:tc>
        <w:tc>
          <w:tcPr>
            <w:tcW w:w="850" w:type="dxa"/>
            <w:tcBorders>
              <w:tl2br w:val="nil"/>
              <w:tr2bl w:val="nil"/>
            </w:tcBorders>
            <w:noWrap w:val="0"/>
            <w:vAlign w:val="center"/>
          </w:tcPr>
          <w:p w14:paraId="22BC01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0.222 </w:t>
            </w:r>
          </w:p>
        </w:tc>
        <w:tc>
          <w:tcPr>
            <w:tcW w:w="817" w:type="dxa"/>
            <w:tcBorders>
              <w:tl2br w:val="nil"/>
              <w:tr2bl w:val="nil"/>
            </w:tcBorders>
            <w:noWrap w:val="0"/>
            <w:vAlign w:val="center"/>
          </w:tcPr>
          <w:p w14:paraId="4963EFD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837" w:type="dxa"/>
            <w:tcBorders>
              <w:tl2br w:val="nil"/>
              <w:tr2bl w:val="nil"/>
            </w:tcBorders>
            <w:noWrap w:val="0"/>
            <w:vAlign w:val="center"/>
          </w:tcPr>
          <w:p w14:paraId="6D27CB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0.215 </w:t>
            </w:r>
          </w:p>
        </w:tc>
      </w:tr>
      <w:tr w14:paraId="7468B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0127C706">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A8589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800 </w:t>
            </w:r>
          </w:p>
        </w:tc>
        <w:tc>
          <w:tcPr>
            <w:tcW w:w="826" w:type="dxa"/>
            <w:tcBorders>
              <w:tl2br w:val="nil"/>
              <w:tr2bl w:val="nil"/>
            </w:tcBorders>
            <w:noWrap w:val="0"/>
            <w:vAlign w:val="center"/>
          </w:tcPr>
          <w:p w14:paraId="16FB6A7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0.371 </w:t>
            </w:r>
          </w:p>
        </w:tc>
        <w:tc>
          <w:tcPr>
            <w:tcW w:w="857" w:type="dxa"/>
            <w:tcBorders>
              <w:tl2br w:val="nil"/>
              <w:tr2bl w:val="nil"/>
            </w:tcBorders>
            <w:noWrap w:val="0"/>
            <w:vAlign w:val="center"/>
          </w:tcPr>
          <w:p w14:paraId="48586B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0.370 </w:t>
            </w:r>
          </w:p>
        </w:tc>
        <w:tc>
          <w:tcPr>
            <w:tcW w:w="817" w:type="dxa"/>
            <w:tcBorders>
              <w:tl2br w:val="nil"/>
              <w:tr2bl w:val="nil"/>
            </w:tcBorders>
            <w:noWrap w:val="0"/>
            <w:vAlign w:val="center"/>
          </w:tcPr>
          <w:p w14:paraId="02E3AF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0.365 </w:t>
            </w:r>
          </w:p>
        </w:tc>
        <w:tc>
          <w:tcPr>
            <w:tcW w:w="850" w:type="dxa"/>
            <w:tcBorders>
              <w:tl2br w:val="nil"/>
              <w:tr2bl w:val="nil"/>
            </w:tcBorders>
            <w:noWrap w:val="0"/>
            <w:vAlign w:val="center"/>
          </w:tcPr>
          <w:p w14:paraId="4AB024D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0.349 </w:t>
            </w:r>
          </w:p>
        </w:tc>
        <w:tc>
          <w:tcPr>
            <w:tcW w:w="817" w:type="dxa"/>
            <w:tcBorders>
              <w:tl2br w:val="nil"/>
              <w:tr2bl w:val="nil"/>
            </w:tcBorders>
            <w:noWrap w:val="0"/>
            <w:vAlign w:val="center"/>
          </w:tcPr>
          <w:p w14:paraId="3484B0B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0.299 </w:t>
            </w:r>
          </w:p>
        </w:tc>
        <w:tc>
          <w:tcPr>
            <w:tcW w:w="866" w:type="dxa"/>
            <w:tcBorders>
              <w:tl2br w:val="nil"/>
              <w:tr2bl w:val="nil"/>
            </w:tcBorders>
            <w:noWrap w:val="0"/>
            <w:vAlign w:val="center"/>
          </w:tcPr>
          <w:p w14:paraId="2F0863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0.254 </w:t>
            </w:r>
          </w:p>
        </w:tc>
        <w:tc>
          <w:tcPr>
            <w:tcW w:w="850" w:type="dxa"/>
            <w:tcBorders>
              <w:tl2br w:val="nil"/>
              <w:tr2bl w:val="nil"/>
            </w:tcBorders>
            <w:noWrap w:val="0"/>
            <w:vAlign w:val="center"/>
          </w:tcPr>
          <w:p w14:paraId="08895A4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0.228 </w:t>
            </w:r>
          </w:p>
        </w:tc>
        <w:tc>
          <w:tcPr>
            <w:tcW w:w="817" w:type="dxa"/>
            <w:tcBorders>
              <w:tl2br w:val="nil"/>
              <w:tr2bl w:val="nil"/>
            </w:tcBorders>
            <w:noWrap w:val="0"/>
            <w:vAlign w:val="center"/>
          </w:tcPr>
          <w:p w14:paraId="40839D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c>
          <w:tcPr>
            <w:tcW w:w="837" w:type="dxa"/>
            <w:tcBorders>
              <w:tl2br w:val="nil"/>
              <w:tr2bl w:val="nil"/>
            </w:tcBorders>
            <w:noWrap w:val="0"/>
            <w:vAlign w:val="center"/>
          </w:tcPr>
          <w:p w14:paraId="114390C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r>
      <w:tr w14:paraId="75826B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230B2043">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104799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826" w:type="dxa"/>
            <w:tcBorders>
              <w:tl2br w:val="nil"/>
              <w:tr2bl w:val="nil"/>
            </w:tcBorders>
            <w:noWrap w:val="0"/>
            <w:vAlign w:val="center"/>
          </w:tcPr>
          <w:p w14:paraId="695DF5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0.354 </w:t>
            </w:r>
          </w:p>
        </w:tc>
        <w:tc>
          <w:tcPr>
            <w:tcW w:w="857" w:type="dxa"/>
            <w:tcBorders>
              <w:tl2br w:val="nil"/>
              <w:tr2bl w:val="nil"/>
            </w:tcBorders>
            <w:noWrap w:val="0"/>
            <w:vAlign w:val="center"/>
          </w:tcPr>
          <w:p w14:paraId="270C4A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0.354 </w:t>
            </w:r>
          </w:p>
        </w:tc>
        <w:tc>
          <w:tcPr>
            <w:tcW w:w="817" w:type="dxa"/>
            <w:tcBorders>
              <w:tl2br w:val="nil"/>
              <w:tr2bl w:val="nil"/>
            </w:tcBorders>
            <w:noWrap w:val="0"/>
            <w:vAlign w:val="center"/>
          </w:tcPr>
          <w:p w14:paraId="7E50B2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0.350 </w:t>
            </w:r>
          </w:p>
        </w:tc>
        <w:tc>
          <w:tcPr>
            <w:tcW w:w="850" w:type="dxa"/>
            <w:tcBorders>
              <w:tl2br w:val="nil"/>
              <w:tr2bl w:val="nil"/>
            </w:tcBorders>
            <w:noWrap w:val="0"/>
            <w:vAlign w:val="center"/>
          </w:tcPr>
          <w:p w14:paraId="2ACFEC4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0.338 </w:t>
            </w:r>
          </w:p>
        </w:tc>
        <w:tc>
          <w:tcPr>
            <w:tcW w:w="817" w:type="dxa"/>
            <w:tcBorders>
              <w:tl2br w:val="nil"/>
              <w:tr2bl w:val="nil"/>
            </w:tcBorders>
            <w:noWrap w:val="0"/>
            <w:vAlign w:val="center"/>
          </w:tcPr>
          <w:p w14:paraId="67E712F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0.300 </w:t>
            </w:r>
          </w:p>
        </w:tc>
        <w:tc>
          <w:tcPr>
            <w:tcW w:w="866" w:type="dxa"/>
            <w:tcBorders>
              <w:tl2br w:val="nil"/>
              <w:tr2bl w:val="nil"/>
            </w:tcBorders>
            <w:noWrap w:val="0"/>
            <w:vAlign w:val="center"/>
          </w:tcPr>
          <w:p w14:paraId="1BF680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0.261 </w:t>
            </w:r>
          </w:p>
        </w:tc>
        <w:tc>
          <w:tcPr>
            <w:tcW w:w="850" w:type="dxa"/>
            <w:tcBorders>
              <w:tl2br w:val="nil"/>
              <w:tr2bl w:val="nil"/>
            </w:tcBorders>
            <w:noWrap w:val="0"/>
            <w:vAlign w:val="center"/>
          </w:tcPr>
          <w:p w14:paraId="432015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0.234 </w:t>
            </w:r>
          </w:p>
        </w:tc>
        <w:tc>
          <w:tcPr>
            <w:tcW w:w="817" w:type="dxa"/>
            <w:tcBorders>
              <w:tl2br w:val="nil"/>
              <w:tr2bl w:val="nil"/>
            </w:tcBorders>
            <w:noWrap w:val="0"/>
            <w:vAlign w:val="center"/>
          </w:tcPr>
          <w:p w14:paraId="1F8DD6A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c>
          <w:tcPr>
            <w:tcW w:w="837" w:type="dxa"/>
            <w:tcBorders>
              <w:tl2br w:val="nil"/>
              <w:tr2bl w:val="nil"/>
            </w:tcBorders>
            <w:noWrap w:val="0"/>
            <w:vAlign w:val="center"/>
          </w:tcPr>
          <w:p w14:paraId="0F368B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r>
      <w:tr w14:paraId="6360B1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783BDABD">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D2D23E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 </w:t>
            </w:r>
          </w:p>
        </w:tc>
        <w:tc>
          <w:tcPr>
            <w:tcW w:w="826" w:type="dxa"/>
            <w:tcBorders>
              <w:tl2br w:val="nil"/>
              <w:tr2bl w:val="nil"/>
            </w:tcBorders>
            <w:noWrap w:val="0"/>
            <w:vAlign w:val="center"/>
          </w:tcPr>
          <w:p w14:paraId="4DE8D1A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0.342 </w:t>
            </w:r>
          </w:p>
        </w:tc>
        <w:tc>
          <w:tcPr>
            <w:tcW w:w="857" w:type="dxa"/>
            <w:tcBorders>
              <w:tl2br w:val="nil"/>
              <w:tr2bl w:val="nil"/>
            </w:tcBorders>
            <w:noWrap w:val="0"/>
            <w:vAlign w:val="center"/>
          </w:tcPr>
          <w:p w14:paraId="63A2DC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0.342 </w:t>
            </w:r>
          </w:p>
        </w:tc>
        <w:tc>
          <w:tcPr>
            <w:tcW w:w="817" w:type="dxa"/>
            <w:tcBorders>
              <w:tl2br w:val="nil"/>
              <w:tr2bl w:val="nil"/>
            </w:tcBorders>
            <w:noWrap w:val="0"/>
            <w:vAlign w:val="center"/>
          </w:tcPr>
          <w:p w14:paraId="5F7D36E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0.339 </w:t>
            </w:r>
          </w:p>
        </w:tc>
        <w:tc>
          <w:tcPr>
            <w:tcW w:w="850" w:type="dxa"/>
            <w:tcBorders>
              <w:tl2br w:val="nil"/>
              <w:tr2bl w:val="nil"/>
            </w:tcBorders>
            <w:noWrap w:val="0"/>
            <w:vAlign w:val="center"/>
          </w:tcPr>
          <w:p w14:paraId="495E250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0.330 </w:t>
            </w:r>
          </w:p>
        </w:tc>
        <w:tc>
          <w:tcPr>
            <w:tcW w:w="817" w:type="dxa"/>
            <w:tcBorders>
              <w:tl2br w:val="nil"/>
              <w:tr2bl w:val="nil"/>
            </w:tcBorders>
            <w:noWrap w:val="0"/>
            <w:vAlign w:val="center"/>
          </w:tcPr>
          <w:p w14:paraId="65EC1F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0.299 </w:t>
            </w:r>
          </w:p>
        </w:tc>
        <w:tc>
          <w:tcPr>
            <w:tcW w:w="866" w:type="dxa"/>
            <w:tcBorders>
              <w:tl2br w:val="nil"/>
              <w:tr2bl w:val="nil"/>
            </w:tcBorders>
            <w:noWrap w:val="0"/>
            <w:vAlign w:val="center"/>
          </w:tcPr>
          <w:p w14:paraId="16221F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0.265 </w:t>
            </w:r>
          </w:p>
        </w:tc>
        <w:tc>
          <w:tcPr>
            <w:tcW w:w="850" w:type="dxa"/>
            <w:tcBorders>
              <w:tl2br w:val="nil"/>
              <w:tr2bl w:val="nil"/>
            </w:tcBorders>
            <w:noWrap w:val="0"/>
            <w:vAlign w:val="center"/>
          </w:tcPr>
          <w:p w14:paraId="13AA282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0.239 </w:t>
            </w:r>
          </w:p>
        </w:tc>
        <w:tc>
          <w:tcPr>
            <w:tcW w:w="817" w:type="dxa"/>
            <w:tcBorders>
              <w:tl2br w:val="nil"/>
              <w:tr2bl w:val="nil"/>
            </w:tcBorders>
            <w:noWrap w:val="0"/>
            <w:vAlign w:val="center"/>
          </w:tcPr>
          <w:p w14:paraId="0E5EE51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0.225 </w:t>
            </w:r>
          </w:p>
        </w:tc>
        <w:tc>
          <w:tcPr>
            <w:tcW w:w="837" w:type="dxa"/>
            <w:tcBorders>
              <w:tl2br w:val="nil"/>
              <w:tr2bl w:val="nil"/>
            </w:tcBorders>
            <w:noWrap w:val="0"/>
            <w:vAlign w:val="center"/>
          </w:tcPr>
          <w:p w14:paraId="78655F1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0.218 </w:t>
            </w:r>
          </w:p>
        </w:tc>
      </w:tr>
      <w:tr w14:paraId="6B8DD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AD82C02">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E611AF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826" w:type="dxa"/>
            <w:tcBorders>
              <w:tl2br w:val="nil"/>
              <w:tr2bl w:val="nil"/>
            </w:tcBorders>
            <w:noWrap w:val="0"/>
            <w:vAlign w:val="center"/>
          </w:tcPr>
          <w:p w14:paraId="67DFE36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0.329 </w:t>
            </w:r>
          </w:p>
        </w:tc>
        <w:tc>
          <w:tcPr>
            <w:tcW w:w="857" w:type="dxa"/>
            <w:tcBorders>
              <w:tl2br w:val="nil"/>
              <w:tr2bl w:val="nil"/>
            </w:tcBorders>
            <w:noWrap w:val="0"/>
            <w:vAlign w:val="center"/>
          </w:tcPr>
          <w:p w14:paraId="7427D2C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0.328 </w:t>
            </w:r>
          </w:p>
        </w:tc>
        <w:tc>
          <w:tcPr>
            <w:tcW w:w="817" w:type="dxa"/>
            <w:tcBorders>
              <w:tl2br w:val="nil"/>
              <w:tr2bl w:val="nil"/>
            </w:tcBorders>
            <w:noWrap w:val="0"/>
            <w:vAlign w:val="center"/>
          </w:tcPr>
          <w:p w14:paraId="4BC4390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0.326 </w:t>
            </w:r>
          </w:p>
        </w:tc>
        <w:tc>
          <w:tcPr>
            <w:tcW w:w="850" w:type="dxa"/>
            <w:tcBorders>
              <w:tl2br w:val="nil"/>
              <w:tr2bl w:val="nil"/>
            </w:tcBorders>
            <w:noWrap w:val="0"/>
            <w:vAlign w:val="center"/>
          </w:tcPr>
          <w:p w14:paraId="0E6B1C38">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0.320 </w:t>
            </w:r>
          </w:p>
        </w:tc>
        <w:tc>
          <w:tcPr>
            <w:tcW w:w="817" w:type="dxa"/>
            <w:tcBorders>
              <w:tl2br w:val="nil"/>
              <w:tr2bl w:val="nil"/>
            </w:tcBorders>
            <w:noWrap w:val="0"/>
            <w:vAlign w:val="center"/>
          </w:tcPr>
          <w:p w14:paraId="4A38A582">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0.297 </w:t>
            </w:r>
          </w:p>
        </w:tc>
        <w:tc>
          <w:tcPr>
            <w:tcW w:w="866" w:type="dxa"/>
            <w:tcBorders>
              <w:tl2br w:val="nil"/>
              <w:tr2bl w:val="nil"/>
            </w:tcBorders>
            <w:noWrap w:val="0"/>
            <w:vAlign w:val="center"/>
          </w:tcPr>
          <w:p w14:paraId="2D5CEC5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0.269 </w:t>
            </w:r>
          </w:p>
        </w:tc>
        <w:tc>
          <w:tcPr>
            <w:tcW w:w="850" w:type="dxa"/>
            <w:tcBorders>
              <w:tl2br w:val="nil"/>
              <w:tr2bl w:val="nil"/>
            </w:tcBorders>
            <w:noWrap w:val="0"/>
            <w:vAlign w:val="center"/>
          </w:tcPr>
          <w:p w14:paraId="16E5825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0.245 </w:t>
            </w:r>
          </w:p>
        </w:tc>
        <w:tc>
          <w:tcPr>
            <w:tcW w:w="817" w:type="dxa"/>
            <w:tcBorders>
              <w:tl2br w:val="nil"/>
              <w:tr2bl w:val="nil"/>
            </w:tcBorders>
            <w:noWrap w:val="0"/>
            <w:vAlign w:val="center"/>
          </w:tcPr>
          <w:p w14:paraId="0EB93E6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0.229 </w:t>
            </w:r>
          </w:p>
        </w:tc>
        <w:tc>
          <w:tcPr>
            <w:tcW w:w="837" w:type="dxa"/>
            <w:tcBorders>
              <w:tl2br w:val="nil"/>
              <w:tr2bl w:val="nil"/>
            </w:tcBorders>
            <w:noWrap w:val="0"/>
            <w:vAlign w:val="center"/>
          </w:tcPr>
          <w:p w14:paraId="12E4A19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0.221 </w:t>
            </w:r>
          </w:p>
        </w:tc>
      </w:tr>
      <w:tr w14:paraId="688808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5D1A6C9F">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2A80F7F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 </w:t>
            </w:r>
          </w:p>
        </w:tc>
        <w:tc>
          <w:tcPr>
            <w:tcW w:w="826" w:type="dxa"/>
            <w:tcBorders>
              <w:tl2br w:val="nil"/>
              <w:tr2bl w:val="nil"/>
            </w:tcBorders>
            <w:shd w:val="clear" w:color="auto" w:fill="auto"/>
            <w:noWrap w:val="0"/>
            <w:vAlign w:val="center"/>
          </w:tcPr>
          <w:p w14:paraId="366E349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0.313 </w:t>
            </w:r>
          </w:p>
        </w:tc>
        <w:tc>
          <w:tcPr>
            <w:tcW w:w="857" w:type="dxa"/>
            <w:tcBorders>
              <w:tl2br w:val="nil"/>
              <w:tr2bl w:val="nil"/>
            </w:tcBorders>
            <w:noWrap w:val="0"/>
            <w:vAlign w:val="center"/>
          </w:tcPr>
          <w:p w14:paraId="4E3766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0.313 </w:t>
            </w:r>
          </w:p>
        </w:tc>
        <w:tc>
          <w:tcPr>
            <w:tcW w:w="817" w:type="dxa"/>
            <w:tcBorders>
              <w:tl2br w:val="nil"/>
              <w:tr2bl w:val="nil"/>
            </w:tcBorders>
            <w:noWrap w:val="0"/>
            <w:vAlign w:val="center"/>
          </w:tcPr>
          <w:p w14:paraId="5E8E24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0.312 </w:t>
            </w:r>
          </w:p>
        </w:tc>
        <w:tc>
          <w:tcPr>
            <w:tcW w:w="850" w:type="dxa"/>
            <w:tcBorders>
              <w:tl2br w:val="nil"/>
              <w:tr2bl w:val="nil"/>
            </w:tcBorders>
            <w:noWrap w:val="0"/>
            <w:vAlign w:val="center"/>
          </w:tcPr>
          <w:p w14:paraId="5A4A1C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0.307 </w:t>
            </w:r>
          </w:p>
        </w:tc>
        <w:tc>
          <w:tcPr>
            <w:tcW w:w="817" w:type="dxa"/>
            <w:tcBorders>
              <w:tl2br w:val="nil"/>
              <w:tr2bl w:val="nil"/>
            </w:tcBorders>
            <w:noWrap w:val="0"/>
            <w:vAlign w:val="center"/>
          </w:tcPr>
          <w:p w14:paraId="4904D2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0.292 </w:t>
            </w:r>
          </w:p>
        </w:tc>
        <w:tc>
          <w:tcPr>
            <w:tcW w:w="866" w:type="dxa"/>
            <w:tcBorders>
              <w:tl2br w:val="nil"/>
              <w:tr2bl w:val="nil"/>
            </w:tcBorders>
            <w:noWrap w:val="0"/>
            <w:vAlign w:val="center"/>
          </w:tcPr>
          <w:p w14:paraId="1563C9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0.271 </w:t>
            </w:r>
          </w:p>
        </w:tc>
        <w:tc>
          <w:tcPr>
            <w:tcW w:w="850" w:type="dxa"/>
            <w:tcBorders>
              <w:tl2br w:val="nil"/>
              <w:tr2bl w:val="nil"/>
            </w:tcBorders>
            <w:noWrap w:val="0"/>
            <w:vAlign w:val="center"/>
          </w:tcPr>
          <w:p w14:paraId="5F07E4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0.251 </w:t>
            </w:r>
          </w:p>
        </w:tc>
        <w:tc>
          <w:tcPr>
            <w:tcW w:w="817" w:type="dxa"/>
            <w:tcBorders>
              <w:tl2br w:val="nil"/>
              <w:tr2bl w:val="nil"/>
            </w:tcBorders>
            <w:noWrap w:val="0"/>
            <w:vAlign w:val="center"/>
          </w:tcPr>
          <w:p w14:paraId="7CB957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0.236 </w:t>
            </w:r>
          </w:p>
        </w:tc>
        <w:tc>
          <w:tcPr>
            <w:tcW w:w="837" w:type="dxa"/>
            <w:tcBorders>
              <w:tl2br w:val="nil"/>
              <w:tr2bl w:val="nil"/>
            </w:tcBorders>
            <w:noWrap w:val="0"/>
            <w:vAlign w:val="center"/>
          </w:tcPr>
          <w:p w14:paraId="7E0856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0.226 </w:t>
            </w:r>
          </w:p>
        </w:tc>
      </w:tr>
      <w:tr w14:paraId="2AE07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6598323B">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1F82494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3000 </w:t>
            </w:r>
          </w:p>
        </w:tc>
        <w:tc>
          <w:tcPr>
            <w:tcW w:w="826" w:type="dxa"/>
            <w:tcBorders>
              <w:tl2br w:val="nil"/>
              <w:tr2bl w:val="nil"/>
            </w:tcBorders>
            <w:shd w:val="clear" w:color="auto" w:fill="auto"/>
            <w:noWrap w:val="0"/>
            <w:vAlign w:val="center"/>
          </w:tcPr>
          <w:p w14:paraId="6101646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0.295 </w:t>
            </w:r>
          </w:p>
        </w:tc>
        <w:tc>
          <w:tcPr>
            <w:tcW w:w="857" w:type="dxa"/>
            <w:tcBorders>
              <w:tl2br w:val="nil"/>
              <w:tr2bl w:val="nil"/>
            </w:tcBorders>
            <w:noWrap w:val="0"/>
            <w:vAlign w:val="center"/>
          </w:tcPr>
          <w:p w14:paraId="0E3666A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0.295 </w:t>
            </w:r>
          </w:p>
        </w:tc>
        <w:tc>
          <w:tcPr>
            <w:tcW w:w="817" w:type="dxa"/>
            <w:tcBorders>
              <w:tl2br w:val="nil"/>
              <w:tr2bl w:val="nil"/>
            </w:tcBorders>
            <w:noWrap w:val="0"/>
            <w:vAlign w:val="center"/>
          </w:tcPr>
          <w:p w14:paraId="7F1B4FF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0.294 </w:t>
            </w:r>
          </w:p>
        </w:tc>
        <w:tc>
          <w:tcPr>
            <w:tcW w:w="850" w:type="dxa"/>
            <w:tcBorders>
              <w:tl2br w:val="nil"/>
              <w:tr2bl w:val="nil"/>
            </w:tcBorders>
            <w:noWrap w:val="0"/>
            <w:vAlign w:val="center"/>
          </w:tcPr>
          <w:p w14:paraId="2B2D2BF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0.292 </w:t>
            </w:r>
          </w:p>
        </w:tc>
        <w:tc>
          <w:tcPr>
            <w:tcW w:w="817" w:type="dxa"/>
            <w:tcBorders>
              <w:tl2br w:val="nil"/>
              <w:tr2bl w:val="nil"/>
            </w:tcBorders>
            <w:noWrap w:val="0"/>
            <w:vAlign w:val="center"/>
          </w:tcPr>
          <w:p w14:paraId="28BE397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0.283 </w:t>
            </w:r>
          </w:p>
        </w:tc>
        <w:tc>
          <w:tcPr>
            <w:tcW w:w="866" w:type="dxa"/>
            <w:tcBorders>
              <w:tl2br w:val="nil"/>
              <w:tr2bl w:val="nil"/>
            </w:tcBorders>
            <w:noWrap w:val="0"/>
            <w:vAlign w:val="center"/>
          </w:tcPr>
          <w:p w14:paraId="5A31CBD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0.270 </w:t>
            </w:r>
          </w:p>
        </w:tc>
        <w:tc>
          <w:tcPr>
            <w:tcW w:w="850" w:type="dxa"/>
            <w:tcBorders>
              <w:tl2br w:val="nil"/>
              <w:tr2bl w:val="nil"/>
            </w:tcBorders>
            <w:noWrap w:val="0"/>
            <w:vAlign w:val="center"/>
          </w:tcPr>
          <w:p w14:paraId="4C3DB75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0.256 </w:t>
            </w:r>
          </w:p>
        </w:tc>
        <w:tc>
          <w:tcPr>
            <w:tcW w:w="817" w:type="dxa"/>
            <w:tcBorders>
              <w:tl2br w:val="nil"/>
              <w:tr2bl w:val="nil"/>
            </w:tcBorders>
            <w:noWrap w:val="0"/>
            <w:vAlign w:val="center"/>
          </w:tcPr>
          <w:p w14:paraId="192FBDF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0.243 </w:t>
            </w:r>
          </w:p>
        </w:tc>
        <w:tc>
          <w:tcPr>
            <w:tcW w:w="837" w:type="dxa"/>
            <w:tcBorders>
              <w:tl2br w:val="nil"/>
              <w:tr2bl w:val="nil"/>
            </w:tcBorders>
            <w:noWrap w:val="0"/>
            <w:vAlign w:val="center"/>
          </w:tcPr>
          <w:p w14:paraId="53B4743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0.233 </w:t>
            </w:r>
          </w:p>
        </w:tc>
      </w:tr>
      <w:tr w14:paraId="11600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3547A54B">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7AE789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4200</w:t>
            </w:r>
          </w:p>
        </w:tc>
        <w:tc>
          <w:tcPr>
            <w:tcW w:w="826" w:type="dxa"/>
            <w:tcBorders>
              <w:tl2br w:val="nil"/>
              <w:tr2bl w:val="nil"/>
            </w:tcBorders>
            <w:shd w:val="clear" w:color="auto" w:fill="auto"/>
            <w:noWrap w:val="0"/>
            <w:vAlign w:val="center"/>
          </w:tcPr>
          <w:p w14:paraId="437D653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0.282 </w:t>
            </w:r>
          </w:p>
        </w:tc>
        <w:tc>
          <w:tcPr>
            <w:tcW w:w="857" w:type="dxa"/>
            <w:tcBorders>
              <w:tl2br w:val="nil"/>
              <w:tr2bl w:val="nil"/>
            </w:tcBorders>
            <w:noWrap w:val="0"/>
            <w:vAlign w:val="center"/>
          </w:tcPr>
          <w:p w14:paraId="72DC6E1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0.282 </w:t>
            </w:r>
          </w:p>
        </w:tc>
        <w:tc>
          <w:tcPr>
            <w:tcW w:w="817" w:type="dxa"/>
            <w:tcBorders>
              <w:tl2br w:val="nil"/>
              <w:tr2bl w:val="nil"/>
            </w:tcBorders>
            <w:noWrap w:val="0"/>
            <w:vAlign w:val="center"/>
          </w:tcPr>
          <w:p w14:paraId="7EAF03E1">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0.282 </w:t>
            </w:r>
          </w:p>
        </w:tc>
        <w:tc>
          <w:tcPr>
            <w:tcW w:w="850" w:type="dxa"/>
            <w:tcBorders>
              <w:tl2br w:val="nil"/>
              <w:tr2bl w:val="nil"/>
            </w:tcBorders>
            <w:noWrap w:val="0"/>
            <w:vAlign w:val="center"/>
          </w:tcPr>
          <w:p w14:paraId="7B251D2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0.280 </w:t>
            </w:r>
          </w:p>
        </w:tc>
        <w:tc>
          <w:tcPr>
            <w:tcW w:w="817" w:type="dxa"/>
            <w:tcBorders>
              <w:tl2br w:val="nil"/>
              <w:tr2bl w:val="nil"/>
            </w:tcBorders>
            <w:noWrap w:val="0"/>
            <w:vAlign w:val="center"/>
          </w:tcPr>
          <w:p w14:paraId="4BE0552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0.275 </w:t>
            </w:r>
          </w:p>
        </w:tc>
        <w:tc>
          <w:tcPr>
            <w:tcW w:w="866" w:type="dxa"/>
            <w:tcBorders>
              <w:tl2br w:val="nil"/>
              <w:tr2bl w:val="nil"/>
            </w:tcBorders>
            <w:noWrap w:val="0"/>
            <w:vAlign w:val="center"/>
          </w:tcPr>
          <w:p w14:paraId="64C98CB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0.267 </w:t>
            </w:r>
          </w:p>
        </w:tc>
        <w:tc>
          <w:tcPr>
            <w:tcW w:w="850" w:type="dxa"/>
            <w:tcBorders>
              <w:tl2br w:val="nil"/>
              <w:tr2bl w:val="nil"/>
            </w:tcBorders>
            <w:noWrap w:val="0"/>
            <w:vAlign w:val="center"/>
          </w:tcPr>
          <w:p w14:paraId="291B218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0.257 </w:t>
            </w:r>
          </w:p>
        </w:tc>
        <w:tc>
          <w:tcPr>
            <w:tcW w:w="817" w:type="dxa"/>
            <w:tcBorders>
              <w:tl2br w:val="nil"/>
              <w:tr2bl w:val="nil"/>
            </w:tcBorders>
            <w:noWrap w:val="0"/>
            <w:vAlign w:val="center"/>
          </w:tcPr>
          <w:p w14:paraId="35AD658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0.247 </w:t>
            </w:r>
          </w:p>
        </w:tc>
        <w:tc>
          <w:tcPr>
            <w:tcW w:w="837" w:type="dxa"/>
            <w:tcBorders>
              <w:tl2br w:val="nil"/>
              <w:tr2bl w:val="nil"/>
            </w:tcBorders>
            <w:noWrap w:val="0"/>
            <w:vAlign w:val="center"/>
          </w:tcPr>
          <w:p w14:paraId="65CEED8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0.238 </w:t>
            </w:r>
          </w:p>
        </w:tc>
      </w:tr>
    </w:tbl>
    <w:p w14:paraId="123CEC57">
      <w:pPr>
        <w:pStyle w:val="102"/>
        <w:snapToGrid w:val="0"/>
        <w:spacing w:line="240" w:lineRule="auto"/>
        <w:rPr>
          <w:rFonts w:hint="default" w:ascii="Times New Roman" w:hAnsi="Times New Roman" w:cs="Times New Roman"/>
          <w:b/>
          <w:bCs/>
          <w:color w:val="auto"/>
          <w:sz w:val="21"/>
          <w:highlight w:val="none"/>
          <w:u w:val="none"/>
        </w:rPr>
      </w:pPr>
      <w:r>
        <w:rPr>
          <w:rFonts w:hint="default" w:ascii="Times New Roman" w:hAnsi="Times New Roman" w:cs="Times New Roman"/>
          <w:b/>
          <w:bCs/>
          <w:color w:val="auto"/>
          <w:sz w:val="21"/>
          <w:highlight w:val="none"/>
          <w:u w:val="none"/>
        </w:rPr>
        <w:t>表</w:t>
      </w:r>
      <w:r>
        <w:rPr>
          <w:rFonts w:hint="default" w:ascii="Times New Roman" w:hAnsi="Times New Roman" w:cs="Times New Roman"/>
          <w:b/>
          <w:bCs/>
          <w:color w:val="auto"/>
          <w:sz w:val="21"/>
          <w:highlight w:val="none"/>
          <w:u w:val="none"/>
          <w:lang w:val="en-US" w:eastAsia="zh-CN"/>
        </w:rPr>
        <w:t>4.2-</w:t>
      </w:r>
      <w:r>
        <w:rPr>
          <w:rFonts w:hint="eastAsia" w:ascii="Times New Roman" w:cs="Times New Roman"/>
          <w:b/>
          <w:bCs/>
          <w:color w:val="auto"/>
          <w:sz w:val="21"/>
          <w:highlight w:val="none"/>
          <w:u w:val="none"/>
          <w:lang w:val="en-US" w:eastAsia="zh-CN"/>
        </w:rPr>
        <w:t>14</w:t>
      </w:r>
      <w:r>
        <w:rPr>
          <w:rFonts w:hint="default" w:ascii="Times New Roman" w:hAnsi="Times New Roman" w:cs="Times New Roman"/>
          <w:b/>
          <w:bCs/>
          <w:color w:val="auto"/>
          <w:sz w:val="21"/>
          <w:highlight w:val="none"/>
          <w:u w:val="none"/>
        </w:rPr>
        <w:t xml:space="preserve">  尾水</w:t>
      </w:r>
      <w:r>
        <w:rPr>
          <w:rFonts w:hint="default" w:ascii="Times New Roman" w:hAnsi="Times New Roman" w:cs="Times New Roman"/>
          <w:b/>
          <w:bCs/>
          <w:color w:val="auto"/>
          <w:sz w:val="21"/>
          <w:highlight w:val="none"/>
          <w:u w:val="none"/>
          <w:lang w:eastAsia="zh-CN"/>
        </w:rPr>
        <w:t>非</w:t>
      </w:r>
      <w:r>
        <w:rPr>
          <w:rFonts w:hint="default" w:ascii="Times New Roman" w:hAnsi="Times New Roman" w:cs="Times New Roman"/>
          <w:b/>
          <w:bCs/>
          <w:color w:val="auto"/>
          <w:sz w:val="21"/>
          <w:highlight w:val="none"/>
          <w:u w:val="none"/>
        </w:rPr>
        <w:t>正常排放</w:t>
      </w:r>
      <w:r>
        <w:rPr>
          <w:rFonts w:hint="eastAsia" w:ascii="Times New Roman" w:cs="Times New Roman"/>
          <w:b/>
          <w:bCs/>
          <w:color w:val="auto"/>
          <w:sz w:val="21"/>
          <w:highlight w:val="none"/>
          <w:u w:val="none"/>
          <w:lang w:val="en-US" w:eastAsia="zh-CN"/>
        </w:rPr>
        <w:t>TP</w:t>
      </w:r>
      <w:r>
        <w:rPr>
          <w:rFonts w:hint="default" w:ascii="Times New Roman" w:hAnsi="Times New Roman" w:cs="Times New Roman"/>
          <w:b/>
          <w:bCs/>
          <w:color w:val="auto"/>
          <w:sz w:val="21"/>
          <w:highlight w:val="none"/>
          <w:u w:val="none"/>
        </w:rPr>
        <w:t>对</w:t>
      </w:r>
      <w:r>
        <w:rPr>
          <w:rFonts w:hint="default" w:ascii="Times New Roman" w:hAnsi="Times New Roman" w:cs="Times New Roman"/>
          <w:b/>
          <w:bCs/>
          <w:color w:val="auto"/>
          <w:sz w:val="21"/>
          <w:highlight w:val="none"/>
          <w:u w:val="none"/>
          <w:lang w:eastAsia="zh-CN"/>
        </w:rPr>
        <w:t>溢水河</w:t>
      </w:r>
      <w:r>
        <w:rPr>
          <w:rFonts w:hint="default" w:ascii="Times New Roman" w:hAnsi="Times New Roman" w:cs="Times New Roman"/>
          <w:b/>
          <w:bCs/>
          <w:color w:val="auto"/>
          <w:sz w:val="21"/>
          <w:highlight w:val="none"/>
          <w:u w:val="none"/>
        </w:rPr>
        <w:t>水环境影响预测  单位：mg/L</w:t>
      </w:r>
    </w:p>
    <w:tbl>
      <w:tblPr>
        <w:tblStyle w:val="31"/>
        <w:tblW w:w="890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74"/>
        <w:gridCol w:w="826"/>
        <w:gridCol w:w="857"/>
        <w:gridCol w:w="817"/>
        <w:gridCol w:w="850"/>
        <w:gridCol w:w="817"/>
        <w:gridCol w:w="866"/>
        <w:gridCol w:w="850"/>
        <w:gridCol w:w="817"/>
        <w:gridCol w:w="837"/>
      </w:tblGrid>
      <w:tr w14:paraId="4A7ACF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tblHeader/>
          <w:jc w:val="center"/>
        </w:trPr>
        <w:tc>
          <w:tcPr>
            <w:tcW w:w="697" w:type="dxa"/>
            <w:tcBorders>
              <w:tl2br w:val="nil"/>
              <w:tr2bl w:val="nil"/>
            </w:tcBorders>
            <w:noWrap w:val="0"/>
            <w:vAlign w:val="center"/>
          </w:tcPr>
          <w:p w14:paraId="3F02F859">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阶段</w:t>
            </w:r>
          </w:p>
        </w:tc>
        <w:tc>
          <w:tcPr>
            <w:tcW w:w="674" w:type="dxa"/>
            <w:tcBorders>
              <w:tl2br w:val="nil"/>
              <w:tr2bl w:val="nil"/>
            </w:tcBorders>
            <w:noWrap w:val="0"/>
            <w:vAlign w:val="center"/>
          </w:tcPr>
          <w:p w14:paraId="1FB773AF">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Y/X</w:t>
            </w:r>
          </w:p>
        </w:tc>
        <w:tc>
          <w:tcPr>
            <w:tcW w:w="826" w:type="dxa"/>
            <w:tcBorders>
              <w:tl2br w:val="nil"/>
              <w:tr2bl w:val="nil"/>
            </w:tcBorders>
            <w:noWrap w:val="0"/>
            <w:vAlign w:val="center"/>
          </w:tcPr>
          <w:p w14:paraId="6599E3FE">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1</w:t>
            </w:r>
          </w:p>
        </w:tc>
        <w:tc>
          <w:tcPr>
            <w:tcW w:w="857" w:type="dxa"/>
            <w:tcBorders>
              <w:tl2br w:val="nil"/>
              <w:tr2bl w:val="nil"/>
            </w:tcBorders>
            <w:noWrap w:val="0"/>
            <w:vAlign w:val="center"/>
          </w:tcPr>
          <w:p w14:paraId="2338D76F">
            <w:pPr>
              <w:pStyle w:val="64"/>
              <w:adjustRightInd w:val="0"/>
              <w:snapToGrid w:val="0"/>
              <w:spacing w:line="240" w:lineRule="auto"/>
              <w:rPr>
                <w:rFonts w:hint="default" w:ascii="Times New Roman" w:cs="Times New Roman"/>
                <w:b/>
                <w:bCs/>
                <w:color w:val="auto"/>
                <w:sz w:val="21"/>
                <w:szCs w:val="21"/>
                <w:highlight w:val="none"/>
                <w:lang w:val="en-US" w:eastAsia="zh-CN"/>
              </w:rPr>
            </w:pPr>
            <w:r>
              <w:rPr>
                <w:rFonts w:hint="eastAsia" w:ascii="Times New Roman" w:cs="Times New Roman"/>
                <w:b/>
                <w:bCs/>
                <w:color w:val="auto"/>
                <w:sz w:val="21"/>
                <w:szCs w:val="21"/>
                <w:highlight w:val="none"/>
                <w:lang w:val="en-US" w:eastAsia="zh-CN"/>
              </w:rPr>
              <w:t>2</w:t>
            </w:r>
          </w:p>
        </w:tc>
        <w:tc>
          <w:tcPr>
            <w:tcW w:w="817" w:type="dxa"/>
            <w:tcBorders>
              <w:tl2br w:val="nil"/>
              <w:tr2bl w:val="nil"/>
            </w:tcBorders>
            <w:noWrap w:val="0"/>
            <w:vAlign w:val="center"/>
          </w:tcPr>
          <w:p w14:paraId="543EBCE8">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5</w:t>
            </w:r>
          </w:p>
        </w:tc>
        <w:tc>
          <w:tcPr>
            <w:tcW w:w="850" w:type="dxa"/>
            <w:tcBorders>
              <w:tl2br w:val="nil"/>
              <w:tr2bl w:val="nil"/>
            </w:tcBorders>
            <w:noWrap w:val="0"/>
            <w:vAlign w:val="center"/>
          </w:tcPr>
          <w:p w14:paraId="64AF68DB">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10</w:t>
            </w:r>
          </w:p>
        </w:tc>
        <w:tc>
          <w:tcPr>
            <w:tcW w:w="817" w:type="dxa"/>
            <w:tcBorders>
              <w:tl2br w:val="nil"/>
              <w:tr2bl w:val="nil"/>
            </w:tcBorders>
            <w:noWrap w:val="0"/>
            <w:vAlign w:val="center"/>
          </w:tcPr>
          <w:p w14:paraId="23395D26">
            <w:pPr>
              <w:pStyle w:val="64"/>
              <w:adjustRightInd w:val="0"/>
              <w:snapToGrid w:val="0"/>
              <w:spacing w:line="240" w:lineRule="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20</w:t>
            </w:r>
          </w:p>
        </w:tc>
        <w:tc>
          <w:tcPr>
            <w:tcW w:w="866" w:type="dxa"/>
            <w:tcBorders>
              <w:tl2br w:val="nil"/>
              <w:tr2bl w:val="nil"/>
            </w:tcBorders>
            <w:noWrap w:val="0"/>
            <w:vAlign w:val="center"/>
          </w:tcPr>
          <w:p w14:paraId="310FFEBF">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30</w:t>
            </w:r>
          </w:p>
        </w:tc>
        <w:tc>
          <w:tcPr>
            <w:tcW w:w="850" w:type="dxa"/>
            <w:tcBorders>
              <w:tl2br w:val="nil"/>
              <w:tr2bl w:val="nil"/>
            </w:tcBorders>
            <w:noWrap w:val="0"/>
            <w:vAlign w:val="center"/>
          </w:tcPr>
          <w:p w14:paraId="23E822E4">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40</w:t>
            </w:r>
          </w:p>
        </w:tc>
        <w:tc>
          <w:tcPr>
            <w:tcW w:w="817" w:type="dxa"/>
            <w:tcBorders>
              <w:tl2br w:val="nil"/>
              <w:tr2bl w:val="nil"/>
            </w:tcBorders>
            <w:noWrap w:val="0"/>
            <w:vAlign w:val="center"/>
          </w:tcPr>
          <w:p w14:paraId="1EC7B22E">
            <w:pPr>
              <w:pStyle w:val="64"/>
              <w:adjustRightInd w:val="0"/>
              <w:snapToGrid w:val="0"/>
              <w:spacing w:line="240" w:lineRule="auto"/>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50</w:t>
            </w:r>
          </w:p>
        </w:tc>
        <w:tc>
          <w:tcPr>
            <w:tcW w:w="837" w:type="dxa"/>
            <w:tcBorders>
              <w:tl2br w:val="nil"/>
              <w:tr2bl w:val="nil"/>
            </w:tcBorders>
            <w:noWrap w:val="0"/>
            <w:vAlign w:val="center"/>
          </w:tcPr>
          <w:p w14:paraId="498C7FA9">
            <w:pPr>
              <w:pStyle w:val="64"/>
              <w:adjustRightInd w:val="0"/>
              <w:snapToGrid w:val="0"/>
              <w:spacing w:line="240" w:lineRule="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60</w:t>
            </w:r>
          </w:p>
        </w:tc>
      </w:tr>
      <w:tr w14:paraId="455D6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restart"/>
            <w:tcBorders>
              <w:tl2br w:val="nil"/>
              <w:tr2bl w:val="nil"/>
            </w:tcBorders>
            <w:noWrap w:val="0"/>
            <w:vAlign w:val="center"/>
          </w:tcPr>
          <w:p w14:paraId="3289F130">
            <w:pPr>
              <w:pStyle w:val="64"/>
              <w:adjustRightInd w:val="0"/>
              <w:snapToGrid w:val="0"/>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混合</w:t>
            </w:r>
          </w:p>
          <w:p w14:paraId="7A77F016">
            <w:pPr>
              <w:pStyle w:val="64"/>
              <w:adjustRightInd w:val="0"/>
              <w:snapToGrid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过程段</w:t>
            </w:r>
          </w:p>
        </w:tc>
        <w:tc>
          <w:tcPr>
            <w:tcW w:w="674" w:type="dxa"/>
            <w:tcBorders>
              <w:tl2br w:val="nil"/>
              <w:tr2bl w:val="nil"/>
            </w:tcBorders>
            <w:noWrap w:val="0"/>
            <w:vAlign w:val="center"/>
          </w:tcPr>
          <w:p w14:paraId="0268C5C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 </w:t>
            </w:r>
          </w:p>
        </w:tc>
        <w:tc>
          <w:tcPr>
            <w:tcW w:w="826" w:type="dxa"/>
            <w:tcBorders>
              <w:tl2br w:val="nil"/>
              <w:tr2bl w:val="nil"/>
            </w:tcBorders>
            <w:noWrap w:val="0"/>
            <w:vAlign w:val="center"/>
          </w:tcPr>
          <w:p w14:paraId="1F23CD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0.216 </w:t>
            </w:r>
          </w:p>
        </w:tc>
        <w:tc>
          <w:tcPr>
            <w:tcW w:w="857" w:type="dxa"/>
            <w:tcBorders>
              <w:tl2br w:val="nil"/>
              <w:tr2bl w:val="nil"/>
            </w:tcBorders>
            <w:noWrap w:val="0"/>
            <w:vAlign w:val="center"/>
          </w:tcPr>
          <w:p w14:paraId="518EA0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0.118 </w:t>
            </w:r>
          </w:p>
        </w:tc>
        <w:tc>
          <w:tcPr>
            <w:tcW w:w="817" w:type="dxa"/>
            <w:tcBorders>
              <w:tl2br w:val="nil"/>
              <w:tr2bl w:val="nil"/>
            </w:tcBorders>
            <w:noWrap w:val="0"/>
            <w:vAlign w:val="center"/>
          </w:tcPr>
          <w:p w14:paraId="6AC9818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63004A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5CEF3E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66" w:type="dxa"/>
            <w:tcBorders>
              <w:tl2br w:val="nil"/>
              <w:tr2bl w:val="nil"/>
            </w:tcBorders>
            <w:noWrap w:val="0"/>
            <w:vAlign w:val="center"/>
          </w:tcPr>
          <w:p w14:paraId="28C8613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2331281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31AE65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4A92583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1E009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FFDC1FE">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A2DC5F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826" w:type="dxa"/>
            <w:tcBorders>
              <w:tl2br w:val="nil"/>
              <w:tr2bl w:val="nil"/>
            </w:tcBorders>
            <w:noWrap w:val="0"/>
            <w:vAlign w:val="center"/>
          </w:tcPr>
          <w:p w14:paraId="62BA00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0.179 </w:t>
            </w:r>
          </w:p>
        </w:tc>
        <w:tc>
          <w:tcPr>
            <w:tcW w:w="857" w:type="dxa"/>
            <w:tcBorders>
              <w:tl2br w:val="nil"/>
              <w:tr2bl w:val="nil"/>
            </w:tcBorders>
            <w:noWrap w:val="0"/>
            <w:vAlign w:val="center"/>
          </w:tcPr>
          <w:p w14:paraId="65DF58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0.132 </w:t>
            </w:r>
          </w:p>
        </w:tc>
        <w:tc>
          <w:tcPr>
            <w:tcW w:w="817" w:type="dxa"/>
            <w:tcBorders>
              <w:tl2br w:val="nil"/>
              <w:tr2bl w:val="nil"/>
            </w:tcBorders>
            <w:noWrap w:val="0"/>
            <w:vAlign w:val="center"/>
          </w:tcPr>
          <w:p w14:paraId="65ECE82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0.038 </w:t>
            </w:r>
          </w:p>
        </w:tc>
        <w:tc>
          <w:tcPr>
            <w:tcW w:w="850" w:type="dxa"/>
            <w:tcBorders>
              <w:tl2br w:val="nil"/>
              <w:tr2bl w:val="nil"/>
            </w:tcBorders>
            <w:noWrap w:val="0"/>
            <w:vAlign w:val="center"/>
          </w:tcPr>
          <w:p w14:paraId="50BA5E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7CA7D4C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66" w:type="dxa"/>
            <w:tcBorders>
              <w:tl2br w:val="nil"/>
              <w:tr2bl w:val="nil"/>
            </w:tcBorders>
            <w:noWrap w:val="0"/>
            <w:vAlign w:val="center"/>
          </w:tcPr>
          <w:p w14:paraId="70E03C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2334CF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4465D7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563FF6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30432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97" w:type="dxa"/>
            <w:vMerge w:val="continue"/>
            <w:tcBorders>
              <w:tl2br w:val="nil"/>
              <w:tr2bl w:val="nil"/>
            </w:tcBorders>
            <w:noWrap w:val="0"/>
            <w:vAlign w:val="center"/>
          </w:tcPr>
          <w:p w14:paraId="6091353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52A671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 </w:t>
            </w:r>
          </w:p>
        </w:tc>
        <w:tc>
          <w:tcPr>
            <w:tcW w:w="826" w:type="dxa"/>
            <w:tcBorders>
              <w:tl2br w:val="nil"/>
              <w:tr2bl w:val="nil"/>
            </w:tcBorders>
            <w:noWrap w:val="0"/>
            <w:vAlign w:val="center"/>
          </w:tcPr>
          <w:p w14:paraId="540B832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0.103 </w:t>
            </w:r>
          </w:p>
        </w:tc>
        <w:tc>
          <w:tcPr>
            <w:tcW w:w="857" w:type="dxa"/>
            <w:tcBorders>
              <w:tl2br w:val="nil"/>
              <w:tr2bl w:val="nil"/>
            </w:tcBorders>
            <w:noWrap w:val="0"/>
            <w:vAlign w:val="center"/>
          </w:tcPr>
          <w:p w14:paraId="08C041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0.098 </w:t>
            </w:r>
          </w:p>
        </w:tc>
        <w:tc>
          <w:tcPr>
            <w:tcW w:w="817" w:type="dxa"/>
            <w:tcBorders>
              <w:tl2br w:val="nil"/>
              <w:tr2bl w:val="nil"/>
            </w:tcBorders>
            <w:noWrap w:val="0"/>
            <w:vAlign w:val="center"/>
          </w:tcPr>
          <w:p w14:paraId="407D0D3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0.070 </w:t>
            </w:r>
          </w:p>
        </w:tc>
        <w:tc>
          <w:tcPr>
            <w:tcW w:w="850" w:type="dxa"/>
            <w:tcBorders>
              <w:tl2br w:val="nil"/>
              <w:tr2bl w:val="nil"/>
            </w:tcBorders>
            <w:noWrap w:val="0"/>
            <w:vAlign w:val="center"/>
          </w:tcPr>
          <w:p w14:paraId="1BA831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0.036 </w:t>
            </w:r>
          </w:p>
        </w:tc>
        <w:tc>
          <w:tcPr>
            <w:tcW w:w="817" w:type="dxa"/>
            <w:tcBorders>
              <w:tl2br w:val="nil"/>
              <w:tr2bl w:val="nil"/>
            </w:tcBorders>
            <w:noWrap w:val="0"/>
            <w:vAlign w:val="center"/>
          </w:tcPr>
          <w:p w14:paraId="17FEC2D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66" w:type="dxa"/>
            <w:tcBorders>
              <w:tl2br w:val="nil"/>
              <w:tr2bl w:val="nil"/>
            </w:tcBorders>
            <w:noWrap w:val="0"/>
            <w:vAlign w:val="center"/>
          </w:tcPr>
          <w:p w14:paraId="20E8DD5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0C4CEF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189CB0A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778D7B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5CA680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326867B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1C79299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 </w:t>
            </w:r>
          </w:p>
        </w:tc>
        <w:tc>
          <w:tcPr>
            <w:tcW w:w="826" w:type="dxa"/>
            <w:tcBorders>
              <w:tl2br w:val="nil"/>
              <w:tr2bl w:val="nil"/>
            </w:tcBorders>
            <w:noWrap w:val="0"/>
            <w:vAlign w:val="center"/>
          </w:tcPr>
          <w:p w14:paraId="2AA7F9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0.083 </w:t>
            </w:r>
          </w:p>
        </w:tc>
        <w:tc>
          <w:tcPr>
            <w:tcW w:w="857" w:type="dxa"/>
            <w:tcBorders>
              <w:tl2br w:val="nil"/>
              <w:tr2bl w:val="nil"/>
            </w:tcBorders>
            <w:noWrap w:val="0"/>
            <w:vAlign w:val="center"/>
          </w:tcPr>
          <w:p w14:paraId="34B5E2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0.081 </w:t>
            </w:r>
          </w:p>
        </w:tc>
        <w:tc>
          <w:tcPr>
            <w:tcW w:w="817" w:type="dxa"/>
            <w:tcBorders>
              <w:tl2br w:val="nil"/>
              <w:tr2bl w:val="nil"/>
            </w:tcBorders>
            <w:noWrap w:val="0"/>
            <w:vAlign w:val="center"/>
          </w:tcPr>
          <w:p w14:paraId="6176443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0.069 </w:t>
            </w:r>
          </w:p>
        </w:tc>
        <w:tc>
          <w:tcPr>
            <w:tcW w:w="850" w:type="dxa"/>
            <w:tcBorders>
              <w:tl2br w:val="nil"/>
              <w:tr2bl w:val="nil"/>
            </w:tcBorders>
            <w:noWrap w:val="0"/>
            <w:vAlign w:val="center"/>
          </w:tcPr>
          <w:p w14:paraId="20E83C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0.045 </w:t>
            </w:r>
          </w:p>
        </w:tc>
        <w:tc>
          <w:tcPr>
            <w:tcW w:w="817" w:type="dxa"/>
            <w:tcBorders>
              <w:tl2br w:val="nil"/>
              <w:tr2bl w:val="nil"/>
            </w:tcBorders>
            <w:noWrap w:val="0"/>
            <w:vAlign w:val="center"/>
          </w:tcPr>
          <w:p w14:paraId="427F42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66" w:type="dxa"/>
            <w:tcBorders>
              <w:tl2br w:val="nil"/>
              <w:tr2bl w:val="nil"/>
            </w:tcBorders>
            <w:noWrap w:val="0"/>
            <w:vAlign w:val="center"/>
          </w:tcPr>
          <w:p w14:paraId="30941B7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0113EDC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7D0548A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053215A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33A94D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03FC2B0D">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C173A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 </w:t>
            </w:r>
          </w:p>
        </w:tc>
        <w:tc>
          <w:tcPr>
            <w:tcW w:w="826" w:type="dxa"/>
            <w:tcBorders>
              <w:tl2br w:val="nil"/>
              <w:tr2bl w:val="nil"/>
            </w:tcBorders>
            <w:noWrap w:val="0"/>
            <w:vAlign w:val="center"/>
          </w:tcPr>
          <w:p w14:paraId="13AAD9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0.073 </w:t>
            </w:r>
          </w:p>
        </w:tc>
        <w:tc>
          <w:tcPr>
            <w:tcW w:w="857" w:type="dxa"/>
            <w:tcBorders>
              <w:tl2br w:val="nil"/>
              <w:tr2bl w:val="nil"/>
            </w:tcBorders>
            <w:noWrap w:val="0"/>
            <w:vAlign w:val="center"/>
          </w:tcPr>
          <w:p w14:paraId="230458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0.072 </w:t>
            </w:r>
          </w:p>
        </w:tc>
        <w:tc>
          <w:tcPr>
            <w:tcW w:w="817" w:type="dxa"/>
            <w:tcBorders>
              <w:tl2br w:val="nil"/>
              <w:tr2bl w:val="nil"/>
            </w:tcBorders>
            <w:noWrap w:val="0"/>
            <w:vAlign w:val="center"/>
          </w:tcPr>
          <w:p w14:paraId="747367D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0.065 </w:t>
            </w:r>
          </w:p>
        </w:tc>
        <w:tc>
          <w:tcPr>
            <w:tcW w:w="850" w:type="dxa"/>
            <w:tcBorders>
              <w:tl2br w:val="nil"/>
              <w:tr2bl w:val="nil"/>
            </w:tcBorders>
            <w:noWrap w:val="0"/>
            <w:vAlign w:val="center"/>
          </w:tcPr>
          <w:p w14:paraId="52544F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0.049 </w:t>
            </w:r>
          </w:p>
        </w:tc>
        <w:tc>
          <w:tcPr>
            <w:tcW w:w="817" w:type="dxa"/>
            <w:tcBorders>
              <w:tl2br w:val="nil"/>
              <w:tr2bl w:val="nil"/>
            </w:tcBorders>
            <w:noWrap w:val="0"/>
            <w:vAlign w:val="center"/>
          </w:tcPr>
          <w:p w14:paraId="2E39568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866" w:type="dxa"/>
            <w:tcBorders>
              <w:tl2br w:val="nil"/>
              <w:tr2bl w:val="nil"/>
            </w:tcBorders>
            <w:noWrap w:val="0"/>
            <w:vAlign w:val="center"/>
          </w:tcPr>
          <w:p w14:paraId="778B6F7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7175FA5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14CAF01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2ED8F9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7CF8F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02C3FDA5">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23AB065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 </w:t>
            </w:r>
          </w:p>
        </w:tc>
        <w:tc>
          <w:tcPr>
            <w:tcW w:w="826" w:type="dxa"/>
            <w:tcBorders>
              <w:tl2br w:val="nil"/>
              <w:tr2bl w:val="nil"/>
            </w:tcBorders>
            <w:noWrap w:val="0"/>
            <w:vAlign w:val="center"/>
          </w:tcPr>
          <w:p w14:paraId="3030F2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0.067 </w:t>
            </w:r>
          </w:p>
        </w:tc>
        <w:tc>
          <w:tcPr>
            <w:tcW w:w="857" w:type="dxa"/>
            <w:tcBorders>
              <w:tl2br w:val="nil"/>
              <w:tr2bl w:val="nil"/>
            </w:tcBorders>
            <w:noWrap w:val="0"/>
            <w:vAlign w:val="center"/>
          </w:tcPr>
          <w:p w14:paraId="58EC8B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0.067 </w:t>
            </w:r>
          </w:p>
        </w:tc>
        <w:tc>
          <w:tcPr>
            <w:tcW w:w="817" w:type="dxa"/>
            <w:tcBorders>
              <w:tl2br w:val="nil"/>
              <w:tr2bl w:val="nil"/>
            </w:tcBorders>
            <w:noWrap w:val="0"/>
            <w:vAlign w:val="center"/>
          </w:tcPr>
          <w:p w14:paraId="038D704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0.062 </w:t>
            </w:r>
          </w:p>
        </w:tc>
        <w:tc>
          <w:tcPr>
            <w:tcW w:w="850" w:type="dxa"/>
            <w:tcBorders>
              <w:tl2br w:val="nil"/>
              <w:tr2bl w:val="nil"/>
            </w:tcBorders>
            <w:noWrap w:val="0"/>
            <w:vAlign w:val="center"/>
          </w:tcPr>
          <w:p w14:paraId="34BD9F2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0.050 </w:t>
            </w:r>
          </w:p>
        </w:tc>
        <w:tc>
          <w:tcPr>
            <w:tcW w:w="817" w:type="dxa"/>
            <w:tcBorders>
              <w:tl2br w:val="nil"/>
              <w:tr2bl w:val="nil"/>
            </w:tcBorders>
            <w:noWrap w:val="0"/>
            <w:vAlign w:val="center"/>
          </w:tcPr>
          <w:p w14:paraId="1A527F4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866" w:type="dxa"/>
            <w:tcBorders>
              <w:tl2br w:val="nil"/>
              <w:tr2bl w:val="nil"/>
            </w:tcBorders>
            <w:noWrap w:val="0"/>
            <w:vAlign w:val="center"/>
          </w:tcPr>
          <w:p w14:paraId="273DF9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52E9638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16610C2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5A3522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184FEB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7" w:type="dxa"/>
            <w:vMerge w:val="continue"/>
            <w:tcBorders>
              <w:tl2br w:val="nil"/>
              <w:tr2bl w:val="nil"/>
            </w:tcBorders>
            <w:noWrap w:val="0"/>
            <w:vAlign w:val="center"/>
          </w:tcPr>
          <w:p w14:paraId="2AEDEB0A">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910AA0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 </w:t>
            </w:r>
          </w:p>
        </w:tc>
        <w:tc>
          <w:tcPr>
            <w:tcW w:w="826" w:type="dxa"/>
            <w:tcBorders>
              <w:tl2br w:val="nil"/>
              <w:tr2bl w:val="nil"/>
            </w:tcBorders>
            <w:noWrap w:val="0"/>
            <w:vAlign w:val="center"/>
          </w:tcPr>
          <w:p w14:paraId="76AD43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0.063 </w:t>
            </w:r>
          </w:p>
        </w:tc>
        <w:tc>
          <w:tcPr>
            <w:tcW w:w="857" w:type="dxa"/>
            <w:tcBorders>
              <w:tl2br w:val="nil"/>
              <w:tr2bl w:val="nil"/>
            </w:tcBorders>
            <w:noWrap w:val="0"/>
            <w:vAlign w:val="center"/>
          </w:tcPr>
          <w:p w14:paraId="5B0B56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0.063 </w:t>
            </w:r>
          </w:p>
        </w:tc>
        <w:tc>
          <w:tcPr>
            <w:tcW w:w="817" w:type="dxa"/>
            <w:tcBorders>
              <w:tl2br w:val="nil"/>
              <w:tr2bl w:val="nil"/>
            </w:tcBorders>
            <w:noWrap w:val="0"/>
            <w:vAlign w:val="center"/>
          </w:tcPr>
          <w:p w14:paraId="743E8EC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0.060 </w:t>
            </w:r>
          </w:p>
        </w:tc>
        <w:tc>
          <w:tcPr>
            <w:tcW w:w="850" w:type="dxa"/>
            <w:tcBorders>
              <w:tl2br w:val="nil"/>
              <w:tr2bl w:val="nil"/>
            </w:tcBorders>
            <w:noWrap w:val="0"/>
            <w:vAlign w:val="center"/>
          </w:tcPr>
          <w:p w14:paraId="5CCCA1C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0.050 </w:t>
            </w:r>
          </w:p>
        </w:tc>
        <w:tc>
          <w:tcPr>
            <w:tcW w:w="817" w:type="dxa"/>
            <w:tcBorders>
              <w:tl2br w:val="nil"/>
              <w:tr2bl w:val="nil"/>
            </w:tcBorders>
            <w:noWrap w:val="0"/>
            <w:vAlign w:val="center"/>
          </w:tcPr>
          <w:p w14:paraId="6E2E6D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0.035 </w:t>
            </w:r>
          </w:p>
        </w:tc>
        <w:tc>
          <w:tcPr>
            <w:tcW w:w="866" w:type="dxa"/>
            <w:tcBorders>
              <w:tl2br w:val="nil"/>
              <w:tr2bl w:val="nil"/>
            </w:tcBorders>
            <w:noWrap w:val="0"/>
            <w:vAlign w:val="center"/>
          </w:tcPr>
          <w:p w14:paraId="75C75C5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50" w:type="dxa"/>
            <w:tcBorders>
              <w:tl2br w:val="nil"/>
              <w:tr2bl w:val="nil"/>
            </w:tcBorders>
            <w:noWrap w:val="0"/>
            <w:vAlign w:val="center"/>
          </w:tcPr>
          <w:p w14:paraId="177C53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5FDFACE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48F7230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69A16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97" w:type="dxa"/>
            <w:vMerge w:val="continue"/>
            <w:tcBorders>
              <w:tl2br w:val="nil"/>
              <w:tr2bl w:val="nil"/>
            </w:tcBorders>
            <w:noWrap w:val="0"/>
            <w:vAlign w:val="center"/>
          </w:tcPr>
          <w:p w14:paraId="040FD306">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79EAC1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 </w:t>
            </w:r>
          </w:p>
        </w:tc>
        <w:tc>
          <w:tcPr>
            <w:tcW w:w="826" w:type="dxa"/>
            <w:tcBorders>
              <w:tl2br w:val="nil"/>
              <w:tr2bl w:val="nil"/>
            </w:tcBorders>
            <w:noWrap w:val="0"/>
            <w:vAlign w:val="center"/>
          </w:tcPr>
          <w:p w14:paraId="2DE386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0.061 </w:t>
            </w:r>
          </w:p>
        </w:tc>
        <w:tc>
          <w:tcPr>
            <w:tcW w:w="857" w:type="dxa"/>
            <w:tcBorders>
              <w:tl2br w:val="nil"/>
              <w:tr2bl w:val="nil"/>
            </w:tcBorders>
            <w:noWrap w:val="0"/>
            <w:vAlign w:val="center"/>
          </w:tcPr>
          <w:p w14:paraId="603505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0.060 </w:t>
            </w:r>
          </w:p>
        </w:tc>
        <w:tc>
          <w:tcPr>
            <w:tcW w:w="817" w:type="dxa"/>
            <w:tcBorders>
              <w:tl2br w:val="nil"/>
              <w:tr2bl w:val="nil"/>
            </w:tcBorders>
            <w:noWrap w:val="0"/>
            <w:vAlign w:val="center"/>
          </w:tcPr>
          <w:p w14:paraId="66650BA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0.058 </w:t>
            </w:r>
          </w:p>
        </w:tc>
        <w:tc>
          <w:tcPr>
            <w:tcW w:w="850" w:type="dxa"/>
            <w:tcBorders>
              <w:tl2br w:val="nil"/>
              <w:tr2bl w:val="nil"/>
            </w:tcBorders>
            <w:noWrap w:val="0"/>
            <w:vAlign w:val="center"/>
          </w:tcPr>
          <w:p w14:paraId="192BE1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0.050 </w:t>
            </w:r>
          </w:p>
        </w:tc>
        <w:tc>
          <w:tcPr>
            <w:tcW w:w="817" w:type="dxa"/>
            <w:tcBorders>
              <w:tl2br w:val="nil"/>
              <w:tr2bl w:val="nil"/>
            </w:tcBorders>
            <w:noWrap w:val="0"/>
            <w:vAlign w:val="center"/>
          </w:tcPr>
          <w:p w14:paraId="45D432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0.036 </w:t>
            </w:r>
          </w:p>
        </w:tc>
        <w:tc>
          <w:tcPr>
            <w:tcW w:w="866" w:type="dxa"/>
            <w:tcBorders>
              <w:tl2br w:val="nil"/>
              <w:tr2bl w:val="nil"/>
            </w:tcBorders>
            <w:noWrap w:val="0"/>
            <w:vAlign w:val="center"/>
          </w:tcPr>
          <w:p w14:paraId="1EFA30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850" w:type="dxa"/>
            <w:tcBorders>
              <w:tl2br w:val="nil"/>
              <w:tr2bl w:val="nil"/>
            </w:tcBorders>
            <w:noWrap w:val="0"/>
            <w:vAlign w:val="center"/>
          </w:tcPr>
          <w:p w14:paraId="14CFD4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3828C0C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5759BC0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2015AC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97" w:type="dxa"/>
            <w:vMerge w:val="continue"/>
            <w:tcBorders>
              <w:tl2br w:val="nil"/>
              <w:tr2bl w:val="nil"/>
            </w:tcBorders>
            <w:noWrap w:val="0"/>
            <w:vAlign w:val="center"/>
          </w:tcPr>
          <w:p w14:paraId="0A60AE75">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6B2900F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826" w:type="dxa"/>
            <w:tcBorders>
              <w:tl2br w:val="nil"/>
              <w:tr2bl w:val="nil"/>
            </w:tcBorders>
            <w:noWrap w:val="0"/>
            <w:vAlign w:val="center"/>
          </w:tcPr>
          <w:p w14:paraId="5ED8F2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0.058 </w:t>
            </w:r>
          </w:p>
        </w:tc>
        <w:tc>
          <w:tcPr>
            <w:tcW w:w="857" w:type="dxa"/>
            <w:tcBorders>
              <w:tl2br w:val="nil"/>
              <w:tr2bl w:val="nil"/>
            </w:tcBorders>
            <w:noWrap w:val="0"/>
            <w:vAlign w:val="center"/>
          </w:tcPr>
          <w:p w14:paraId="65B026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0.058 </w:t>
            </w:r>
          </w:p>
        </w:tc>
        <w:tc>
          <w:tcPr>
            <w:tcW w:w="817" w:type="dxa"/>
            <w:tcBorders>
              <w:tl2br w:val="nil"/>
              <w:tr2bl w:val="nil"/>
            </w:tcBorders>
            <w:noWrap w:val="0"/>
            <w:vAlign w:val="center"/>
          </w:tcPr>
          <w:p w14:paraId="098B837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0.056 </w:t>
            </w:r>
          </w:p>
        </w:tc>
        <w:tc>
          <w:tcPr>
            <w:tcW w:w="850" w:type="dxa"/>
            <w:tcBorders>
              <w:tl2br w:val="nil"/>
              <w:tr2bl w:val="nil"/>
            </w:tcBorders>
            <w:noWrap w:val="0"/>
            <w:vAlign w:val="center"/>
          </w:tcPr>
          <w:p w14:paraId="00BFC56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0.050 </w:t>
            </w:r>
          </w:p>
        </w:tc>
        <w:tc>
          <w:tcPr>
            <w:tcW w:w="817" w:type="dxa"/>
            <w:tcBorders>
              <w:tl2br w:val="nil"/>
              <w:tr2bl w:val="nil"/>
            </w:tcBorders>
            <w:noWrap w:val="0"/>
            <w:vAlign w:val="center"/>
          </w:tcPr>
          <w:p w14:paraId="6D78822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0.037 </w:t>
            </w:r>
          </w:p>
        </w:tc>
        <w:tc>
          <w:tcPr>
            <w:tcW w:w="866" w:type="dxa"/>
            <w:tcBorders>
              <w:tl2br w:val="nil"/>
              <w:tr2bl w:val="nil"/>
            </w:tcBorders>
            <w:noWrap w:val="0"/>
            <w:vAlign w:val="center"/>
          </w:tcPr>
          <w:p w14:paraId="4CCC8D4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850" w:type="dxa"/>
            <w:tcBorders>
              <w:tl2br w:val="nil"/>
              <w:tr2bl w:val="nil"/>
            </w:tcBorders>
            <w:noWrap w:val="0"/>
            <w:vAlign w:val="center"/>
          </w:tcPr>
          <w:p w14:paraId="5DC65C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5E6A13C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4DDD5CB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7BB8FB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05010346">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22AA42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 </w:t>
            </w:r>
          </w:p>
        </w:tc>
        <w:tc>
          <w:tcPr>
            <w:tcW w:w="826" w:type="dxa"/>
            <w:tcBorders>
              <w:tl2br w:val="nil"/>
              <w:tr2bl w:val="nil"/>
            </w:tcBorders>
            <w:noWrap w:val="0"/>
            <w:vAlign w:val="center"/>
          </w:tcPr>
          <w:p w14:paraId="066EDF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0.057 </w:t>
            </w:r>
          </w:p>
        </w:tc>
        <w:tc>
          <w:tcPr>
            <w:tcW w:w="857" w:type="dxa"/>
            <w:tcBorders>
              <w:tl2br w:val="nil"/>
              <w:tr2bl w:val="nil"/>
            </w:tcBorders>
            <w:noWrap w:val="0"/>
            <w:vAlign w:val="center"/>
          </w:tcPr>
          <w:p w14:paraId="028539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0.056 </w:t>
            </w:r>
          </w:p>
        </w:tc>
        <w:tc>
          <w:tcPr>
            <w:tcW w:w="817" w:type="dxa"/>
            <w:tcBorders>
              <w:tl2br w:val="nil"/>
              <w:tr2bl w:val="nil"/>
            </w:tcBorders>
            <w:noWrap w:val="0"/>
            <w:vAlign w:val="center"/>
          </w:tcPr>
          <w:p w14:paraId="3B5CBD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0.055 </w:t>
            </w:r>
          </w:p>
        </w:tc>
        <w:tc>
          <w:tcPr>
            <w:tcW w:w="850" w:type="dxa"/>
            <w:tcBorders>
              <w:tl2br w:val="nil"/>
              <w:tr2bl w:val="nil"/>
            </w:tcBorders>
            <w:noWrap w:val="0"/>
            <w:vAlign w:val="center"/>
          </w:tcPr>
          <w:p w14:paraId="7EE05F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0.050 </w:t>
            </w:r>
          </w:p>
        </w:tc>
        <w:tc>
          <w:tcPr>
            <w:tcW w:w="817" w:type="dxa"/>
            <w:tcBorders>
              <w:tl2br w:val="nil"/>
              <w:tr2bl w:val="nil"/>
            </w:tcBorders>
            <w:noWrap w:val="0"/>
            <w:vAlign w:val="center"/>
          </w:tcPr>
          <w:p w14:paraId="421E02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0.038 </w:t>
            </w:r>
          </w:p>
        </w:tc>
        <w:tc>
          <w:tcPr>
            <w:tcW w:w="866" w:type="dxa"/>
            <w:tcBorders>
              <w:tl2br w:val="nil"/>
              <w:tr2bl w:val="nil"/>
            </w:tcBorders>
            <w:noWrap w:val="0"/>
            <w:vAlign w:val="center"/>
          </w:tcPr>
          <w:p w14:paraId="10E2AA6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850" w:type="dxa"/>
            <w:tcBorders>
              <w:tl2br w:val="nil"/>
              <w:tr2bl w:val="nil"/>
            </w:tcBorders>
            <w:noWrap w:val="0"/>
            <w:vAlign w:val="center"/>
          </w:tcPr>
          <w:p w14:paraId="2F8ADE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08FC541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447FFE4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1250CB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6F58633A">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525A03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450 </w:t>
            </w:r>
          </w:p>
        </w:tc>
        <w:tc>
          <w:tcPr>
            <w:tcW w:w="826" w:type="dxa"/>
            <w:tcBorders>
              <w:tl2br w:val="nil"/>
              <w:tr2bl w:val="nil"/>
            </w:tcBorders>
            <w:noWrap w:val="0"/>
            <w:vAlign w:val="center"/>
          </w:tcPr>
          <w:p w14:paraId="228634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0.055 </w:t>
            </w:r>
          </w:p>
        </w:tc>
        <w:tc>
          <w:tcPr>
            <w:tcW w:w="857" w:type="dxa"/>
            <w:tcBorders>
              <w:tl2br w:val="nil"/>
              <w:tr2bl w:val="nil"/>
            </w:tcBorders>
            <w:noWrap w:val="0"/>
            <w:vAlign w:val="center"/>
          </w:tcPr>
          <w:p w14:paraId="2EDD97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0.055 </w:t>
            </w:r>
          </w:p>
        </w:tc>
        <w:tc>
          <w:tcPr>
            <w:tcW w:w="817" w:type="dxa"/>
            <w:tcBorders>
              <w:tl2br w:val="nil"/>
              <w:tr2bl w:val="nil"/>
            </w:tcBorders>
            <w:noWrap w:val="0"/>
            <w:vAlign w:val="center"/>
          </w:tcPr>
          <w:p w14:paraId="2A08D46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0.053 </w:t>
            </w:r>
          </w:p>
        </w:tc>
        <w:tc>
          <w:tcPr>
            <w:tcW w:w="850" w:type="dxa"/>
            <w:tcBorders>
              <w:tl2br w:val="nil"/>
              <w:tr2bl w:val="nil"/>
            </w:tcBorders>
            <w:noWrap w:val="0"/>
            <w:vAlign w:val="center"/>
          </w:tcPr>
          <w:p w14:paraId="0E8680B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0.049 </w:t>
            </w:r>
          </w:p>
        </w:tc>
        <w:tc>
          <w:tcPr>
            <w:tcW w:w="817" w:type="dxa"/>
            <w:tcBorders>
              <w:tl2br w:val="nil"/>
              <w:tr2bl w:val="nil"/>
            </w:tcBorders>
            <w:noWrap w:val="0"/>
            <w:vAlign w:val="center"/>
          </w:tcPr>
          <w:p w14:paraId="74C8FE3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0.038 </w:t>
            </w:r>
          </w:p>
        </w:tc>
        <w:tc>
          <w:tcPr>
            <w:tcW w:w="866" w:type="dxa"/>
            <w:tcBorders>
              <w:tl2br w:val="nil"/>
              <w:tr2bl w:val="nil"/>
            </w:tcBorders>
            <w:noWrap w:val="0"/>
            <w:vAlign w:val="center"/>
          </w:tcPr>
          <w:p w14:paraId="1B05241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850" w:type="dxa"/>
            <w:tcBorders>
              <w:tl2br w:val="nil"/>
              <w:tr2bl w:val="nil"/>
            </w:tcBorders>
            <w:noWrap w:val="0"/>
            <w:vAlign w:val="center"/>
          </w:tcPr>
          <w:p w14:paraId="0615402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2BCF84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3ACEE45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5A912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5384EA7B">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16FC1F1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 </w:t>
            </w:r>
          </w:p>
        </w:tc>
        <w:tc>
          <w:tcPr>
            <w:tcW w:w="826" w:type="dxa"/>
            <w:tcBorders>
              <w:tl2br w:val="nil"/>
              <w:tr2bl w:val="nil"/>
            </w:tcBorders>
            <w:noWrap w:val="0"/>
            <w:vAlign w:val="center"/>
          </w:tcPr>
          <w:p w14:paraId="542B92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0.054 </w:t>
            </w:r>
          </w:p>
        </w:tc>
        <w:tc>
          <w:tcPr>
            <w:tcW w:w="857" w:type="dxa"/>
            <w:tcBorders>
              <w:tl2br w:val="nil"/>
              <w:tr2bl w:val="nil"/>
            </w:tcBorders>
            <w:noWrap w:val="0"/>
            <w:vAlign w:val="center"/>
          </w:tcPr>
          <w:p w14:paraId="769C4E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0.054 </w:t>
            </w:r>
          </w:p>
        </w:tc>
        <w:tc>
          <w:tcPr>
            <w:tcW w:w="817" w:type="dxa"/>
            <w:tcBorders>
              <w:tl2br w:val="nil"/>
              <w:tr2bl w:val="nil"/>
            </w:tcBorders>
            <w:noWrap w:val="0"/>
            <w:vAlign w:val="center"/>
          </w:tcPr>
          <w:p w14:paraId="0917DA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0.052 </w:t>
            </w:r>
          </w:p>
        </w:tc>
        <w:tc>
          <w:tcPr>
            <w:tcW w:w="850" w:type="dxa"/>
            <w:tcBorders>
              <w:tl2br w:val="nil"/>
              <w:tr2bl w:val="nil"/>
            </w:tcBorders>
            <w:noWrap w:val="0"/>
            <w:vAlign w:val="center"/>
          </w:tcPr>
          <w:p w14:paraId="652AF3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0.049 </w:t>
            </w:r>
          </w:p>
        </w:tc>
        <w:tc>
          <w:tcPr>
            <w:tcW w:w="817" w:type="dxa"/>
            <w:tcBorders>
              <w:tl2br w:val="nil"/>
              <w:tr2bl w:val="nil"/>
            </w:tcBorders>
            <w:noWrap w:val="0"/>
            <w:vAlign w:val="center"/>
          </w:tcPr>
          <w:p w14:paraId="145F985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0.039 </w:t>
            </w:r>
          </w:p>
        </w:tc>
        <w:tc>
          <w:tcPr>
            <w:tcW w:w="866" w:type="dxa"/>
            <w:tcBorders>
              <w:tl2br w:val="nil"/>
              <w:tr2bl w:val="nil"/>
            </w:tcBorders>
            <w:noWrap w:val="0"/>
            <w:vAlign w:val="center"/>
          </w:tcPr>
          <w:p w14:paraId="241060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850" w:type="dxa"/>
            <w:tcBorders>
              <w:tl2br w:val="nil"/>
              <w:tr2bl w:val="nil"/>
            </w:tcBorders>
            <w:noWrap w:val="0"/>
            <w:vAlign w:val="center"/>
          </w:tcPr>
          <w:p w14:paraId="5F19FFB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17" w:type="dxa"/>
            <w:tcBorders>
              <w:tl2br w:val="nil"/>
              <w:tr2bl w:val="nil"/>
            </w:tcBorders>
            <w:noWrap w:val="0"/>
            <w:vAlign w:val="center"/>
          </w:tcPr>
          <w:p w14:paraId="12DF37C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787FD2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0C658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3590EC75">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0686C07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 </w:t>
            </w:r>
          </w:p>
        </w:tc>
        <w:tc>
          <w:tcPr>
            <w:tcW w:w="826" w:type="dxa"/>
            <w:tcBorders>
              <w:tl2br w:val="nil"/>
              <w:tr2bl w:val="nil"/>
            </w:tcBorders>
            <w:noWrap w:val="0"/>
            <w:vAlign w:val="center"/>
          </w:tcPr>
          <w:p w14:paraId="6B1C1F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0.052 </w:t>
            </w:r>
          </w:p>
        </w:tc>
        <w:tc>
          <w:tcPr>
            <w:tcW w:w="857" w:type="dxa"/>
            <w:tcBorders>
              <w:tl2br w:val="nil"/>
              <w:tr2bl w:val="nil"/>
            </w:tcBorders>
            <w:noWrap w:val="0"/>
            <w:vAlign w:val="center"/>
          </w:tcPr>
          <w:p w14:paraId="6492AA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0.052 </w:t>
            </w:r>
          </w:p>
        </w:tc>
        <w:tc>
          <w:tcPr>
            <w:tcW w:w="817" w:type="dxa"/>
            <w:tcBorders>
              <w:tl2br w:val="nil"/>
              <w:tr2bl w:val="nil"/>
            </w:tcBorders>
            <w:noWrap w:val="0"/>
            <w:vAlign w:val="center"/>
          </w:tcPr>
          <w:p w14:paraId="294C5BD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0.051 </w:t>
            </w:r>
          </w:p>
        </w:tc>
        <w:tc>
          <w:tcPr>
            <w:tcW w:w="850" w:type="dxa"/>
            <w:tcBorders>
              <w:tl2br w:val="nil"/>
              <w:tr2bl w:val="nil"/>
            </w:tcBorders>
            <w:noWrap w:val="0"/>
            <w:vAlign w:val="center"/>
          </w:tcPr>
          <w:p w14:paraId="068F6CC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0.048 </w:t>
            </w:r>
          </w:p>
        </w:tc>
        <w:tc>
          <w:tcPr>
            <w:tcW w:w="817" w:type="dxa"/>
            <w:tcBorders>
              <w:tl2br w:val="nil"/>
              <w:tr2bl w:val="nil"/>
            </w:tcBorders>
            <w:noWrap w:val="0"/>
            <w:vAlign w:val="center"/>
          </w:tcPr>
          <w:p w14:paraId="0E1BF6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0.039 </w:t>
            </w:r>
          </w:p>
        </w:tc>
        <w:tc>
          <w:tcPr>
            <w:tcW w:w="866" w:type="dxa"/>
            <w:tcBorders>
              <w:tl2br w:val="nil"/>
              <w:tr2bl w:val="nil"/>
            </w:tcBorders>
            <w:noWrap w:val="0"/>
            <w:vAlign w:val="center"/>
          </w:tcPr>
          <w:p w14:paraId="1BDA7D3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850" w:type="dxa"/>
            <w:tcBorders>
              <w:tl2br w:val="nil"/>
              <w:tr2bl w:val="nil"/>
            </w:tcBorders>
            <w:noWrap w:val="0"/>
            <w:vAlign w:val="center"/>
          </w:tcPr>
          <w:p w14:paraId="710D335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817" w:type="dxa"/>
            <w:tcBorders>
              <w:tl2br w:val="nil"/>
              <w:tr2bl w:val="nil"/>
            </w:tcBorders>
            <w:noWrap w:val="0"/>
            <w:vAlign w:val="center"/>
          </w:tcPr>
          <w:p w14:paraId="6EC2BE3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7754D3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17958A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24FD564D">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7B12160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800 </w:t>
            </w:r>
          </w:p>
        </w:tc>
        <w:tc>
          <w:tcPr>
            <w:tcW w:w="826" w:type="dxa"/>
            <w:tcBorders>
              <w:tl2br w:val="nil"/>
              <w:tr2bl w:val="nil"/>
            </w:tcBorders>
            <w:noWrap w:val="0"/>
            <w:vAlign w:val="center"/>
          </w:tcPr>
          <w:p w14:paraId="3FDDF3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0.049 </w:t>
            </w:r>
          </w:p>
        </w:tc>
        <w:tc>
          <w:tcPr>
            <w:tcW w:w="857" w:type="dxa"/>
            <w:tcBorders>
              <w:tl2br w:val="nil"/>
              <w:tr2bl w:val="nil"/>
            </w:tcBorders>
            <w:noWrap w:val="0"/>
            <w:vAlign w:val="center"/>
          </w:tcPr>
          <w:p w14:paraId="7D97B1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0.049 </w:t>
            </w:r>
          </w:p>
        </w:tc>
        <w:tc>
          <w:tcPr>
            <w:tcW w:w="817" w:type="dxa"/>
            <w:tcBorders>
              <w:tl2br w:val="nil"/>
              <w:tr2bl w:val="nil"/>
            </w:tcBorders>
            <w:noWrap w:val="0"/>
            <w:vAlign w:val="center"/>
          </w:tcPr>
          <w:p w14:paraId="72D6519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0.048 </w:t>
            </w:r>
          </w:p>
        </w:tc>
        <w:tc>
          <w:tcPr>
            <w:tcW w:w="850" w:type="dxa"/>
            <w:tcBorders>
              <w:tl2br w:val="nil"/>
              <w:tr2bl w:val="nil"/>
            </w:tcBorders>
            <w:noWrap w:val="0"/>
            <w:vAlign w:val="center"/>
          </w:tcPr>
          <w:p w14:paraId="47BB154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0.046 </w:t>
            </w:r>
          </w:p>
        </w:tc>
        <w:tc>
          <w:tcPr>
            <w:tcW w:w="817" w:type="dxa"/>
            <w:tcBorders>
              <w:tl2br w:val="nil"/>
              <w:tr2bl w:val="nil"/>
            </w:tcBorders>
            <w:noWrap w:val="0"/>
            <w:vAlign w:val="center"/>
          </w:tcPr>
          <w:p w14:paraId="7060137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0.040 </w:t>
            </w:r>
          </w:p>
        </w:tc>
        <w:tc>
          <w:tcPr>
            <w:tcW w:w="866" w:type="dxa"/>
            <w:tcBorders>
              <w:tl2br w:val="nil"/>
              <w:tr2bl w:val="nil"/>
            </w:tcBorders>
            <w:noWrap w:val="0"/>
            <w:vAlign w:val="center"/>
          </w:tcPr>
          <w:p w14:paraId="493499F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0.035 </w:t>
            </w:r>
          </w:p>
        </w:tc>
        <w:tc>
          <w:tcPr>
            <w:tcW w:w="850" w:type="dxa"/>
            <w:tcBorders>
              <w:tl2br w:val="nil"/>
              <w:tr2bl w:val="nil"/>
            </w:tcBorders>
            <w:noWrap w:val="0"/>
            <w:vAlign w:val="center"/>
          </w:tcPr>
          <w:p w14:paraId="553050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817" w:type="dxa"/>
            <w:tcBorders>
              <w:tl2br w:val="nil"/>
              <w:tr2bl w:val="nil"/>
            </w:tcBorders>
            <w:noWrap w:val="0"/>
            <w:vAlign w:val="center"/>
          </w:tcPr>
          <w:p w14:paraId="79C177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c>
          <w:tcPr>
            <w:tcW w:w="837" w:type="dxa"/>
            <w:tcBorders>
              <w:tl2br w:val="nil"/>
              <w:tr2bl w:val="nil"/>
            </w:tcBorders>
            <w:noWrap w:val="0"/>
            <w:vAlign w:val="center"/>
          </w:tcPr>
          <w:p w14:paraId="7D1B370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5F0F03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36006A3B">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E0AE91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826" w:type="dxa"/>
            <w:tcBorders>
              <w:tl2br w:val="nil"/>
              <w:tr2bl w:val="nil"/>
            </w:tcBorders>
            <w:noWrap w:val="0"/>
            <w:vAlign w:val="center"/>
          </w:tcPr>
          <w:p w14:paraId="63B59F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0.047 </w:t>
            </w:r>
          </w:p>
        </w:tc>
        <w:tc>
          <w:tcPr>
            <w:tcW w:w="857" w:type="dxa"/>
            <w:tcBorders>
              <w:tl2br w:val="nil"/>
              <w:tr2bl w:val="nil"/>
            </w:tcBorders>
            <w:noWrap w:val="0"/>
            <w:vAlign w:val="center"/>
          </w:tcPr>
          <w:p w14:paraId="1D033E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0.047 </w:t>
            </w:r>
          </w:p>
        </w:tc>
        <w:tc>
          <w:tcPr>
            <w:tcW w:w="817" w:type="dxa"/>
            <w:tcBorders>
              <w:tl2br w:val="nil"/>
              <w:tr2bl w:val="nil"/>
            </w:tcBorders>
            <w:noWrap w:val="0"/>
            <w:vAlign w:val="center"/>
          </w:tcPr>
          <w:p w14:paraId="3C81D0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0.046 </w:t>
            </w:r>
          </w:p>
        </w:tc>
        <w:tc>
          <w:tcPr>
            <w:tcW w:w="850" w:type="dxa"/>
            <w:tcBorders>
              <w:tl2br w:val="nil"/>
              <w:tr2bl w:val="nil"/>
            </w:tcBorders>
            <w:noWrap w:val="0"/>
            <w:vAlign w:val="center"/>
          </w:tcPr>
          <w:p w14:paraId="64BB19A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0.045 </w:t>
            </w:r>
          </w:p>
        </w:tc>
        <w:tc>
          <w:tcPr>
            <w:tcW w:w="817" w:type="dxa"/>
            <w:tcBorders>
              <w:tl2br w:val="nil"/>
              <w:tr2bl w:val="nil"/>
            </w:tcBorders>
            <w:noWrap w:val="0"/>
            <w:vAlign w:val="center"/>
          </w:tcPr>
          <w:p w14:paraId="290B58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0.040 </w:t>
            </w:r>
          </w:p>
        </w:tc>
        <w:tc>
          <w:tcPr>
            <w:tcW w:w="866" w:type="dxa"/>
            <w:tcBorders>
              <w:tl2br w:val="nil"/>
              <w:tr2bl w:val="nil"/>
            </w:tcBorders>
            <w:noWrap w:val="0"/>
            <w:vAlign w:val="center"/>
          </w:tcPr>
          <w:p w14:paraId="7E2DE8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0.036 </w:t>
            </w:r>
          </w:p>
        </w:tc>
        <w:tc>
          <w:tcPr>
            <w:tcW w:w="850" w:type="dxa"/>
            <w:tcBorders>
              <w:tl2br w:val="nil"/>
              <w:tr2bl w:val="nil"/>
            </w:tcBorders>
            <w:noWrap w:val="0"/>
            <w:vAlign w:val="center"/>
          </w:tcPr>
          <w:p w14:paraId="65355E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817" w:type="dxa"/>
            <w:tcBorders>
              <w:tl2br w:val="nil"/>
              <w:tr2bl w:val="nil"/>
            </w:tcBorders>
            <w:noWrap w:val="0"/>
            <w:vAlign w:val="center"/>
          </w:tcPr>
          <w:p w14:paraId="4CC0B2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837" w:type="dxa"/>
            <w:tcBorders>
              <w:tl2br w:val="nil"/>
              <w:tr2bl w:val="nil"/>
            </w:tcBorders>
            <w:noWrap w:val="0"/>
            <w:vAlign w:val="center"/>
          </w:tcPr>
          <w:p w14:paraId="3809F7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1BD85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08F0F349">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2F2DC82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 </w:t>
            </w:r>
          </w:p>
        </w:tc>
        <w:tc>
          <w:tcPr>
            <w:tcW w:w="826" w:type="dxa"/>
            <w:tcBorders>
              <w:tl2br w:val="nil"/>
              <w:tr2bl w:val="nil"/>
            </w:tcBorders>
            <w:noWrap w:val="0"/>
            <w:vAlign w:val="center"/>
          </w:tcPr>
          <w:p w14:paraId="4D41F2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0.045 </w:t>
            </w:r>
          </w:p>
        </w:tc>
        <w:tc>
          <w:tcPr>
            <w:tcW w:w="857" w:type="dxa"/>
            <w:tcBorders>
              <w:tl2br w:val="nil"/>
              <w:tr2bl w:val="nil"/>
            </w:tcBorders>
            <w:noWrap w:val="0"/>
            <w:vAlign w:val="center"/>
          </w:tcPr>
          <w:p w14:paraId="11C67E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0.045 </w:t>
            </w:r>
          </w:p>
        </w:tc>
        <w:tc>
          <w:tcPr>
            <w:tcW w:w="817" w:type="dxa"/>
            <w:tcBorders>
              <w:tl2br w:val="nil"/>
              <w:tr2bl w:val="nil"/>
            </w:tcBorders>
            <w:noWrap w:val="0"/>
            <w:vAlign w:val="center"/>
          </w:tcPr>
          <w:p w14:paraId="0C7DB2A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0.045 </w:t>
            </w:r>
          </w:p>
        </w:tc>
        <w:tc>
          <w:tcPr>
            <w:tcW w:w="850" w:type="dxa"/>
            <w:tcBorders>
              <w:tl2br w:val="nil"/>
              <w:tr2bl w:val="nil"/>
            </w:tcBorders>
            <w:noWrap w:val="0"/>
            <w:vAlign w:val="center"/>
          </w:tcPr>
          <w:p w14:paraId="31A920B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0.044 </w:t>
            </w:r>
          </w:p>
        </w:tc>
        <w:tc>
          <w:tcPr>
            <w:tcW w:w="817" w:type="dxa"/>
            <w:tcBorders>
              <w:tl2br w:val="nil"/>
              <w:tr2bl w:val="nil"/>
            </w:tcBorders>
            <w:noWrap w:val="0"/>
            <w:vAlign w:val="center"/>
          </w:tcPr>
          <w:p w14:paraId="4915EF1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0.040 </w:t>
            </w:r>
          </w:p>
        </w:tc>
        <w:tc>
          <w:tcPr>
            <w:tcW w:w="866" w:type="dxa"/>
            <w:tcBorders>
              <w:tl2br w:val="nil"/>
              <w:tr2bl w:val="nil"/>
            </w:tcBorders>
            <w:noWrap w:val="0"/>
            <w:vAlign w:val="center"/>
          </w:tcPr>
          <w:p w14:paraId="7A6EB5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0.036 </w:t>
            </w:r>
          </w:p>
        </w:tc>
        <w:tc>
          <w:tcPr>
            <w:tcW w:w="850" w:type="dxa"/>
            <w:tcBorders>
              <w:tl2br w:val="nil"/>
              <w:tr2bl w:val="nil"/>
            </w:tcBorders>
            <w:noWrap w:val="0"/>
            <w:vAlign w:val="center"/>
          </w:tcPr>
          <w:p w14:paraId="0DD653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817" w:type="dxa"/>
            <w:tcBorders>
              <w:tl2br w:val="nil"/>
              <w:tr2bl w:val="nil"/>
            </w:tcBorders>
            <w:noWrap w:val="0"/>
            <w:vAlign w:val="center"/>
          </w:tcPr>
          <w:p w14:paraId="10D6EE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c>
          <w:tcPr>
            <w:tcW w:w="837" w:type="dxa"/>
            <w:tcBorders>
              <w:tl2br w:val="nil"/>
              <w:tr2bl w:val="nil"/>
            </w:tcBorders>
            <w:noWrap w:val="0"/>
            <w:vAlign w:val="center"/>
          </w:tcPr>
          <w:p w14:paraId="40665CC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0.030 </w:t>
            </w:r>
          </w:p>
        </w:tc>
      </w:tr>
      <w:tr w14:paraId="6F8090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0632B5A3">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372EEC5E">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826" w:type="dxa"/>
            <w:tcBorders>
              <w:tl2br w:val="nil"/>
              <w:tr2bl w:val="nil"/>
            </w:tcBorders>
            <w:noWrap w:val="0"/>
            <w:vAlign w:val="center"/>
          </w:tcPr>
          <w:p w14:paraId="1F51528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0.044 </w:t>
            </w:r>
          </w:p>
        </w:tc>
        <w:tc>
          <w:tcPr>
            <w:tcW w:w="857" w:type="dxa"/>
            <w:tcBorders>
              <w:tl2br w:val="nil"/>
              <w:tr2bl w:val="nil"/>
            </w:tcBorders>
            <w:noWrap w:val="0"/>
            <w:vAlign w:val="center"/>
          </w:tcPr>
          <w:p w14:paraId="0546CDA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0.044 </w:t>
            </w:r>
          </w:p>
        </w:tc>
        <w:tc>
          <w:tcPr>
            <w:tcW w:w="817" w:type="dxa"/>
            <w:tcBorders>
              <w:tl2br w:val="nil"/>
              <w:tr2bl w:val="nil"/>
            </w:tcBorders>
            <w:noWrap w:val="0"/>
            <w:vAlign w:val="center"/>
          </w:tcPr>
          <w:p w14:paraId="3C3C03AA">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0.043 </w:t>
            </w:r>
          </w:p>
        </w:tc>
        <w:tc>
          <w:tcPr>
            <w:tcW w:w="850" w:type="dxa"/>
            <w:tcBorders>
              <w:tl2br w:val="nil"/>
              <w:tr2bl w:val="nil"/>
            </w:tcBorders>
            <w:noWrap w:val="0"/>
            <w:vAlign w:val="center"/>
          </w:tcPr>
          <w:p w14:paraId="4A24E1B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0.043 </w:t>
            </w:r>
          </w:p>
        </w:tc>
        <w:tc>
          <w:tcPr>
            <w:tcW w:w="817" w:type="dxa"/>
            <w:tcBorders>
              <w:tl2br w:val="nil"/>
              <w:tr2bl w:val="nil"/>
            </w:tcBorders>
            <w:noWrap w:val="0"/>
            <w:vAlign w:val="center"/>
          </w:tcPr>
          <w:p w14:paraId="3FA27DFA">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0.040 </w:t>
            </w:r>
          </w:p>
        </w:tc>
        <w:tc>
          <w:tcPr>
            <w:tcW w:w="866" w:type="dxa"/>
            <w:tcBorders>
              <w:tl2br w:val="nil"/>
              <w:tr2bl w:val="nil"/>
            </w:tcBorders>
            <w:noWrap w:val="0"/>
            <w:vAlign w:val="center"/>
          </w:tcPr>
          <w:p w14:paraId="1A6FF4E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0.037 </w:t>
            </w:r>
          </w:p>
        </w:tc>
        <w:tc>
          <w:tcPr>
            <w:tcW w:w="850" w:type="dxa"/>
            <w:tcBorders>
              <w:tl2br w:val="nil"/>
              <w:tr2bl w:val="nil"/>
            </w:tcBorders>
            <w:noWrap w:val="0"/>
            <w:vAlign w:val="center"/>
          </w:tcPr>
          <w:p w14:paraId="0334EE4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0.034 </w:t>
            </w:r>
          </w:p>
        </w:tc>
        <w:tc>
          <w:tcPr>
            <w:tcW w:w="817" w:type="dxa"/>
            <w:tcBorders>
              <w:tl2br w:val="nil"/>
              <w:tr2bl w:val="nil"/>
            </w:tcBorders>
            <w:noWrap w:val="0"/>
            <w:vAlign w:val="center"/>
          </w:tcPr>
          <w:p w14:paraId="5059B7A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0.032 </w:t>
            </w:r>
          </w:p>
        </w:tc>
        <w:tc>
          <w:tcPr>
            <w:tcW w:w="837" w:type="dxa"/>
            <w:tcBorders>
              <w:tl2br w:val="nil"/>
              <w:tr2bl w:val="nil"/>
            </w:tcBorders>
            <w:noWrap w:val="0"/>
            <w:vAlign w:val="center"/>
          </w:tcPr>
          <w:p w14:paraId="00BD3A0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r>
      <w:tr w14:paraId="00EEF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18CFB26F">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5699138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 </w:t>
            </w:r>
          </w:p>
        </w:tc>
        <w:tc>
          <w:tcPr>
            <w:tcW w:w="826" w:type="dxa"/>
            <w:tcBorders>
              <w:tl2br w:val="nil"/>
              <w:tr2bl w:val="nil"/>
            </w:tcBorders>
            <w:shd w:val="clear" w:color="auto" w:fill="auto"/>
            <w:noWrap w:val="0"/>
            <w:vAlign w:val="center"/>
          </w:tcPr>
          <w:p w14:paraId="525359A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0.042 </w:t>
            </w:r>
          </w:p>
        </w:tc>
        <w:tc>
          <w:tcPr>
            <w:tcW w:w="857" w:type="dxa"/>
            <w:tcBorders>
              <w:tl2br w:val="nil"/>
              <w:tr2bl w:val="nil"/>
            </w:tcBorders>
            <w:noWrap w:val="0"/>
            <w:vAlign w:val="center"/>
          </w:tcPr>
          <w:p w14:paraId="0CBF48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0.042 </w:t>
            </w:r>
          </w:p>
        </w:tc>
        <w:tc>
          <w:tcPr>
            <w:tcW w:w="817" w:type="dxa"/>
            <w:tcBorders>
              <w:tl2br w:val="nil"/>
              <w:tr2bl w:val="nil"/>
            </w:tcBorders>
            <w:noWrap w:val="0"/>
            <w:vAlign w:val="center"/>
          </w:tcPr>
          <w:p w14:paraId="7CB05B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0.042 </w:t>
            </w:r>
          </w:p>
        </w:tc>
        <w:tc>
          <w:tcPr>
            <w:tcW w:w="850" w:type="dxa"/>
            <w:tcBorders>
              <w:tl2br w:val="nil"/>
              <w:tr2bl w:val="nil"/>
            </w:tcBorders>
            <w:noWrap w:val="0"/>
            <w:vAlign w:val="center"/>
          </w:tcPr>
          <w:p w14:paraId="0A1080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0.041 </w:t>
            </w:r>
          </w:p>
        </w:tc>
        <w:tc>
          <w:tcPr>
            <w:tcW w:w="817" w:type="dxa"/>
            <w:tcBorders>
              <w:tl2br w:val="nil"/>
              <w:tr2bl w:val="nil"/>
            </w:tcBorders>
            <w:noWrap w:val="0"/>
            <w:vAlign w:val="center"/>
          </w:tcPr>
          <w:p w14:paraId="6E4B38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0.039 </w:t>
            </w:r>
          </w:p>
        </w:tc>
        <w:tc>
          <w:tcPr>
            <w:tcW w:w="866" w:type="dxa"/>
            <w:tcBorders>
              <w:tl2br w:val="nil"/>
              <w:tr2bl w:val="nil"/>
            </w:tcBorders>
            <w:noWrap w:val="0"/>
            <w:vAlign w:val="center"/>
          </w:tcPr>
          <w:p w14:paraId="76442B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0.037 </w:t>
            </w:r>
          </w:p>
        </w:tc>
        <w:tc>
          <w:tcPr>
            <w:tcW w:w="850" w:type="dxa"/>
            <w:tcBorders>
              <w:tl2br w:val="nil"/>
              <w:tr2bl w:val="nil"/>
            </w:tcBorders>
            <w:noWrap w:val="0"/>
            <w:vAlign w:val="center"/>
          </w:tcPr>
          <w:p w14:paraId="7DF4C7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0.034 </w:t>
            </w:r>
          </w:p>
        </w:tc>
        <w:tc>
          <w:tcPr>
            <w:tcW w:w="817" w:type="dxa"/>
            <w:tcBorders>
              <w:tl2br w:val="nil"/>
              <w:tr2bl w:val="nil"/>
            </w:tcBorders>
            <w:noWrap w:val="0"/>
            <w:vAlign w:val="center"/>
          </w:tcPr>
          <w:p w14:paraId="476633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0.033 </w:t>
            </w:r>
          </w:p>
        </w:tc>
        <w:tc>
          <w:tcPr>
            <w:tcW w:w="837" w:type="dxa"/>
            <w:tcBorders>
              <w:tl2br w:val="nil"/>
              <w:tr2bl w:val="nil"/>
            </w:tcBorders>
            <w:noWrap w:val="0"/>
            <w:vAlign w:val="center"/>
          </w:tcPr>
          <w:p w14:paraId="0323F7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0.031 </w:t>
            </w:r>
          </w:p>
        </w:tc>
      </w:tr>
      <w:tr w14:paraId="34A68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26601487">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2B02C3E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3000 </w:t>
            </w:r>
          </w:p>
        </w:tc>
        <w:tc>
          <w:tcPr>
            <w:tcW w:w="826" w:type="dxa"/>
            <w:tcBorders>
              <w:tl2br w:val="nil"/>
              <w:tr2bl w:val="nil"/>
            </w:tcBorders>
            <w:shd w:val="clear" w:color="auto" w:fill="auto"/>
            <w:noWrap w:val="0"/>
            <w:vAlign w:val="center"/>
          </w:tcPr>
          <w:p w14:paraId="0D17EC8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0.040 </w:t>
            </w:r>
          </w:p>
        </w:tc>
        <w:tc>
          <w:tcPr>
            <w:tcW w:w="857" w:type="dxa"/>
            <w:tcBorders>
              <w:tl2br w:val="nil"/>
              <w:tr2bl w:val="nil"/>
            </w:tcBorders>
            <w:noWrap w:val="0"/>
            <w:vAlign w:val="center"/>
          </w:tcPr>
          <w:p w14:paraId="3A24FD6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0.040 </w:t>
            </w:r>
          </w:p>
        </w:tc>
        <w:tc>
          <w:tcPr>
            <w:tcW w:w="817" w:type="dxa"/>
            <w:tcBorders>
              <w:tl2br w:val="nil"/>
              <w:tr2bl w:val="nil"/>
            </w:tcBorders>
            <w:noWrap w:val="0"/>
            <w:vAlign w:val="center"/>
          </w:tcPr>
          <w:p w14:paraId="0093FDC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0.040 </w:t>
            </w:r>
          </w:p>
        </w:tc>
        <w:tc>
          <w:tcPr>
            <w:tcW w:w="850" w:type="dxa"/>
            <w:tcBorders>
              <w:tl2br w:val="nil"/>
              <w:tr2bl w:val="nil"/>
            </w:tcBorders>
            <w:noWrap w:val="0"/>
            <w:vAlign w:val="center"/>
          </w:tcPr>
          <w:p w14:paraId="51F0FE3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0.039 </w:t>
            </w:r>
          </w:p>
        </w:tc>
        <w:tc>
          <w:tcPr>
            <w:tcW w:w="817" w:type="dxa"/>
            <w:tcBorders>
              <w:tl2br w:val="nil"/>
              <w:tr2bl w:val="nil"/>
            </w:tcBorders>
            <w:noWrap w:val="0"/>
            <w:vAlign w:val="center"/>
          </w:tcPr>
          <w:p w14:paraId="476B338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0.038 </w:t>
            </w:r>
          </w:p>
        </w:tc>
        <w:tc>
          <w:tcPr>
            <w:tcW w:w="866" w:type="dxa"/>
            <w:tcBorders>
              <w:tl2br w:val="nil"/>
              <w:tr2bl w:val="nil"/>
            </w:tcBorders>
            <w:noWrap w:val="0"/>
            <w:vAlign w:val="center"/>
          </w:tcPr>
          <w:p w14:paraId="18CA928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0.037 </w:t>
            </w:r>
          </w:p>
        </w:tc>
        <w:tc>
          <w:tcPr>
            <w:tcW w:w="850" w:type="dxa"/>
            <w:tcBorders>
              <w:tl2br w:val="nil"/>
              <w:tr2bl w:val="nil"/>
            </w:tcBorders>
            <w:noWrap w:val="0"/>
            <w:vAlign w:val="center"/>
          </w:tcPr>
          <w:p w14:paraId="391F1DE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0.035 </w:t>
            </w:r>
          </w:p>
        </w:tc>
        <w:tc>
          <w:tcPr>
            <w:tcW w:w="817" w:type="dxa"/>
            <w:tcBorders>
              <w:tl2br w:val="nil"/>
              <w:tr2bl w:val="nil"/>
            </w:tcBorders>
            <w:noWrap w:val="0"/>
            <w:vAlign w:val="center"/>
          </w:tcPr>
          <w:p w14:paraId="41425E4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0.033 </w:t>
            </w:r>
          </w:p>
        </w:tc>
        <w:tc>
          <w:tcPr>
            <w:tcW w:w="837" w:type="dxa"/>
            <w:tcBorders>
              <w:tl2br w:val="nil"/>
              <w:tr2bl w:val="nil"/>
            </w:tcBorders>
            <w:noWrap w:val="0"/>
            <w:vAlign w:val="center"/>
          </w:tcPr>
          <w:p w14:paraId="210F173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0.032 </w:t>
            </w:r>
          </w:p>
        </w:tc>
      </w:tr>
      <w:tr w14:paraId="717DDD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7" w:type="dxa"/>
            <w:vMerge w:val="continue"/>
            <w:tcBorders>
              <w:tl2br w:val="nil"/>
              <w:tr2bl w:val="nil"/>
            </w:tcBorders>
            <w:noWrap w:val="0"/>
            <w:vAlign w:val="center"/>
          </w:tcPr>
          <w:p w14:paraId="2B1D84C5">
            <w:pPr>
              <w:pStyle w:val="64"/>
              <w:adjustRightInd w:val="0"/>
              <w:snapToGrid w:val="0"/>
              <w:spacing w:line="240" w:lineRule="auto"/>
              <w:rPr>
                <w:rFonts w:hint="default" w:ascii="Times New Roman" w:hAnsi="Times New Roman" w:cs="Times New Roman"/>
                <w:color w:val="auto"/>
                <w:sz w:val="21"/>
                <w:szCs w:val="21"/>
                <w:highlight w:val="none"/>
              </w:rPr>
            </w:pPr>
          </w:p>
        </w:tc>
        <w:tc>
          <w:tcPr>
            <w:tcW w:w="674" w:type="dxa"/>
            <w:tcBorders>
              <w:tl2br w:val="nil"/>
              <w:tr2bl w:val="nil"/>
            </w:tcBorders>
            <w:noWrap w:val="0"/>
            <w:vAlign w:val="center"/>
          </w:tcPr>
          <w:p w14:paraId="4F8380D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4200</w:t>
            </w:r>
          </w:p>
        </w:tc>
        <w:tc>
          <w:tcPr>
            <w:tcW w:w="826" w:type="dxa"/>
            <w:tcBorders>
              <w:tl2br w:val="nil"/>
              <w:tr2bl w:val="nil"/>
            </w:tcBorders>
            <w:shd w:val="clear" w:color="auto" w:fill="auto"/>
            <w:noWrap w:val="0"/>
            <w:vAlign w:val="center"/>
          </w:tcPr>
          <w:p w14:paraId="0E2590D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0.038 </w:t>
            </w:r>
          </w:p>
        </w:tc>
        <w:tc>
          <w:tcPr>
            <w:tcW w:w="857" w:type="dxa"/>
            <w:tcBorders>
              <w:tl2br w:val="nil"/>
              <w:tr2bl w:val="nil"/>
            </w:tcBorders>
            <w:noWrap w:val="0"/>
            <w:vAlign w:val="center"/>
          </w:tcPr>
          <w:p w14:paraId="7B501F1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0.038 </w:t>
            </w:r>
          </w:p>
        </w:tc>
        <w:tc>
          <w:tcPr>
            <w:tcW w:w="817" w:type="dxa"/>
            <w:tcBorders>
              <w:tl2br w:val="nil"/>
              <w:tr2bl w:val="nil"/>
            </w:tcBorders>
            <w:noWrap w:val="0"/>
            <w:vAlign w:val="center"/>
          </w:tcPr>
          <w:p w14:paraId="55C1D1E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0.038 </w:t>
            </w:r>
          </w:p>
        </w:tc>
        <w:tc>
          <w:tcPr>
            <w:tcW w:w="850" w:type="dxa"/>
            <w:tcBorders>
              <w:tl2br w:val="nil"/>
              <w:tr2bl w:val="nil"/>
            </w:tcBorders>
            <w:noWrap w:val="0"/>
            <w:vAlign w:val="center"/>
          </w:tcPr>
          <w:p w14:paraId="53B8AC9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0.038 </w:t>
            </w:r>
          </w:p>
        </w:tc>
        <w:tc>
          <w:tcPr>
            <w:tcW w:w="817" w:type="dxa"/>
            <w:tcBorders>
              <w:tl2br w:val="nil"/>
              <w:tr2bl w:val="nil"/>
            </w:tcBorders>
            <w:noWrap w:val="0"/>
            <w:vAlign w:val="center"/>
          </w:tcPr>
          <w:p w14:paraId="74464FF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0.037 </w:t>
            </w:r>
          </w:p>
        </w:tc>
        <w:tc>
          <w:tcPr>
            <w:tcW w:w="866" w:type="dxa"/>
            <w:tcBorders>
              <w:tl2br w:val="nil"/>
              <w:tr2bl w:val="nil"/>
            </w:tcBorders>
            <w:noWrap w:val="0"/>
            <w:vAlign w:val="center"/>
          </w:tcPr>
          <w:p w14:paraId="025F6B1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0.036 </w:t>
            </w:r>
          </w:p>
        </w:tc>
        <w:tc>
          <w:tcPr>
            <w:tcW w:w="850" w:type="dxa"/>
            <w:tcBorders>
              <w:tl2br w:val="nil"/>
              <w:tr2bl w:val="nil"/>
            </w:tcBorders>
            <w:noWrap w:val="0"/>
            <w:vAlign w:val="center"/>
          </w:tcPr>
          <w:p w14:paraId="304E0FB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0.035 </w:t>
            </w:r>
          </w:p>
        </w:tc>
        <w:tc>
          <w:tcPr>
            <w:tcW w:w="817" w:type="dxa"/>
            <w:tcBorders>
              <w:tl2br w:val="nil"/>
              <w:tr2bl w:val="nil"/>
            </w:tcBorders>
            <w:noWrap w:val="0"/>
            <w:vAlign w:val="center"/>
          </w:tcPr>
          <w:p w14:paraId="2050CF9B">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0.034 </w:t>
            </w:r>
          </w:p>
        </w:tc>
        <w:tc>
          <w:tcPr>
            <w:tcW w:w="837" w:type="dxa"/>
            <w:tcBorders>
              <w:tl2br w:val="nil"/>
              <w:tr2bl w:val="nil"/>
            </w:tcBorders>
            <w:noWrap w:val="0"/>
            <w:vAlign w:val="center"/>
          </w:tcPr>
          <w:p w14:paraId="0B5E83D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0.033 </w:t>
            </w:r>
          </w:p>
        </w:tc>
      </w:tr>
    </w:tbl>
    <w:p w14:paraId="0410DB96">
      <w:pPr>
        <w:pStyle w:val="2"/>
        <w:numPr>
          <w:ilvl w:val="0"/>
          <w:numId w:val="0"/>
        </w:numPr>
        <w:spacing w:before="82" w:line="364" w:lineRule="auto"/>
        <w:ind w:right="129" w:rightChars="0" w:firstLine="482" w:firstLineChars="200"/>
        <w:rPr>
          <w:rFonts w:hint="eastAsia"/>
          <w:color w:val="auto"/>
          <w:sz w:val="24"/>
          <w:highlight w:val="none"/>
          <w:lang w:eastAsia="zh-CN"/>
        </w:rPr>
      </w:pPr>
      <w:r>
        <w:rPr>
          <w:rFonts w:hint="eastAsia"/>
          <w:b/>
          <w:bCs/>
          <w:color w:val="auto"/>
          <w:sz w:val="24"/>
          <w:highlight w:val="none"/>
          <w:lang w:eastAsia="zh-CN"/>
        </w:rPr>
        <w:t>正</w:t>
      </w:r>
      <w:r>
        <w:rPr>
          <w:rFonts w:hint="eastAsia" w:ascii="Times New Roman" w:hAnsi="Times New Roman" w:eastAsia="宋体" w:cs="Times New Roman"/>
          <w:b/>
          <w:bCs/>
          <w:color w:val="auto"/>
          <w:kern w:val="2"/>
          <w:sz w:val="24"/>
          <w:szCs w:val="24"/>
          <w:highlight w:val="none"/>
          <w:lang w:val="en-US" w:eastAsia="zh-CN" w:bidi="ar-SA"/>
        </w:rPr>
        <w:t>常工况分析</w:t>
      </w:r>
      <w:r>
        <w:rPr>
          <w:rFonts w:hint="eastAsia" w:ascii="Times New Roman" w:hAnsi="Times New Roman" w:cs="Times New Roman"/>
          <w:b/>
          <w:bCs/>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根据表4.2-</w:t>
      </w:r>
      <w:r>
        <w:rPr>
          <w:rFonts w:hint="eastAsia" w:cs="Times New Roman"/>
          <w:color w:val="auto"/>
          <w:kern w:val="2"/>
          <w:sz w:val="24"/>
          <w:szCs w:val="24"/>
          <w:highlight w:val="none"/>
          <w:lang w:val="en-US" w:eastAsia="zh-CN" w:bidi="ar-SA"/>
        </w:rPr>
        <w:t>9</w:t>
      </w:r>
      <w:r>
        <w:rPr>
          <w:rFonts w:hint="eastAsia" w:ascii="Times New Roman" w:hAnsi="Times New Roman" w:eastAsia="宋体" w:cs="Times New Roman"/>
          <w:color w:val="auto"/>
          <w:kern w:val="2"/>
          <w:sz w:val="24"/>
          <w:szCs w:val="24"/>
          <w:highlight w:val="none"/>
          <w:lang w:val="en-US" w:eastAsia="zh-CN" w:bidi="ar-SA"/>
        </w:rPr>
        <w:t>和表4.2-</w:t>
      </w:r>
      <w:r>
        <w:rPr>
          <w:rFonts w:hint="eastAsia" w:cs="Times New Roman"/>
          <w:color w:val="auto"/>
          <w:kern w:val="2"/>
          <w:sz w:val="24"/>
          <w:szCs w:val="24"/>
          <w:highlight w:val="none"/>
          <w:lang w:val="en-US" w:eastAsia="zh-CN" w:bidi="ar-SA"/>
        </w:rPr>
        <w:t>11</w:t>
      </w:r>
      <w:r>
        <w:rPr>
          <w:rFonts w:hint="eastAsia" w:ascii="Times New Roman" w:hAnsi="Times New Roman" w:eastAsia="宋体" w:cs="Times New Roman"/>
          <w:color w:val="auto"/>
          <w:kern w:val="2"/>
          <w:sz w:val="24"/>
          <w:szCs w:val="24"/>
          <w:highlight w:val="none"/>
          <w:lang w:val="en-US" w:eastAsia="zh-CN" w:bidi="ar-SA"/>
        </w:rPr>
        <w:t>可知，枯水期污水处理厂正常排放时，污染物COD、NH</w:t>
      </w:r>
      <w:r>
        <w:rPr>
          <w:rFonts w:hint="eastAsia" w:ascii="Times New Roman" w:hAnsi="Times New Roman" w:eastAsia="宋体" w:cs="Times New Roman"/>
          <w:color w:val="auto"/>
          <w:kern w:val="2"/>
          <w:sz w:val="24"/>
          <w:szCs w:val="24"/>
          <w:highlight w:val="none"/>
          <w:vertAlign w:val="sub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-N</w:t>
      </w:r>
      <w:r>
        <w:rPr>
          <w:rFonts w:hint="eastAsia" w:cs="Times New Roman"/>
          <w:color w:val="auto"/>
          <w:kern w:val="2"/>
          <w:sz w:val="24"/>
          <w:szCs w:val="24"/>
          <w:highlight w:val="none"/>
          <w:lang w:val="en-US" w:eastAsia="zh-CN" w:bidi="ar-SA"/>
        </w:rPr>
        <w:t>和TP</w:t>
      </w:r>
      <w:r>
        <w:rPr>
          <w:rFonts w:hint="eastAsia" w:ascii="Times New Roman" w:hAnsi="Times New Roman" w:eastAsia="宋体" w:cs="Times New Roman"/>
          <w:color w:val="auto"/>
          <w:kern w:val="2"/>
          <w:sz w:val="24"/>
          <w:szCs w:val="24"/>
          <w:highlight w:val="none"/>
          <w:lang w:val="en-US" w:eastAsia="zh-CN" w:bidi="ar-SA"/>
        </w:rPr>
        <w:t>在下游岸边范围</w:t>
      </w:r>
      <w:r>
        <w:rPr>
          <w:color w:val="auto"/>
          <w:sz w:val="24"/>
          <w:highlight w:val="none"/>
        </w:rPr>
        <w:t>无超标点，预测断面均满足《地表水环境质量标准》（GB3838-2002）II类标准要求。</w:t>
      </w:r>
      <w:r>
        <w:rPr>
          <w:rFonts w:hint="eastAsia"/>
          <w:color w:val="auto"/>
          <w:sz w:val="24"/>
          <w:highlight w:val="none"/>
        </w:rPr>
        <w:t>根据现场</w:t>
      </w:r>
      <w:r>
        <w:rPr>
          <w:rFonts w:hint="eastAsia"/>
          <w:color w:val="auto"/>
          <w:sz w:val="24"/>
          <w:highlight w:val="none"/>
          <w:lang w:eastAsia="zh-CN"/>
        </w:rPr>
        <w:t>调查</w:t>
      </w:r>
      <w:r>
        <w:rPr>
          <w:rFonts w:hint="eastAsia"/>
          <w:color w:val="auto"/>
          <w:sz w:val="24"/>
          <w:highlight w:val="none"/>
        </w:rPr>
        <w:t>，本项目</w:t>
      </w:r>
      <w:r>
        <w:rPr>
          <w:rFonts w:hint="eastAsia"/>
          <w:color w:val="auto"/>
          <w:sz w:val="24"/>
          <w:highlight w:val="none"/>
          <w:lang w:eastAsia="zh-CN"/>
        </w:rPr>
        <w:t>排污口下游</w:t>
      </w:r>
      <w:r>
        <w:rPr>
          <w:rFonts w:hint="eastAsia"/>
          <w:color w:val="auto"/>
          <w:sz w:val="24"/>
          <w:highlight w:val="none"/>
          <w:lang w:val="en-US" w:eastAsia="zh-CN"/>
        </w:rPr>
        <w:t>3.0km处为溢水桥监测断面（</w:t>
      </w:r>
      <w:r>
        <w:rPr>
          <w:rFonts w:hint="eastAsia"/>
          <w:color w:val="auto"/>
          <w:sz w:val="24"/>
          <w:highlight w:val="none"/>
        </w:rPr>
        <w:t>本次评价将该断面作为关心断面</w:t>
      </w:r>
      <w:r>
        <w:rPr>
          <w:rFonts w:hint="eastAsia"/>
          <w:color w:val="auto"/>
          <w:sz w:val="24"/>
          <w:highlight w:val="none"/>
          <w:lang w:val="en-US" w:eastAsia="zh-CN"/>
        </w:rPr>
        <w:t>）；根据</w:t>
      </w:r>
      <w:r>
        <w:rPr>
          <w:rFonts w:hint="eastAsia"/>
          <w:color w:val="auto"/>
          <w:sz w:val="24"/>
          <w:highlight w:val="none"/>
          <w:lang w:eastAsia="zh-CN"/>
        </w:rPr>
        <w:t>前文</w:t>
      </w:r>
      <w:r>
        <w:rPr>
          <w:rFonts w:hint="eastAsia"/>
          <w:color w:val="auto"/>
          <w:sz w:val="24"/>
          <w:highlight w:val="none"/>
          <w:lang w:val="en-US" w:eastAsia="zh-CN"/>
        </w:rPr>
        <w:t>预测可知，</w:t>
      </w:r>
      <w:r>
        <w:rPr>
          <w:rFonts w:hint="eastAsia"/>
          <w:color w:val="auto"/>
          <w:sz w:val="24"/>
          <w:highlight w:val="none"/>
        </w:rPr>
        <w:t>枯水期评价区内污水正常排放时，污染物COD在</w:t>
      </w:r>
      <w:r>
        <w:rPr>
          <w:rFonts w:hint="eastAsia"/>
          <w:color w:val="auto"/>
          <w:sz w:val="24"/>
          <w:highlight w:val="none"/>
          <w:lang w:eastAsia="zh-CN"/>
        </w:rPr>
        <w:t>溢水桥处</w:t>
      </w:r>
      <w:r>
        <w:rPr>
          <w:rFonts w:hint="eastAsia"/>
          <w:color w:val="auto"/>
          <w:sz w:val="24"/>
          <w:highlight w:val="none"/>
        </w:rPr>
        <w:t>最大浓度值为</w:t>
      </w:r>
      <w:r>
        <w:rPr>
          <w:rFonts w:hint="eastAsia"/>
          <w:color w:val="auto"/>
          <w:sz w:val="24"/>
          <w:highlight w:val="none"/>
          <w:lang w:val="en-US" w:eastAsia="zh-CN"/>
        </w:rPr>
        <w:t>11.079</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rPr>
        <w:t>NH</w:t>
      </w:r>
      <w:r>
        <w:rPr>
          <w:rFonts w:hint="eastAsia"/>
          <w:color w:val="auto"/>
          <w:sz w:val="24"/>
          <w:highlight w:val="none"/>
          <w:vertAlign w:val="subscript"/>
        </w:rPr>
        <w:t>3</w:t>
      </w:r>
      <w:r>
        <w:rPr>
          <w:rFonts w:hint="eastAsia"/>
          <w:color w:val="auto"/>
          <w:sz w:val="24"/>
          <w:highlight w:val="none"/>
        </w:rPr>
        <w:t>-N最大浓度值为</w:t>
      </w:r>
      <w:r>
        <w:rPr>
          <w:rFonts w:hint="eastAsia"/>
          <w:color w:val="auto"/>
          <w:sz w:val="24"/>
          <w:highlight w:val="none"/>
          <w:lang w:val="en-US" w:eastAsia="zh-CN"/>
        </w:rPr>
        <w:t>0.228</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TP</w:t>
      </w:r>
      <w:r>
        <w:rPr>
          <w:rFonts w:hint="eastAsia"/>
          <w:color w:val="auto"/>
          <w:sz w:val="24"/>
          <w:highlight w:val="none"/>
        </w:rPr>
        <w:t>最大浓度值为</w:t>
      </w:r>
      <w:r>
        <w:rPr>
          <w:rFonts w:hint="eastAsia"/>
          <w:color w:val="auto"/>
          <w:sz w:val="24"/>
          <w:highlight w:val="none"/>
          <w:lang w:val="en-US" w:eastAsia="zh-CN"/>
        </w:rPr>
        <w:t>0.031</w:t>
      </w:r>
      <w:r>
        <w:rPr>
          <w:rFonts w:hint="eastAsia"/>
          <w:color w:val="auto"/>
          <w:sz w:val="24"/>
          <w:highlight w:val="none"/>
        </w:rPr>
        <w:t>mg/L</w:t>
      </w:r>
      <w:r>
        <w:rPr>
          <w:rFonts w:hint="eastAsia"/>
          <w:color w:val="auto"/>
          <w:sz w:val="24"/>
          <w:highlight w:val="none"/>
          <w:lang w:eastAsia="zh-CN"/>
        </w:rPr>
        <w:t>，均</w:t>
      </w:r>
      <w:r>
        <w:rPr>
          <w:rFonts w:hint="eastAsia"/>
          <w:color w:val="auto"/>
          <w:sz w:val="24"/>
          <w:highlight w:val="none"/>
        </w:rPr>
        <w:t>满足《地表水环境质量标准》（GB3838-2002）Ⅱ类标准</w:t>
      </w:r>
      <w:r>
        <w:rPr>
          <w:rFonts w:hint="eastAsia"/>
          <w:color w:val="auto"/>
          <w:sz w:val="24"/>
          <w:highlight w:val="none"/>
          <w:lang w:eastAsia="zh-CN"/>
        </w:rPr>
        <w:t>；此外，</w:t>
      </w:r>
      <w:r>
        <w:rPr>
          <w:rFonts w:hint="eastAsia"/>
          <w:color w:val="auto"/>
          <w:sz w:val="24"/>
          <w:highlight w:val="none"/>
        </w:rPr>
        <w:t>枯水期评价区内污水正常排放时</w:t>
      </w:r>
      <w:r>
        <w:rPr>
          <w:rFonts w:hint="eastAsia"/>
          <w:color w:val="auto"/>
          <w:sz w:val="24"/>
          <w:highlight w:val="none"/>
          <w:lang w:eastAsia="zh-CN"/>
        </w:rPr>
        <w:t>，溢水河入汉江口处</w:t>
      </w:r>
      <w:r>
        <w:rPr>
          <w:rFonts w:hint="eastAsia"/>
          <w:color w:val="auto"/>
          <w:sz w:val="24"/>
          <w:highlight w:val="none"/>
          <w:lang w:val="en-US" w:eastAsia="zh-CN"/>
        </w:rPr>
        <w:t>COD、</w:t>
      </w:r>
      <w:r>
        <w:rPr>
          <w:rFonts w:hint="eastAsia"/>
          <w:color w:val="auto"/>
          <w:sz w:val="24"/>
          <w:highlight w:val="none"/>
        </w:rPr>
        <w:t>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val="en-US" w:eastAsia="zh-CN"/>
        </w:rPr>
        <w:t>和TP同样满足</w:t>
      </w:r>
      <w:r>
        <w:rPr>
          <w:rFonts w:hint="eastAsia"/>
          <w:color w:val="auto"/>
          <w:sz w:val="24"/>
          <w:highlight w:val="none"/>
        </w:rPr>
        <w:t>《地表水环境质量标准》（GB3838-2002）Ⅱ类标准</w:t>
      </w:r>
      <w:r>
        <w:rPr>
          <w:rFonts w:hint="eastAsia"/>
          <w:color w:val="auto"/>
          <w:sz w:val="24"/>
          <w:highlight w:val="none"/>
          <w:lang w:val="en-US" w:eastAsia="zh-CN"/>
        </w:rPr>
        <w:t>。整体而言，</w:t>
      </w:r>
      <w:r>
        <w:rPr>
          <w:rFonts w:hint="eastAsia"/>
          <w:color w:val="auto"/>
          <w:sz w:val="24"/>
          <w:highlight w:val="none"/>
          <w:lang w:eastAsia="zh-CN"/>
        </w:rPr>
        <w:t>枯水期内</w:t>
      </w:r>
      <w:r>
        <w:rPr>
          <w:rFonts w:hint="eastAsia"/>
          <w:color w:val="auto"/>
          <w:sz w:val="24"/>
          <w:highlight w:val="none"/>
        </w:rPr>
        <w:t>污水</w:t>
      </w:r>
      <w:r>
        <w:rPr>
          <w:rFonts w:hint="eastAsia"/>
          <w:color w:val="auto"/>
          <w:sz w:val="24"/>
          <w:highlight w:val="none"/>
          <w:lang w:eastAsia="zh-CN"/>
        </w:rPr>
        <w:t>正常</w:t>
      </w:r>
      <w:r>
        <w:rPr>
          <w:rFonts w:hint="eastAsia"/>
          <w:color w:val="auto"/>
          <w:sz w:val="24"/>
          <w:highlight w:val="none"/>
        </w:rPr>
        <w:t>排放对</w:t>
      </w:r>
      <w:r>
        <w:rPr>
          <w:rFonts w:hint="eastAsia"/>
          <w:color w:val="auto"/>
          <w:sz w:val="24"/>
          <w:highlight w:val="none"/>
          <w:lang w:eastAsia="zh-CN"/>
        </w:rPr>
        <w:t>溢水</w:t>
      </w:r>
      <w:r>
        <w:rPr>
          <w:rFonts w:hint="eastAsia"/>
          <w:color w:val="auto"/>
          <w:sz w:val="24"/>
          <w:highlight w:val="none"/>
        </w:rPr>
        <w:t>河</w:t>
      </w:r>
      <w:r>
        <w:rPr>
          <w:rFonts w:hint="eastAsia"/>
          <w:color w:val="auto"/>
          <w:sz w:val="24"/>
          <w:highlight w:val="none"/>
          <w:lang w:eastAsia="zh-CN"/>
        </w:rPr>
        <w:t>和汉江</w:t>
      </w:r>
      <w:r>
        <w:rPr>
          <w:rFonts w:hint="eastAsia"/>
          <w:color w:val="auto"/>
          <w:sz w:val="24"/>
          <w:highlight w:val="none"/>
        </w:rPr>
        <w:t>的影响程度较小</w:t>
      </w:r>
      <w:r>
        <w:rPr>
          <w:rFonts w:hint="eastAsia"/>
          <w:color w:val="auto"/>
          <w:sz w:val="24"/>
          <w:highlight w:val="none"/>
          <w:lang w:eastAsia="zh-CN"/>
        </w:rPr>
        <w:t>。</w:t>
      </w:r>
    </w:p>
    <w:p w14:paraId="22F1CB08">
      <w:pPr>
        <w:pStyle w:val="2"/>
        <w:numPr>
          <w:ilvl w:val="0"/>
          <w:numId w:val="0"/>
        </w:numPr>
        <w:spacing w:before="82" w:line="364" w:lineRule="auto"/>
        <w:ind w:right="129" w:rightChars="0" w:firstLine="482" w:firstLineChars="200"/>
        <w:rPr>
          <w:rFonts w:hint="eastAsia"/>
          <w:color w:val="auto"/>
          <w:sz w:val="24"/>
          <w:highlight w:val="none"/>
        </w:rPr>
      </w:pPr>
      <w:r>
        <w:rPr>
          <w:rFonts w:hint="eastAsia" w:cs="Times New Roman"/>
          <w:b/>
          <w:bCs/>
          <w:color w:val="auto"/>
          <w:sz w:val="24"/>
          <w:highlight w:val="none"/>
          <w:u w:val="none"/>
          <w:lang w:eastAsia="zh-CN"/>
        </w:rPr>
        <w:t>非正常工况分析：</w:t>
      </w:r>
      <w:r>
        <w:rPr>
          <w:rFonts w:hint="eastAsia"/>
          <w:color w:val="auto"/>
          <w:sz w:val="24"/>
          <w:highlight w:val="none"/>
        </w:rPr>
        <w:t>由</w:t>
      </w:r>
      <w:r>
        <w:rPr>
          <w:rFonts w:hint="eastAsia"/>
          <w:color w:val="auto"/>
          <w:sz w:val="24"/>
          <w:highlight w:val="none"/>
          <w:lang w:eastAsia="zh-CN"/>
        </w:rPr>
        <w:t>表</w:t>
      </w:r>
      <w:r>
        <w:rPr>
          <w:rFonts w:hint="eastAsia"/>
          <w:color w:val="auto"/>
          <w:sz w:val="24"/>
          <w:highlight w:val="none"/>
          <w:lang w:val="en-US" w:eastAsia="zh-CN"/>
        </w:rPr>
        <w:t>4.2-12和4.2-14</w:t>
      </w:r>
      <w:r>
        <w:rPr>
          <w:rFonts w:hint="eastAsia"/>
          <w:color w:val="auto"/>
          <w:sz w:val="24"/>
          <w:highlight w:val="none"/>
        </w:rPr>
        <w:t>预测结果可知，枯水期污水处理厂非正常排放时，污染物COD</w:t>
      </w:r>
      <w:r>
        <w:rPr>
          <w:rFonts w:hint="eastAsia"/>
          <w:color w:val="auto"/>
          <w:sz w:val="24"/>
          <w:highlight w:val="none"/>
          <w:lang w:eastAsia="zh-CN"/>
        </w:rPr>
        <w:t>和</w:t>
      </w:r>
      <w:r>
        <w:rPr>
          <w:rFonts w:hint="eastAsia"/>
          <w:color w:val="auto"/>
          <w:sz w:val="24"/>
          <w:highlight w:val="none"/>
          <w:lang w:val="en-US" w:eastAsia="zh-CN"/>
        </w:rPr>
        <w:t>TP</w:t>
      </w:r>
      <w:r>
        <w:rPr>
          <w:rFonts w:hint="eastAsia"/>
          <w:color w:val="auto"/>
          <w:sz w:val="24"/>
          <w:highlight w:val="none"/>
          <w:lang w:eastAsia="zh-CN"/>
        </w:rPr>
        <w:t>在排污口下游约</w:t>
      </w:r>
      <w:r>
        <w:rPr>
          <w:rFonts w:hint="eastAsia"/>
          <w:color w:val="auto"/>
          <w:sz w:val="24"/>
          <w:highlight w:val="none"/>
          <w:lang w:val="en-US" w:eastAsia="zh-CN"/>
        </w:rPr>
        <w:t>50m范围内、</w:t>
      </w:r>
      <w:r>
        <w:rPr>
          <w:rFonts w:hint="eastAsia"/>
          <w:color w:val="auto"/>
          <w:sz w:val="24"/>
          <w:highlight w:val="none"/>
        </w:rPr>
        <w:t>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eastAsia="zh-CN"/>
        </w:rPr>
        <w:t>在排污口下游约</w:t>
      </w:r>
      <w:r>
        <w:rPr>
          <w:rFonts w:hint="eastAsia"/>
          <w:color w:val="auto"/>
          <w:sz w:val="24"/>
          <w:highlight w:val="none"/>
          <w:lang w:val="en-US" w:eastAsia="zh-CN"/>
        </w:rPr>
        <w:t>200m范围内均出现不同程度超标，排污口下游200m至4.2km段未出现超标（含溢水桥监测断面处），均</w:t>
      </w:r>
      <w:r>
        <w:rPr>
          <w:rFonts w:hint="eastAsia"/>
          <w:color w:val="auto"/>
          <w:sz w:val="24"/>
          <w:highlight w:val="none"/>
        </w:rPr>
        <w:t>满足《地表水环境质量标准》（GB3838-2002）Ⅱ类标准要求</w:t>
      </w:r>
      <w:r>
        <w:rPr>
          <w:rFonts w:hint="eastAsia"/>
          <w:color w:val="auto"/>
          <w:sz w:val="24"/>
          <w:highlight w:val="none"/>
          <w:lang w:eastAsia="zh-CN"/>
        </w:rPr>
        <w:t>。</w:t>
      </w:r>
      <w:r>
        <w:rPr>
          <w:color w:val="auto"/>
          <w:sz w:val="24"/>
          <w:highlight w:val="none"/>
        </w:rPr>
        <w:t>因此应杜绝超标废水直接外排的现象发生，避免对纳污水体造成不良影响。</w:t>
      </w:r>
    </w:p>
    <w:p w14:paraId="7A7E9D78">
      <w:pPr>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污染源排放量核算</w:t>
      </w:r>
    </w:p>
    <w:p w14:paraId="202DD98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经核算，污染物排放信息表如下：</w:t>
      </w:r>
    </w:p>
    <w:p w14:paraId="29693136">
      <w:pPr>
        <w:adjustRightInd w:val="0"/>
        <w:snapToGrid w:val="0"/>
        <w:jc w:val="center"/>
        <w:rPr>
          <w:rFonts w:hint="default" w:ascii="Times New Roman" w:hAnsi="Times New Roman" w:cs="Times New Roman"/>
          <w:b/>
          <w:color w:val="auto"/>
          <w:szCs w:val="21"/>
          <w:highlight w:val="none"/>
        </w:rPr>
      </w:pPr>
    </w:p>
    <w:p w14:paraId="5D089F4E">
      <w:pPr>
        <w:adjustRightInd w:val="0"/>
        <w:snapToGrid w:val="0"/>
        <w:jc w:val="center"/>
        <w:rPr>
          <w:rFonts w:hint="default" w:ascii="Times New Roman" w:hAnsi="Times New Roman" w:cs="Times New Roman"/>
          <w:b/>
          <w:color w:val="auto"/>
          <w:szCs w:val="21"/>
          <w:highlight w:val="none"/>
        </w:rPr>
      </w:pPr>
    </w:p>
    <w:p w14:paraId="27F9A1C9">
      <w:pPr>
        <w:adjustRightInd w:val="0"/>
        <w:snapToGrid w:val="0"/>
        <w:jc w:val="center"/>
        <w:rPr>
          <w:rFonts w:hint="default" w:ascii="Times New Roman" w:hAnsi="Times New Roman" w:cs="Times New Roman"/>
          <w:b/>
          <w:color w:val="auto"/>
          <w:szCs w:val="21"/>
          <w:highlight w:val="none"/>
        </w:rPr>
      </w:pPr>
    </w:p>
    <w:p w14:paraId="6A8CAD0E">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w:t>
      </w:r>
      <w:r>
        <w:rPr>
          <w:rFonts w:hint="default" w:ascii="Times New Roman" w:hAnsi="Times New Roman" w:cs="Times New Roman"/>
          <w:b/>
          <w:color w:val="auto"/>
          <w:szCs w:val="21"/>
          <w:highlight w:val="none"/>
          <w:lang w:val="en-US" w:eastAsia="zh-CN"/>
        </w:rPr>
        <w:t>4.2-1</w:t>
      </w:r>
      <w:r>
        <w:rPr>
          <w:rFonts w:hint="eastAsia" w:cs="Times New Roman"/>
          <w:b/>
          <w:color w:val="auto"/>
          <w:szCs w:val="21"/>
          <w:highlight w:val="none"/>
          <w:lang w:val="en-US" w:eastAsia="zh-CN"/>
        </w:rPr>
        <w:t>5</w:t>
      </w:r>
      <w:r>
        <w:rPr>
          <w:rFonts w:hint="default" w:ascii="Times New Roman" w:hAnsi="Times New Roman" w:cs="Times New Roman"/>
          <w:b/>
          <w:color w:val="auto"/>
          <w:szCs w:val="21"/>
          <w:highlight w:val="none"/>
        </w:rPr>
        <w:t xml:space="preserve">  废水污染物排放信息表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1644"/>
        <w:gridCol w:w="1644"/>
        <w:gridCol w:w="1644"/>
        <w:gridCol w:w="1644"/>
      </w:tblGrid>
      <w:tr w14:paraId="508C0D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644" w:type="dxa"/>
            <w:tcBorders>
              <w:tl2br w:val="nil"/>
              <w:tr2bl w:val="nil"/>
            </w:tcBorders>
            <w:noWrap w:val="0"/>
            <w:vAlign w:val="center"/>
          </w:tcPr>
          <w:p w14:paraId="5E5FB07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排放口编号</w:t>
            </w:r>
          </w:p>
        </w:tc>
        <w:tc>
          <w:tcPr>
            <w:tcW w:w="1644" w:type="dxa"/>
            <w:tcBorders>
              <w:tl2br w:val="nil"/>
              <w:tr2bl w:val="nil"/>
            </w:tcBorders>
            <w:noWrap w:val="0"/>
            <w:vAlign w:val="center"/>
          </w:tcPr>
          <w:p w14:paraId="321221C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污染物种类</w:t>
            </w:r>
          </w:p>
        </w:tc>
        <w:tc>
          <w:tcPr>
            <w:tcW w:w="1644" w:type="dxa"/>
            <w:tcBorders>
              <w:tl2br w:val="nil"/>
              <w:tr2bl w:val="nil"/>
            </w:tcBorders>
            <w:noWrap w:val="0"/>
            <w:vAlign w:val="center"/>
          </w:tcPr>
          <w:p w14:paraId="192C0C1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排放浓度（mg/L）</w:t>
            </w:r>
          </w:p>
        </w:tc>
        <w:tc>
          <w:tcPr>
            <w:tcW w:w="1644" w:type="dxa"/>
            <w:tcBorders>
              <w:tl2br w:val="nil"/>
              <w:tr2bl w:val="nil"/>
            </w:tcBorders>
            <w:noWrap w:val="0"/>
            <w:vAlign w:val="center"/>
          </w:tcPr>
          <w:p w14:paraId="4715814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日排放量</w:t>
            </w:r>
          </w:p>
          <w:p w14:paraId="1CC5C92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（t/d）</w:t>
            </w:r>
          </w:p>
        </w:tc>
        <w:tc>
          <w:tcPr>
            <w:tcW w:w="1644" w:type="dxa"/>
            <w:tcBorders>
              <w:tl2br w:val="nil"/>
              <w:tr2bl w:val="nil"/>
            </w:tcBorders>
            <w:noWrap w:val="0"/>
            <w:vAlign w:val="center"/>
          </w:tcPr>
          <w:p w14:paraId="525E70B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年排放量</w:t>
            </w:r>
          </w:p>
          <w:p w14:paraId="0A2C090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（t/a）</w:t>
            </w:r>
          </w:p>
        </w:tc>
      </w:tr>
      <w:tr w14:paraId="6C05F0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1644" w:type="dxa"/>
            <w:vMerge w:val="restart"/>
            <w:tcBorders>
              <w:tl2br w:val="nil"/>
              <w:tr2bl w:val="nil"/>
            </w:tcBorders>
            <w:noWrap w:val="0"/>
            <w:vAlign w:val="center"/>
          </w:tcPr>
          <w:p w14:paraId="1F3131E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DW001</w:t>
            </w:r>
          </w:p>
        </w:tc>
        <w:tc>
          <w:tcPr>
            <w:tcW w:w="1644" w:type="dxa"/>
            <w:tcBorders>
              <w:tl2br w:val="nil"/>
              <w:tr2bl w:val="nil"/>
            </w:tcBorders>
            <w:noWrap w:val="0"/>
            <w:vAlign w:val="center"/>
          </w:tcPr>
          <w:p w14:paraId="01A7F6B2">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COD</w:t>
            </w:r>
          </w:p>
        </w:tc>
        <w:tc>
          <w:tcPr>
            <w:tcW w:w="1644" w:type="dxa"/>
            <w:tcBorders>
              <w:tl2br w:val="nil"/>
              <w:tr2bl w:val="nil"/>
            </w:tcBorders>
            <w:noWrap w:val="0"/>
            <w:vAlign w:val="center"/>
          </w:tcPr>
          <w:p w14:paraId="5B5C3B6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644" w:type="dxa"/>
            <w:tcBorders>
              <w:tl2br w:val="nil"/>
              <w:tr2bl w:val="nil"/>
            </w:tcBorders>
            <w:noWrap w:val="0"/>
            <w:vAlign w:val="center"/>
          </w:tcPr>
          <w:p w14:paraId="16DDF87D">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i w:val="0"/>
                <w:iCs w:val="0"/>
                <w:color w:val="auto"/>
                <w:kern w:val="0"/>
                <w:sz w:val="21"/>
                <w:szCs w:val="21"/>
                <w:highlight w:val="none"/>
                <w:u w:val="none"/>
                <w:lang w:val="en-US" w:eastAsia="zh-CN" w:bidi="ar"/>
              </w:rPr>
              <w:t>0.075</w:t>
            </w:r>
          </w:p>
        </w:tc>
        <w:tc>
          <w:tcPr>
            <w:tcW w:w="1644" w:type="dxa"/>
            <w:tcBorders>
              <w:tl2br w:val="nil"/>
              <w:tr2bl w:val="nil"/>
            </w:tcBorders>
            <w:noWrap w:val="0"/>
            <w:vAlign w:val="center"/>
          </w:tcPr>
          <w:p w14:paraId="0341D684">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i w:val="0"/>
                <w:iCs w:val="0"/>
                <w:color w:val="auto"/>
                <w:kern w:val="0"/>
                <w:sz w:val="21"/>
                <w:szCs w:val="21"/>
                <w:highlight w:val="none"/>
                <w:u w:val="none"/>
                <w:lang w:val="en-US" w:eastAsia="zh-CN" w:bidi="ar"/>
              </w:rPr>
              <w:t>27.37</w:t>
            </w:r>
          </w:p>
        </w:tc>
      </w:tr>
      <w:tr w14:paraId="7AEDB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644" w:type="dxa"/>
            <w:vMerge w:val="continue"/>
            <w:tcBorders>
              <w:tl2br w:val="nil"/>
              <w:tr2bl w:val="nil"/>
            </w:tcBorders>
            <w:noWrap w:val="0"/>
            <w:vAlign w:val="center"/>
          </w:tcPr>
          <w:p w14:paraId="32F695D7">
            <w:pPr>
              <w:jc w:val="center"/>
              <w:rPr>
                <w:rFonts w:hint="default" w:ascii="Times New Roman" w:hAnsi="Times New Roman" w:cs="Times New Roman"/>
                <w:color w:val="auto"/>
                <w:szCs w:val="21"/>
                <w:highlight w:val="none"/>
              </w:rPr>
            </w:pPr>
          </w:p>
        </w:tc>
        <w:tc>
          <w:tcPr>
            <w:tcW w:w="1644" w:type="dxa"/>
            <w:tcBorders>
              <w:tl2br w:val="nil"/>
              <w:tr2bl w:val="nil"/>
            </w:tcBorders>
            <w:noWrap w:val="0"/>
            <w:vAlign w:val="center"/>
          </w:tcPr>
          <w:p w14:paraId="46B1A008">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w:t>
            </w:r>
          </w:p>
        </w:tc>
        <w:tc>
          <w:tcPr>
            <w:tcW w:w="1644" w:type="dxa"/>
            <w:tcBorders>
              <w:tl2br w:val="nil"/>
              <w:tr2bl w:val="nil"/>
            </w:tcBorders>
            <w:noWrap w:val="0"/>
            <w:vAlign w:val="center"/>
          </w:tcPr>
          <w:p w14:paraId="7D5131F2">
            <w:pPr>
              <w:jc w:val="center"/>
              <w:rPr>
                <w:rFonts w:hint="eastAsia" w:ascii="Times New Roman" w:hAnsi="Times New Roman" w:eastAsia="宋体" w:cs="Times New Roman"/>
                <w:color w:val="auto"/>
                <w:szCs w:val="21"/>
                <w:highlight w:val="none"/>
                <w:lang w:eastAsia="zh-CN"/>
              </w:rPr>
            </w:pPr>
            <w:r>
              <w:rPr>
                <w:rFonts w:hint="eastAsia" w:cs="Times New Roman"/>
                <w:color w:val="auto"/>
                <w:highlight w:val="none"/>
                <w:lang w:val="en-US" w:eastAsia="zh-CN"/>
              </w:rPr>
              <w:t>8</w:t>
            </w:r>
          </w:p>
        </w:tc>
        <w:tc>
          <w:tcPr>
            <w:tcW w:w="1644" w:type="dxa"/>
            <w:tcBorders>
              <w:tl2br w:val="nil"/>
              <w:tr2bl w:val="nil"/>
            </w:tcBorders>
            <w:noWrap w:val="0"/>
            <w:vAlign w:val="center"/>
          </w:tcPr>
          <w:p w14:paraId="1E54EA4F">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i w:val="0"/>
                <w:iCs w:val="0"/>
                <w:color w:val="auto"/>
                <w:kern w:val="0"/>
                <w:sz w:val="21"/>
                <w:szCs w:val="21"/>
                <w:highlight w:val="none"/>
                <w:u w:val="none"/>
                <w:lang w:val="en-US" w:eastAsia="zh-CN" w:bidi="ar"/>
              </w:rPr>
              <w:t>0.007</w:t>
            </w:r>
          </w:p>
        </w:tc>
        <w:tc>
          <w:tcPr>
            <w:tcW w:w="1644" w:type="dxa"/>
            <w:tcBorders>
              <w:tl2br w:val="nil"/>
              <w:tr2bl w:val="nil"/>
            </w:tcBorders>
            <w:noWrap w:val="0"/>
            <w:vAlign w:val="center"/>
          </w:tcPr>
          <w:p w14:paraId="42AF157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i w:val="0"/>
                <w:iCs w:val="0"/>
                <w:color w:val="auto"/>
                <w:kern w:val="0"/>
                <w:sz w:val="21"/>
                <w:szCs w:val="21"/>
                <w:highlight w:val="none"/>
                <w:u w:val="none"/>
                <w:lang w:val="en-US" w:eastAsia="zh-CN" w:bidi="ar"/>
              </w:rPr>
              <w:t>2.73</w:t>
            </w:r>
          </w:p>
        </w:tc>
      </w:tr>
      <w:tr w14:paraId="26217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644" w:type="dxa"/>
            <w:vMerge w:val="continue"/>
            <w:tcBorders>
              <w:tl2br w:val="nil"/>
              <w:tr2bl w:val="nil"/>
            </w:tcBorders>
            <w:noWrap w:val="0"/>
            <w:vAlign w:val="center"/>
          </w:tcPr>
          <w:p w14:paraId="1A9963A5">
            <w:pPr>
              <w:jc w:val="center"/>
              <w:rPr>
                <w:rFonts w:hint="default" w:ascii="Times New Roman" w:hAnsi="Times New Roman" w:cs="Times New Roman"/>
                <w:color w:val="auto"/>
                <w:szCs w:val="21"/>
                <w:highlight w:val="none"/>
              </w:rPr>
            </w:pPr>
          </w:p>
        </w:tc>
        <w:tc>
          <w:tcPr>
            <w:tcW w:w="1644" w:type="dxa"/>
            <w:tcBorders>
              <w:tl2br w:val="nil"/>
              <w:tr2bl w:val="nil"/>
            </w:tcBorders>
            <w:noWrap w:val="0"/>
            <w:vAlign w:val="center"/>
          </w:tcPr>
          <w:p w14:paraId="6A60DD4B">
            <w:pPr>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TP</w:t>
            </w:r>
          </w:p>
        </w:tc>
        <w:tc>
          <w:tcPr>
            <w:tcW w:w="1644" w:type="dxa"/>
            <w:tcBorders>
              <w:tl2br w:val="nil"/>
              <w:tr2bl w:val="nil"/>
            </w:tcBorders>
            <w:noWrap w:val="0"/>
            <w:vAlign w:val="center"/>
          </w:tcPr>
          <w:p w14:paraId="159C2F79">
            <w:pPr>
              <w:jc w:val="center"/>
              <w:rPr>
                <w:rFonts w:hint="default" w:cs="Times New Roman"/>
                <w:color w:val="auto"/>
                <w:highlight w:val="none"/>
                <w:lang w:val="en-US" w:eastAsia="zh-CN"/>
              </w:rPr>
            </w:pPr>
            <w:r>
              <w:rPr>
                <w:rFonts w:hint="eastAsia" w:cs="Times New Roman"/>
                <w:color w:val="auto"/>
                <w:highlight w:val="none"/>
                <w:lang w:val="en-US" w:eastAsia="zh-CN"/>
              </w:rPr>
              <w:t>0.5</w:t>
            </w:r>
          </w:p>
        </w:tc>
        <w:tc>
          <w:tcPr>
            <w:tcW w:w="1644" w:type="dxa"/>
            <w:tcBorders>
              <w:tl2br w:val="nil"/>
              <w:tr2bl w:val="nil"/>
            </w:tcBorders>
            <w:noWrap w:val="0"/>
            <w:vAlign w:val="center"/>
          </w:tcPr>
          <w:p w14:paraId="585EDBE8">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0.00074</w:t>
            </w:r>
          </w:p>
        </w:tc>
        <w:tc>
          <w:tcPr>
            <w:tcW w:w="1644" w:type="dxa"/>
            <w:tcBorders>
              <w:tl2br w:val="nil"/>
              <w:tr2bl w:val="nil"/>
            </w:tcBorders>
            <w:noWrap w:val="0"/>
            <w:vAlign w:val="center"/>
          </w:tcPr>
          <w:p w14:paraId="0E63FDC1">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0.27</w:t>
            </w:r>
          </w:p>
        </w:tc>
      </w:tr>
    </w:tbl>
    <w:p w14:paraId="74A1D278">
      <w:pPr>
        <w:numPr>
          <w:ilvl w:val="0"/>
          <w:numId w:val="0"/>
        </w:numPr>
        <w:snapToGrid w:val="0"/>
        <w:spacing w:line="360" w:lineRule="auto"/>
        <w:rPr>
          <w:rFonts w:hint="default" w:ascii="Times New Roman" w:hAnsi="Times New Roman" w:cs="Times New Roman"/>
          <w:color w:val="auto"/>
          <w:highlight w:val="none"/>
          <w:lang w:val="en-US" w:eastAsia="zh-CN"/>
        </w:rPr>
        <w:sectPr>
          <w:pgSz w:w="11906" w:h="16838"/>
          <w:pgMar w:top="1304" w:right="1701" w:bottom="1304" w:left="1701" w:header="1304" w:footer="1304" w:gutter="0"/>
          <w:pgBorders>
            <w:top w:val="none" w:sz="0" w:space="0"/>
            <w:left w:val="none" w:sz="0" w:space="0"/>
            <w:bottom w:val="none" w:sz="0" w:space="0"/>
            <w:right w:val="none" w:sz="0" w:space="0"/>
          </w:pgBorders>
          <w:pgNumType w:fmt="decimal"/>
          <w:cols w:space="720" w:num="1"/>
          <w:docGrid w:linePitch="312" w:charSpace="0"/>
        </w:sectPr>
      </w:pPr>
    </w:p>
    <w:p w14:paraId="15C1BA5A">
      <w:pPr>
        <w:pStyle w:val="3"/>
        <w:numPr>
          <w:ilvl w:val="0"/>
          <w:numId w:val="0"/>
        </w:numPr>
        <w:tabs>
          <w:tab w:val="left" w:pos="0"/>
        </w:tabs>
        <w:bidi w:val="0"/>
        <w:ind w:leftChars="0"/>
        <w:jc w:val="center"/>
        <w:rPr>
          <w:rFonts w:hint="default" w:ascii="Times New Roman" w:hAnsi="Times New Roman" w:eastAsia="黑体" w:cs="Times New Roman"/>
          <w:b/>
          <w:bCs/>
          <w:color w:val="auto"/>
          <w:kern w:val="44"/>
          <w:sz w:val="30"/>
          <w:szCs w:val="30"/>
          <w:highlight w:val="none"/>
          <w:lang w:val="en-US" w:eastAsia="zh-CN" w:bidi="ar-SA"/>
        </w:rPr>
      </w:pPr>
      <w:bookmarkStart w:id="140" w:name="_Toc505158281"/>
      <w:bookmarkEnd w:id="140"/>
      <w:bookmarkStart w:id="141" w:name="_Toc11508"/>
      <w:r>
        <w:rPr>
          <w:rFonts w:hint="default" w:ascii="Times New Roman" w:hAnsi="Times New Roman" w:eastAsia="黑体" w:cs="Times New Roman"/>
          <w:b/>
          <w:bCs/>
          <w:color w:val="auto"/>
          <w:kern w:val="44"/>
          <w:sz w:val="30"/>
          <w:szCs w:val="30"/>
          <w:highlight w:val="none"/>
          <w:lang w:val="en-US" w:eastAsia="zh-CN" w:bidi="ar-SA"/>
        </w:rPr>
        <w:t>5 地表水环境保护措施</w:t>
      </w:r>
      <w:bookmarkEnd w:id="141"/>
    </w:p>
    <w:p w14:paraId="7C1D4020">
      <w:pPr>
        <w:pStyle w:val="4"/>
        <w:keepNext/>
        <w:keepLines/>
        <w:tabs>
          <w:tab w:val="left" w:pos="210"/>
        </w:tabs>
        <w:spacing w:before="200" w:beforeAutospacing="0" w:after="200" w:afterAutospacing="0" w:line="360" w:lineRule="auto"/>
        <w:jc w:val="both"/>
        <w:rPr>
          <w:rFonts w:hint="eastAsia" w:ascii="Times New Roman" w:hAnsi="Times New Roman" w:cs="Times New Roman"/>
          <w:color w:val="auto"/>
          <w:kern w:val="2"/>
          <w:sz w:val="24"/>
          <w:szCs w:val="32"/>
          <w:highlight w:val="none"/>
          <w:lang w:val="en-US" w:eastAsia="zh-CN"/>
        </w:rPr>
      </w:pPr>
      <w:bookmarkStart w:id="142" w:name="_Toc31689"/>
      <w:r>
        <w:rPr>
          <w:rFonts w:hint="default" w:ascii="Times New Roman" w:hAnsi="Times New Roman" w:eastAsia="宋体" w:cs="Times New Roman"/>
          <w:color w:val="auto"/>
          <w:kern w:val="2"/>
          <w:sz w:val="24"/>
          <w:szCs w:val="32"/>
          <w:highlight w:val="none"/>
          <w:lang w:val="en-US" w:eastAsia="zh-CN"/>
        </w:rPr>
        <w:t>5.1</w:t>
      </w:r>
      <w:r>
        <w:rPr>
          <w:rFonts w:hint="eastAsia" w:ascii="Times New Roman" w:hAnsi="Times New Roman" w:cs="Times New Roman"/>
          <w:color w:val="auto"/>
          <w:kern w:val="2"/>
          <w:sz w:val="24"/>
          <w:szCs w:val="32"/>
          <w:highlight w:val="none"/>
          <w:lang w:val="en-US" w:eastAsia="zh-CN"/>
        </w:rPr>
        <w:t>施工期地表水环境保护措施</w:t>
      </w:r>
      <w:bookmarkEnd w:id="142"/>
    </w:p>
    <w:p w14:paraId="7EDA4B02">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eastAsia" w:cs="Times New Roman"/>
          <w:bCs/>
          <w:color w:val="auto"/>
          <w:spacing w:val="-10"/>
          <w:sz w:val="24"/>
          <w:szCs w:val="24"/>
          <w:highlight w:val="none"/>
          <w:lang w:val="en-US" w:eastAsia="zh-CN"/>
        </w:rPr>
        <w:t>根据前文分析，</w:t>
      </w:r>
      <w:r>
        <w:rPr>
          <w:rFonts w:hint="default" w:ascii="Times New Roman" w:hAnsi="Times New Roman" w:eastAsia="宋体" w:cs="Times New Roman"/>
          <w:bCs/>
          <w:color w:val="auto"/>
          <w:spacing w:val="-10"/>
          <w:sz w:val="24"/>
          <w:szCs w:val="24"/>
          <w:highlight w:val="none"/>
          <w:lang w:val="en-US" w:eastAsia="zh-CN"/>
        </w:rPr>
        <w:t>项目施工期废水为生产废水和施工人员生活污水。</w:t>
      </w:r>
    </w:p>
    <w:p w14:paraId="5CF55968">
      <w:pPr>
        <w:snapToGrid w:val="0"/>
        <w:spacing w:line="360" w:lineRule="auto"/>
        <w:ind w:firstLine="440" w:firstLineChars="20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（1）施工废水</w:t>
      </w:r>
      <w:r>
        <w:rPr>
          <w:rFonts w:hint="eastAsia"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施工过程会产生</w:t>
      </w:r>
      <w:r>
        <w:rPr>
          <w:rFonts w:hint="eastAsia" w:cs="Times New Roman"/>
          <w:bCs/>
          <w:color w:val="auto"/>
          <w:spacing w:val="-10"/>
          <w:sz w:val="24"/>
          <w:szCs w:val="24"/>
          <w:highlight w:val="none"/>
          <w:lang w:val="en-US" w:eastAsia="zh-CN"/>
        </w:rPr>
        <w:t>的</w:t>
      </w:r>
      <w:r>
        <w:rPr>
          <w:rFonts w:hint="default" w:ascii="Times New Roman" w:hAnsi="Times New Roman" w:eastAsia="宋体" w:cs="Times New Roman"/>
          <w:bCs/>
          <w:color w:val="auto"/>
          <w:spacing w:val="-10"/>
          <w:sz w:val="24"/>
          <w:szCs w:val="24"/>
          <w:highlight w:val="none"/>
          <w:lang w:val="en-US" w:eastAsia="zh-CN"/>
        </w:rPr>
        <w:t>冲洗废水</w:t>
      </w:r>
      <w:r>
        <w:rPr>
          <w:rFonts w:hint="eastAsia" w:cs="Times New Roman"/>
          <w:bCs/>
          <w:color w:val="auto"/>
          <w:spacing w:val="-10"/>
          <w:sz w:val="24"/>
          <w:szCs w:val="24"/>
          <w:highlight w:val="none"/>
          <w:lang w:val="en-US" w:eastAsia="zh-CN"/>
        </w:rPr>
        <w:t>经</w:t>
      </w:r>
      <w:r>
        <w:rPr>
          <w:rFonts w:hint="default" w:ascii="Times New Roman" w:hAnsi="Times New Roman" w:eastAsia="宋体" w:cs="Times New Roman"/>
          <w:bCs/>
          <w:color w:val="auto"/>
          <w:spacing w:val="-10"/>
          <w:sz w:val="24"/>
          <w:szCs w:val="24"/>
          <w:highlight w:val="none"/>
          <w:lang w:val="en-US" w:eastAsia="zh-CN"/>
        </w:rPr>
        <w:t>场地沉淀池沉淀后</w:t>
      </w:r>
      <w:r>
        <w:rPr>
          <w:rFonts w:hint="eastAsia" w:cs="Times New Roman"/>
          <w:bCs/>
          <w:color w:val="auto"/>
          <w:spacing w:val="-10"/>
          <w:sz w:val="24"/>
          <w:szCs w:val="24"/>
          <w:highlight w:val="none"/>
          <w:lang w:val="en-US" w:eastAsia="zh-CN"/>
        </w:rPr>
        <w:t>全部回用；</w:t>
      </w:r>
    </w:p>
    <w:p w14:paraId="2EA765C2">
      <w:pPr>
        <w:snapToGrid w:val="0"/>
        <w:spacing w:line="360" w:lineRule="auto"/>
        <w:ind w:left="479" w:leftChars="228" w:firstLine="0" w:firstLineChars="0"/>
        <w:jc w:val="left"/>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（2）生活污水</w:t>
      </w:r>
      <w:r>
        <w:rPr>
          <w:rFonts w:hint="eastAsia" w:cs="Times New Roman"/>
          <w:bCs/>
          <w:color w:val="auto"/>
          <w:spacing w:val="-10"/>
          <w:sz w:val="24"/>
          <w:szCs w:val="24"/>
          <w:highlight w:val="none"/>
          <w:lang w:val="en-US" w:eastAsia="zh-CN"/>
        </w:rPr>
        <w:t>：施</w:t>
      </w:r>
      <w:r>
        <w:rPr>
          <w:rFonts w:hint="default" w:ascii="Times New Roman" w:hAnsi="Times New Roman" w:eastAsia="宋体" w:cs="Times New Roman"/>
          <w:bCs/>
          <w:color w:val="auto"/>
          <w:spacing w:val="-10"/>
          <w:sz w:val="24"/>
          <w:szCs w:val="24"/>
          <w:highlight w:val="none"/>
          <w:lang w:val="en-US" w:eastAsia="zh-CN"/>
        </w:rPr>
        <w:t>工人员所产生的生活污水</w:t>
      </w:r>
      <w:r>
        <w:rPr>
          <w:rFonts w:hint="eastAsia" w:cs="Times New Roman"/>
          <w:bCs/>
          <w:color w:val="auto"/>
          <w:spacing w:val="-10"/>
          <w:sz w:val="24"/>
          <w:szCs w:val="24"/>
          <w:highlight w:val="none"/>
          <w:lang w:val="en-US" w:eastAsia="zh-CN"/>
        </w:rPr>
        <w:t>经</w:t>
      </w:r>
      <w:r>
        <w:rPr>
          <w:rFonts w:hint="default" w:ascii="Times New Roman" w:hAnsi="Times New Roman" w:eastAsia="宋体" w:cs="Times New Roman"/>
          <w:bCs/>
          <w:color w:val="auto"/>
          <w:spacing w:val="-10"/>
          <w:sz w:val="24"/>
          <w:szCs w:val="24"/>
          <w:highlight w:val="none"/>
          <w:lang w:val="en-US" w:eastAsia="zh-CN"/>
        </w:rPr>
        <w:t>化粪池处理后综合利用。</w:t>
      </w:r>
    </w:p>
    <w:p w14:paraId="6E60866E">
      <w:pPr>
        <w:snapToGrid w:val="0"/>
        <w:spacing w:line="360" w:lineRule="auto"/>
        <w:ind w:left="479" w:leftChars="228" w:firstLine="0" w:firstLineChars="0"/>
        <w:jc w:val="left"/>
        <w:rPr>
          <w:rFonts w:hint="default"/>
          <w:color w:val="auto"/>
          <w:highlight w:val="none"/>
          <w:lang w:val="en-US" w:eastAsia="zh-CN"/>
        </w:rPr>
      </w:pPr>
      <w:r>
        <w:rPr>
          <w:rFonts w:hint="eastAsia" w:cs="Times New Roman"/>
          <w:bCs/>
          <w:color w:val="auto"/>
          <w:spacing w:val="-10"/>
          <w:sz w:val="24"/>
          <w:szCs w:val="24"/>
          <w:highlight w:val="none"/>
          <w:lang w:val="en-US" w:eastAsia="zh-CN"/>
        </w:rPr>
        <w:t>综上，</w:t>
      </w:r>
      <w:r>
        <w:rPr>
          <w:rFonts w:hint="default" w:ascii="Times New Roman" w:hAnsi="Times New Roman" w:eastAsia="宋体" w:cs="Times New Roman"/>
          <w:bCs/>
          <w:color w:val="auto"/>
          <w:spacing w:val="-10"/>
          <w:sz w:val="24"/>
          <w:szCs w:val="24"/>
          <w:highlight w:val="none"/>
          <w:lang w:val="en-US" w:eastAsia="zh-CN"/>
        </w:rPr>
        <w:t>在采取以上措施后，施工期</w:t>
      </w:r>
      <w:r>
        <w:rPr>
          <w:rFonts w:hint="eastAsia" w:cs="Times New Roman"/>
          <w:bCs/>
          <w:color w:val="auto"/>
          <w:spacing w:val="-10"/>
          <w:sz w:val="24"/>
          <w:szCs w:val="24"/>
          <w:highlight w:val="none"/>
          <w:lang w:val="en-US" w:eastAsia="zh-CN"/>
        </w:rPr>
        <w:t>废</w:t>
      </w:r>
      <w:r>
        <w:rPr>
          <w:rFonts w:hint="default" w:ascii="Times New Roman" w:hAnsi="Times New Roman" w:eastAsia="宋体" w:cs="Times New Roman"/>
          <w:bCs/>
          <w:color w:val="auto"/>
          <w:spacing w:val="-10"/>
          <w:sz w:val="24"/>
          <w:szCs w:val="24"/>
          <w:highlight w:val="none"/>
          <w:lang w:val="en-US" w:eastAsia="zh-CN"/>
        </w:rPr>
        <w:t>污水对周</w:t>
      </w:r>
      <w:r>
        <w:rPr>
          <w:rFonts w:hint="eastAsia" w:cs="Times New Roman"/>
          <w:bCs/>
          <w:color w:val="auto"/>
          <w:spacing w:val="-10"/>
          <w:sz w:val="24"/>
          <w:szCs w:val="24"/>
          <w:highlight w:val="none"/>
          <w:lang w:val="en-US" w:eastAsia="zh-CN"/>
        </w:rPr>
        <w:t>边</w:t>
      </w:r>
      <w:r>
        <w:rPr>
          <w:rFonts w:hint="default" w:ascii="Times New Roman" w:hAnsi="Times New Roman" w:eastAsia="宋体" w:cs="Times New Roman"/>
          <w:bCs/>
          <w:color w:val="auto"/>
          <w:spacing w:val="-10"/>
          <w:sz w:val="24"/>
          <w:szCs w:val="24"/>
          <w:highlight w:val="none"/>
          <w:lang w:val="en-US" w:eastAsia="zh-CN"/>
        </w:rPr>
        <w:t>水环境</w:t>
      </w:r>
      <w:r>
        <w:rPr>
          <w:rFonts w:hint="eastAsia" w:cs="Times New Roman"/>
          <w:bCs/>
          <w:color w:val="auto"/>
          <w:spacing w:val="-10"/>
          <w:sz w:val="24"/>
          <w:szCs w:val="24"/>
          <w:highlight w:val="none"/>
          <w:lang w:val="en-US" w:eastAsia="zh-CN"/>
        </w:rPr>
        <w:t>基本</w:t>
      </w:r>
      <w:r>
        <w:rPr>
          <w:rFonts w:hint="default" w:ascii="Times New Roman" w:hAnsi="Times New Roman" w:eastAsia="宋体" w:cs="Times New Roman"/>
          <w:bCs/>
          <w:color w:val="auto"/>
          <w:spacing w:val="-10"/>
          <w:sz w:val="24"/>
          <w:szCs w:val="24"/>
          <w:highlight w:val="none"/>
          <w:lang w:val="en-US" w:eastAsia="zh-CN"/>
        </w:rPr>
        <w:t>不会造成影响。</w:t>
      </w:r>
    </w:p>
    <w:p w14:paraId="7A70F5B1">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43" w:name="_Toc26555"/>
      <w:r>
        <w:rPr>
          <w:rFonts w:hint="eastAsia" w:ascii="Times New Roman" w:hAnsi="Times New Roman" w:cs="Times New Roman"/>
          <w:color w:val="auto"/>
          <w:kern w:val="2"/>
          <w:sz w:val="24"/>
          <w:szCs w:val="32"/>
          <w:highlight w:val="none"/>
          <w:lang w:val="en-US" w:eastAsia="zh-CN"/>
        </w:rPr>
        <w:t>5.2</w:t>
      </w:r>
      <w:r>
        <w:rPr>
          <w:rFonts w:hint="default" w:ascii="Times New Roman" w:hAnsi="Times New Roman" w:eastAsia="宋体" w:cs="Times New Roman"/>
          <w:color w:val="auto"/>
          <w:kern w:val="2"/>
          <w:sz w:val="24"/>
          <w:szCs w:val="32"/>
          <w:highlight w:val="none"/>
          <w:lang w:val="en-US" w:eastAsia="zh-CN"/>
        </w:rPr>
        <w:t>运营期地表水环境保护措施</w:t>
      </w:r>
      <w:bookmarkEnd w:id="143"/>
    </w:p>
    <w:p w14:paraId="015B5689">
      <w:pPr>
        <w:pStyle w:val="6"/>
        <w:numPr>
          <w:ilvl w:val="0"/>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44" w:name="_Toc29891"/>
      <w:r>
        <w:rPr>
          <w:rFonts w:hint="eastAsia" w:ascii="Times New Roman" w:hAnsi="Times New Roman" w:cs="Times New Roman"/>
          <w:color w:val="auto"/>
          <w:sz w:val="24"/>
          <w:szCs w:val="40"/>
          <w:highlight w:val="none"/>
          <w:lang w:val="en-US" w:eastAsia="zh-CN"/>
        </w:rPr>
        <w:t>5.</w:t>
      </w:r>
      <w:r>
        <w:rPr>
          <w:rFonts w:hint="eastAsia" w:cs="Times New Roman"/>
          <w:color w:val="auto"/>
          <w:sz w:val="24"/>
          <w:szCs w:val="40"/>
          <w:highlight w:val="none"/>
          <w:lang w:val="en-US" w:eastAsia="zh-CN"/>
        </w:rPr>
        <w:t>2</w:t>
      </w:r>
      <w:r>
        <w:rPr>
          <w:rFonts w:hint="eastAsia" w:ascii="Times New Roman" w:hAnsi="Times New Roman" w:cs="Times New Roman"/>
          <w:color w:val="auto"/>
          <w:sz w:val="24"/>
          <w:szCs w:val="40"/>
          <w:highlight w:val="none"/>
          <w:lang w:val="en-US" w:eastAsia="zh-CN"/>
        </w:rPr>
        <w:t>.1水质特性分析</w:t>
      </w:r>
      <w:bookmarkEnd w:id="144"/>
    </w:p>
    <w:p w14:paraId="6717C062">
      <w:pPr>
        <w:pStyle w:val="2"/>
        <w:spacing w:before="0" w:after="0" w:line="360" w:lineRule="auto"/>
        <w:ind w:right="0" w:firstLine="480" w:firstLineChars="200"/>
        <w:rPr>
          <w:color w:val="auto"/>
          <w:sz w:val="24"/>
          <w:szCs w:val="28"/>
          <w:highlight w:val="none"/>
        </w:rPr>
      </w:pPr>
      <w:r>
        <w:rPr>
          <w:rFonts w:hint="eastAsia"/>
          <w:color w:val="auto"/>
          <w:sz w:val="24"/>
          <w:szCs w:val="28"/>
          <w:highlight w:val="none"/>
          <w:lang w:val="en-US" w:eastAsia="zh-CN"/>
        </w:rPr>
        <w:t>根据项目设计资料，</w:t>
      </w:r>
      <w:r>
        <w:rPr>
          <w:rFonts w:hint="eastAsia"/>
          <w:color w:val="auto"/>
          <w:sz w:val="24"/>
          <w:szCs w:val="28"/>
          <w:highlight w:val="none"/>
        </w:rPr>
        <w:t>本项目进水水质配比指标列表如下：</w:t>
      </w:r>
    </w:p>
    <w:p w14:paraId="05F7E7E9">
      <w:pPr>
        <w:pStyle w:val="2"/>
        <w:spacing w:after="0"/>
        <w:jc w:val="center"/>
        <w:rPr>
          <w:rFonts w:ascii="Times New Roman" w:hAnsi="Times New Roman" w:cs="Times New Roman"/>
          <w:b/>
          <w:bCs/>
          <w:color w:val="auto"/>
          <w:highlight w:val="none"/>
        </w:rPr>
      </w:pPr>
      <w:r>
        <w:rPr>
          <w:rFonts w:ascii="Times New Roman" w:hAnsi="Times New Roman" w:cs="Times New Roman"/>
          <w:b/>
          <w:bCs/>
          <w:color w:val="auto"/>
          <w:kern w:val="2"/>
          <w:sz w:val="21"/>
          <w:szCs w:val="24"/>
          <w:highlight w:val="none"/>
        </w:rPr>
        <w:t>表</w:t>
      </w:r>
      <w:r>
        <w:rPr>
          <w:rFonts w:hint="eastAsia" w:ascii="Times New Roman" w:hAnsi="Times New Roman" w:cs="Times New Roman"/>
          <w:b/>
          <w:bCs/>
          <w:color w:val="auto"/>
          <w:kern w:val="2"/>
          <w:sz w:val="21"/>
          <w:szCs w:val="24"/>
          <w:highlight w:val="none"/>
        </w:rPr>
        <w:t>5.</w:t>
      </w:r>
      <w:r>
        <w:rPr>
          <w:rFonts w:hint="eastAsia" w:cs="Times New Roman"/>
          <w:b/>
          <w:bCs/>
          <w:color w:val="auto"/>
          <w:kern w:val="2"/>
          <w:sz w:val="21"/>
          <w:szCs w:val="24"/>
          <w:highlight w:val="none"/>
          <w:lang w:val="en-US" w:eastAsia="zh-CN"/>
        </w:rPr>
        <w:t>2</w:t>
      </w:r>
      <w:r>
        <w:rPr>
          <w:rFonts w:hint="eastAsia" w:ascii="Times New Roman" w:hAnsi="Times New Roman" w:cs="Times New Roman"/>
          <w:b/>
          <w:bCs/>
          <w:color w:val="auto"/>
          <w:kern w:val="2"/>
          <w:sz w:val="21"/>
          <w:szCs w:val="24"/>
          <w:highlight w:val="none"/>
        </w:rPr>
        <w:t>-1</w:t>
      </w:r>
      <w:r>
        <w:rPr>
          <w:rFonts w:ascii="Times New Roman" w:hAnsi="Times New Roman" w:cs="Times New Roman"/>
          <w:b/>
          <w:bCs/>
          <w:color w:val="auto"/>
          <w:kern w:val="2"/>
          <w:sz w:val="21"/>
          <w:szCs w:val="24"/>
          <w:highlight w:val="none"/>
        </w:rPr>
        <w:t xml:space="preserve"> </w:t>
      </w:r>
      <w:r>
        <w:rPr>
          <w:rFonts w:hint="eastAsia" w:ascii="Times New Roman" w:hAnsi="Times New Roman" w:cs="Times New Roman"/>
          <w:b/>
          <w:bCs/>
          <w:color w:val="auto"/>
          <w:kern w:val="2"/>
          <w:sz w:val="21"/>
          <w:szCs w:val="24"/>
          <w:highlight w:val="none"/>
          <w:lang w:val="en-US" w:eastAsia="zh-CN"/>
        </w:rPr>
        <w:t xml:space="preserve"> </w:t>
      </w:r>
      <w:r>
        <w:rPr>
          <w:rFonts w:ascii="Times New Roman" w:hAnsi="Times New Roman" w:cs="Times New Roman"/>
          <w:b/>
          <w:bCs/>
          <w:color w:val="auto"/>
          <w:kern w:val="2"/>
          <w:sz w:val="21"/>
          <w:szCs w:val="24"/>
          <w:highlight w:val="none"/>
        </w:rPr>
        <w:t>项目进水水质</w:t>
      </w:r>
      <w:r>
        <w:rPr>
          <w:rFonts w:hint="eastAsia" w:ascii="Times New Roman" w:hAnsi="Times New Roman" w:cs="Times New Roman"/>
          <w:b/>
          <w:bCs/>
          <w:color w:val="auto"/>
          <w:kern w:val="2"/>
          <w:sz w:val="21"/>
          <w:szCs w:val="24"/>
          <w:highlight w:val="none"/>
        </w:rPr>
        <w:t>特征</w:t>
      </w:r>
    </w:p>
    <w:tbl>
      <w:tblPr>
        <w:tblStyle w:val="31"/>
        <w:tblW w:w="451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3039"/>
        <w:gridCol w:w="2805"/>
      </w:tblGrid>
      <w:tr w14:paraId="42127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197" w:type="pct"/>
            <w:tcBorders>
              <w:tl2br w:val="nil"/>
              <w:tr2bl w:val="nil"/>
            </w:tcBorders>
            <w:noWrap/>
            <w:vAlign w:val="center"/>
          </w:tcPr>
          <w:p w14:paraId="20613E36">
            <w:pPr>
              <w:pStyle w:val="2"/>
              <w:widowControl w:val="0"/>
              <w:snapToGrid/>
              <w:spacing w:beforeLines="30" w:afterLines="30" w:line="240" w:lineRule="auto"/>
              <w:ind w:right="0"/>
              <w:jc w:val="center"/>
              <w:rPr>
                <w:rFonts w:ascii="Times New Roman" w:hAnsi="Times New Roman" w:cs="Times New Roman"/>
                <w:b/>
                <w:bCs/>
                <w:color w:val="auto"/>
                <w:sz w:val="21"/>
                <w:szCs w:val="22"/>
                <w:highlight w:val="none"/>
              </w:rPr>
            </w:pPr>
            <w:r>
              <w:rPr>
                <w:rFonts w:hint="eastAsia" w:ascii="Times New Roman" w:hAnsi="Times New Roman" w:cs="Times New Roman"/>
                <w:b/>
                <w:bCs/>
                <w:color w:val="auto"/>
                <w:sz w:val="21"/>
                <w:szCs w:val="22"/>
                <w:highlight w:val="none"/>
              </w:rPr>
              <w:t>类别</w:t>
            </w:r>
          </w:p>
        </w:tc>
        <w:tc>
          <w:tcPr>
            <w:tcW w:w="1977" w:type="pct"/>
            <w:tcBorders>
              <w:tl2br w:val="nil"/>
              <w:tr2bl w:val="nil"/>
            </w:tcBorders>
            <w:noWrap/>
            <w:vAlign w:val="center"/>
          </w:tcPr>
          <w:p w14:paraId="43C93EB4">
            <w:pPr>
              <w:pStyle w:val="2"/>
              <w:widowControl w:val="0"/>
              <w:snapToGrid/>
              <w:spacing w:beforeLines="30" w:afterLines="30" w:line="240" w:lineRule="auto"/>
              <w:ind w:right="0"/>
              <w:jc w:val="center"/>
              <w:rPr>
                <w:rFonts w:ascii="Times New Roman" w:hAnsi="Times New Roman" w:cs="Times New Roman"/>
                <w:b/>
                <w:bCs/>
                <w:color w:val="auto"/>
                <w:sz w:val="21"/>
                <w:szCs w:val="22"/>
                <w:highlight w:val="none"/>
              </w:rPr>
            </w:pPr>
            <w:r>
              <w:rPr>
                <w:rFonts w:hint="eastAsia" w:ascii="Times New Roman" w:hAnsi="Times New Roman" w:cs="Times New Roman"/>
                <w:b/>
                <w:bCs/>
                <w:color w:val="auto"/>
                <w:sz w:val="21"/>
                <w:szCs w:val="22"/>
                <w:highlight w:val="none"/>
              </w:rPr>
              <w:t>项目</w:t>
            </w:r>
          </w:p>
        </w:tc>
        <w:tc>
          <w:tcPr>
            <w:tcW w:w="1825" w:type="pct"/>
            <w:tcBorders>
              <w:tl2br w:val="nil"/>
              <w:tr2bl w:val="nil"/>
            </w:tcBorders>
            <w:noWrap/>
            <w:vAlign w:val="center"/>
          </w:tcPr>
          <w:p w14:paraId="1FFA9E2B">
            <w:pPr>
              <w:pStyle w:val="2"/>
              <w:widowControl w:val="0"/>
              <w:snapToGrid/>
              <w:spacing w:beforeLines="30" w:afterLines="30" w:line="240" w:lineRule="auto"/>
              <w:ind w:right="0"/>
              <w:jc w:val="center"/>
              <w:rPr>
                <w:rFonts w:ascii="Times New Roman" w:hAnsi="Times New Roman" w:cs="Times New Roman"/>
                <w:b/>
                <w:bCs/>
                <w:color w:val="auto"/>
                <w:sz w:val="21"/>
                <w:szCs w:val="22"/>
                <w:highlight w:val="none"/>
              </w:rPr>
            </w:pPr>
            <w:r>
              <w:rPr>
                <w:rFonts w:ascii="Times New Roman" w:hAnsi="Times New Roman" w:cs="Times New Roman"/>
                <w:b/>
                <w:bCs/>
                <w:color w:val="auto"/>
                <w:sz w:val="21"/>
                <w:szCs w:val="22"/>
                <w:highlight w:val="none"/>
              </w:rPr>
              <w:t>BOD</w:t>
            </w:r>
            <w:r>
              <w:rPr>
                <w:rFonts w:ascii="Times New Roman" w:hAnsi="Times New Roman" w:cs="Times New Roman"/>
                <w:b/>
                <w:bCs/>
                <w:color w:val="auto"/>
                <w:sz w:val="21"/>
                <w:szCs w:val="22"/>
                <w:highlight w:val="none"/>
                <w:vertAlign w:val="subscript"/>
              </w:rPr>
              <w:t>5</w:t>
            </w:r>
            <w:r>
              <w:rPr>
                <w:rFonts w:hint="eastAsia" w:ascii="Times New Roman" w:hAnsi="Times New Roman" w:cs="Times New Roman"/>
                <w:b/>
                <w:bCs/>
                <w:color w:val="auto"/>
                <w:sz w:val="21"/>
                <w:szCs w:val="22"/>
                <w:highlight w:val="none"/>
              </w:rPr>
              <w:t>/</w:t>
            </w:r>
            <w:r>
              <w:rPr>
                <w:rFonts w:ascii="Times New Roman" w:hAnsi="Times New Roman" w:cs="Times New Roman"/>
                <w:b/>
                <w:bCs/>
                <w:color w:val="auto"/>
                <w:sz w:val="21"/>
                <w:szCs w:val="22"/>
                <w:highlight w:val="none"/>
              </w:rPr>
              <w:t>COD</w:t>
            </w:r>
          </w:p>
        </w:tc>
      </w:tr>
      <w:tr w14:paraId="0F1A4F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197" w:type="pct"/>
            <w:vMerge w:val="restart"/>
            <w:tcBorders>
              <w:tl2br w:val="nil"/>
              <w:tr2bl w:val="nil"/>
            </w:tcBorders>
            <w:noWrap/>
            <w:vAlign w:val="center"/>
          </w:tcPr>
          <w:p w14:paraId="604BE5D3">
            <w:pPr>
              <w:pStyle w:val="2"/>
              <w:widowControl w:val="0"/>
              <w:snapToGrid/>
              <w:spacing w:beforeLines="30" w:afterLines="30" w:line="240" w:lineRule="auto"/>
              <w:ind w:right="0"/>
              <w:jc w:val="center"/>
              <w:rPr>
                <w:rFonts w:ascii="Times New Roman" w:hAnsi="Times New Roman" w:cs="Times New Roman"/>
                <w:color w:val="auto"/>
                <w:sz w:val="21"/>
                <w:szCs w:val="22"/>
                <w:highlight w:val="none"/>
              </w:rPr>
            </w:pPr>
            <w:r>
              <w:rPr>
                <w:rFonts w:hint="eastAsia" w:ascii="Times New Roman" w:hAnsi="Times New Roman" w:cs="Times New Roman"/>
                <w:color w:val="auto"/>
                <w:sz w:val="21"/>
                <w:szCs w:val="22"/>
                <w:highlight w:val="none"/>
              </w:rPr>
              <w:t>进水</w:t>
            </w:r>
          </w:p>
        </w:tc>
        <w:tc>
          <w:tcPr>
            <w:tcW w:w="1977" w:type="pct"/>
            <w:tcBorders>
              <w:tl2br w:val="nil"/>
              <w:tr2bl w:val="nil"/>
            </w:tcBorders>
            <w:noWrap/>
            <w:vAlign w:val="center"/>
          </w:tcPr>
          <w:p w14:paraId="137ECA3B">
            <w:pPr>
              <w:pStyle w:val="2"/>
              <w:widowControl w:val="0"/>
              <w:snapToGrid/>
              <w:spacing w:beforeLines="30" w:afterLines="30" w:line="240" w:lineRule="auto"/>
              <w:ind w:right="0"/>
              <w:jc w:val="center"/>
              <w:rPr>
                <w:rFonts w:ascii="Times New Roman" w:hAnsi="Times New Roman" w:cs="Times New Roman"/>
                <w:color w:val="auto"/>
                <w:sz w:val="21"/>
                <w:szCs w:val="22"/>
                <w:highlight w:val="none"/>
              </w:rPr>
            </w:pPr>
            <w:r>
              <w:rPr>
                <w:rFonts w:hint="eastAsia" w:ascii="Times New Roman" w:hAnsi="Times New Roman" w:cs="Times New Roman"/>
                <w:color w:val="auto"/>
                <w:sz w:val="21"/>
                <w:szCs w:val="22"/>
                <w:highlight w:val="none"/>
              </w:rPr>
              <w:t>指标</w:t>
            </w:r>
          </w:p>
        </w:tc>
        <w:tc>
          <w:tcPr>
            <w:tcW w:w="1825" w:type="pct"/>
            <w:tcBorders>
              <w:tl2br w:val="nil"/>
              <w:tr2bl w:val="nil"/>
            </w:tcBorders>
            <w:noWrap/>
            <w:vAlign w:val="center"/>
          </w:tcPr>
          <w:p w14:paraId="6904FD88">
            <w:pPr>
              <w:pStyle w:val="2"/>
              <w:widowControl w:val="0"/>
              <w:snapToGrid/>
              <w:spacing w:beforeLines="30" w:afterLines="30" w:line="240" w:lineRule="auto"/>
              <w:ind w:right="0"/>
              <w:jc w:val="center"/>
              <w:rPr>
                <w:rFonts w:hint="eastAsia" w:ascii="Times New Roman" w:hAnsi="Times New Roman" w:eastAsia="宋体" w:cs="Times New Roman"/>
                <w:color w:val="auto"/>
                <w:sz w:val="21"/>
                <w:szCs w:val="22"/>
                <w:highlight w:val="none"/>
                <w:lang w:eastAsia="zh-CN"/>
              </w:rPr>
            </w:pPr>
            <w:r>
              <w:rPr>
                <w:rFonts w:hint="eastAsia" w:ascii="Times New Roman" w:hAnsi="Times New Roman" w:cs="Times New Roman"/>
                <w:color w:val="auto"/>
                <w:sz w:val="21"/>
                <w:szCs w:val="22"/>
                <w:highlight w:val="none"/>
              </w:rPr>
              <w:t>0.</w:t>
            </w:r>
            <w:r>
              <w:rPr>
                <w:rFonts w:hint="eastAsia" w:ascii="Times New Roman" w:hAnsi="Times New Roman" w:cs="Times New Roman"/>
                <w:color w:val="auto"/>
                <w:sz w:val="21"/>
                <w:szCs w:val="22"/>
                <w:highlight w:val="none"/>
                <w:lang w:val="en-US" w:eastAsia="zh-CN"/>
              </w:rPr>
              <w:t>3</w:t>
            </w:r>
          </w:p>
        </w:tc>
      </w:tr>
      <w:tr w14:paraId="300B9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7" w:type="pct"/>
            <w:vMerge w:val="continue"/>
            <w:tcBorders>
              <w:tl2br w:val="nil"/>
              <w:tr2bl w:val="nil"/>
            </w:tcBorders>
            <w:noWrap/>
            <w:vAlign w:val="center"/>
          </w:tcPr>
          <w:p w14:paraId="77A049F1">
            <w:pPr>
              <w:pStyle w:val="2"/>
              <w:widowControl w:val="0"/>
              <w:snapToGrid/>
              <w:spacing w:beforeLines="30" w:afterLines="30" w:line="240" w:lineRule="auto"/>
              <w:ind w:right="0"/>
              <w:jc w:val="center"/>
              <w:rPr>
                <w:rFonts w:ascii="Times New Roman" w:hAnsi="Times New Roman" w:cs="Times New Roman"/>
                <w:color w:val="auto"/>
                <w:sz w:val="21"/>
                <w:szCs w:val="22"/>
                <w:highlight w:val="none"/>
              </w:rPr>
            </w:pPr>
          </w:p>
        </w:tc>
        <w:tc>
          <w:tcPr>
            <w:tcW w:w="1977" w:type="pct"/>
            <w:tcBorders>
              <w:tl2br w:val="nil"/>
              <w:tr2bl w:val="nil"/>
            </w:tcBorders>
            <w:noWrap/>
            <w:vAlign w:val="center"/>
          </w:tcPr>
          <w:p w14:paraId="740096AB">
            <w:pPr>
              <w:pStyle w:val="2"/>
              <w:widowControl w:val="0"/>
              <w:snapToGrid/>
              <w:spacing w:beforeLines="30" w:afterLines="30" w:line="240" w:lineRule="auto"/>
              <w:ind w:right="0"/>
              <w:jc w:val="center"/>
              <w:rPr>
                <w:rFonts w:ascii="Times New Roman" w:hAnsi="Times New Roman" w:cs="Times New Roman"/>
                <w:color w:val="auto"/>
                <w:sz w:val="21"/>
                <w:szCs w:val="22"/>
                <w:highlight w:val="none"/>
              </w:rPr>
            </w:pPr>
            <w:r>
              <w:rPr>
                <w:rFonts w:hint="eastAsia" w:ascii="Times New Roman" w:hAnsi="Times New Roman" w:cs="Times New Roman"/>
                <w:color w:val="auto"/>
                <w:sz w:val="21"/>
                <w:szCs w:val="22"/>
                <w:highlight w:val="none"/>
              </w:rPr>
              <w:t>数值</w:t>
            </w:r>
          </w:p>
        </w:tc>
        <w:tc>
          <w:tcPr>
            <w:tcW w:w="1825" w:type="pct"/>
            <w:tcBorders>
              <w:tl2br w:val="nil"/>
              <w:tr2bl w:val="nil"/>
            </w:tcBorders>
            <w:noWrap/>
            <w:vAlign w:val="center"/>
          </w:tcPr>
          <w:p w14:paraId="66FC9F8C">
            <w:pPr>
              <w:pStyle w:val="2"/>
              <w:widowControl w:val="0"/>
              <w:snapToGrid/>
              <w:spacing w:beforeLines="30" w:afterLines="30" w:line="240" w:lineRule="auto"/>
              <w:ind w:right="0"/>
              <w:jc w:val="center"/>
              <w:rPr>
                <w:rFonts w:hint="default" w:ascii="Times New Roman" w:hAnsi="Times New Roman" w:eastAsia="宋体" w:cs="Times New Roman"/>
                <w:color w:val="auto"/>
                <w:sz w:val="21"/>
                <w:szCs w:val="22"/>
                <w:highlight w:val="none"/>
                <w:lang w:val="en-US" w:eastAsia="zh-CN"/>
              </w:rPr>
            </w:pPr>
            <w:r>
              <w:rPr>
                <w:rFonts w:hint="eastAsia" w:ascii="Times New Roman" w:hAnsi="Times New Roman" w:cs="Times New Roman"/>
                <w:color w:val="auto"/>
                <w:sz w:val="21"/>
                <w:szCs w:val="22"/>
                <w:highlight w:val="none"/>
              </w:rPr>
              <w:t>0.</w:t>
            </w:r>
            <w:r>
              <w:rPr>
                <w:rFonts w:hint="eastAsia" w:ascii="Times New Roman" w:hAnsi="Times New Roman" w:cs="Times New Roman"/>
                <w:color w:val="auto"/>
                <w:sz w:val="21"/>
                <w:szCs w:val="22"/>
                <w:highlight w:val="none"/>
                <w:lang w:val="en-US" w:eastAsia="zh-CN"/>
              </w:rPr>
              <w:t>5</w:t>
            </w:r>
            <w:r>
              <w:rPr>
                <w:rFonts w:hint="eastAsia" w:cs="Times New Roman"/>
                <w:color w:val="auto"/>
                <w:sz w:val="21"/>
                <w:szCs w:val="22"/>
                <w:highlight w:val="none"/>
                <w:lang w:val="en-US" w:eastAsia="zh-CN"/>
              </w:rPr>
              <w:t>5</w:t>
            </w:r>
          </w:p>
        </w:tc>
      </w:tr>
    </w:tbl>
    <w:p w14:paraId="29DEE1B8">
      <w:pPr>
        <w:numPr>
          <w:ilvl w:val="0"/>
          <w:numId w:val="0"/>
        </w:numPr>
        <w:adjustRightInd w:val="0"/>
        <w:snapToGrid w:val="0"/>
        <w:spacing w:line="360" w:lineRule="auto"/>
        <w:ind w:firstLine="482" w:firstLineChars="200"/>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污水可生化性</w:t>
      </w:r>
    </w:p>
    <w:p w14:paraId="4D5A57ED">
      <w:pPr>
        <w:pStyle w:val="2"/>
        <w:spacing w:before="0" w:after="0" w:line="360" w:lineRule="auto"/>
        <w:ind w:right="0"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该指标是鉴定污水是否适宜采用生物处理的一个衡量指标，也是一种最简单易行和最常用的方法，一般认为BOD</w:t>
      </w:r>
      <w:r>
        <w:rPr>
          <w:rFonts w:ascii="Times New Roman" w:hAnsi="Times New Roman" w:cs="Times New Roman"/>
          <w:color w:val="auto"/>
          <w:sz w:val="24"/>
          <w:szCs w:val="24"/>
          <w:highlight w:val="none"/>
          <w:vertAlign w:val="subscript"/>
        </w:rPr>
        <w:t>5</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COD</w:t>
      </w:r>
      <w:r>
        <w:rPr>
          <w:rFonts w:hint="eastAsia" w:ascii="Times New Roman" w:hAnsi="Times New Roman" w:cs="Times New Roman"/>
          <w:color w:val="auto"/>
          <w:sz w:val="24"/>
          <w:szCs w:val="24"/>
          <w:highlight w:val="none"/>
        </w:rPr>
        <w:t>＞0.30的污水才适于采用生化处理，该比值越大，可生化性越好，本项目进水水质</w:t>
      </w:r>
      <w:r>
        <w:rPr>
          <w:rFonts w:ascii="Times New Roman" w:hAnsi="Times New Roman" w:cs="Times New Roman"/>
          <w:color w:val="auto"/>
          <w:sz w:val="24"/>
          <w:szCs w:val="24"/>
          <w:highlight w:val="none"/>
        </w:rPr>
        <w:t>BOD</w:t>
      </w:r>
      <w:r>
        <w:rPr>
          <w:rFonts w:ascii="Times New Roman" w:hAnsi="Times New Roman" w:cs="Times New Roman"/>
          <w:color w:val="auto"/>
          <w:sz w:val="24"/>
          <w:szCs w:val="24"/>
          <w:highlight w:val="none"/>
          <w:vertAlign w:val="subscript"/>
        </w:rPr>
        <w:t>5</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COD</w:t>
      </w:r>
      <w:r>
        <w:rPr>
          <w:rFonts w:hint="eastAsia" w:ascii="Times New Roman" w:hAnsi="Times New Roman" w:cs="Times New Roman"/>
          <w:color w:val="auto"/>
          <w:sz w:val="24"/>
          <w:szCs w:val="24"/>
          <w:highlight w:val="none"/>
        </w:rPr>
        <w:t>=0.</w:t>
      </w:r>
      <w:r>
        <w:rPr>
          <w:rFonts w:hint="eastAsia" w:cs="Times New Roman"/>
          <w:color w:val="auto"/>
          <w:sz w:val="24"/>
          <w:szCs w:val="24"/>
          <w:highlight w:val="none"/>
          <w:lang w:val="en-US" w:eastAsia="zh-CN"/>
        </w:rPr>
        <w:t>55</w:t>
      </w:r>
      <w:r>
        <w:rPr>
          <w:rFonts w:hint="eastAsia" w:ascii="Times New Roman" w:hAnsi="Times New Roman" w:cs="Times New Roman"/>
          <w:color w:val="auto"/>
          <w:sz w:val="24"/>
          <w:szCs w:val="24"/>
          <w:highlight w:val="none"/>
        </w:rPr>
        <w:t>，属于易生物降解范围。</w:t>
      </w:r>
    </w:p>
    <w:p w14:paraId="4CE71F27">
      <w:pPr>
        <w:pStyle w:val="6"/>
        <w:numPr>
          <w:ilvl w:val="0"/>
          <w:numId w:val="0"/>
        </w:numPr>
        <w:bidi w:val="0"/>
        <w:spacing w:line="360" w:lineRule="auto"/>
        <w:ind w:leftChars="0"/>
        <w:rPr>
          <w:rFonts w:hint="eastAsia" w:ascii="Times New Roman" w:hAnsi="Times New Roman" w:cs="Times New Roman"/>
          <w:color w:val="auto"/>
          <w:sz w:val="24"/>
          <w:szCs w:val="40"/>
          <w:highlight w:val="none"/>
          <w:lang w:val="en-US" w:eastAsia="zh-CN"/>
        </w:rPr>
      </w:pPr>
      <w:bookmarkStart w:id="145" w:name="_Toc3203"/>
      <w:r>
        <w:rPr>
          <w:rFonts w:hint="eastAsia" w:ascii="Times New Roman" w:hAnsi="Times New Roman" w:cs="Times New Roman"/>
          <w:color w:val="auto"/>
          <w:sz w:val="24"/>
          <w:szCs w:val="40"/>
          <w:highlight w:val="none"/>
          <w:lang w:val="en-US" w:eastAsia="zh-CN"/>
        </w:rPr>
        <w:t>5.</w:t>
      </w:r>
      <w:r>
        <w:rPr>
          <w:rFonts w:hint="eastAsia" w:cs="Times New Roman"/>
          <w:color w:val="auto"/>
          <w:sz w:val="24"/>
          <w:szCs w:val="40"/>
          <w:highlight w:val="none"/>
          <w:lang w:val="en-US" w:eastAsia="zh-CN"/>
        </w:rPr>
        <w:t>2</w:t>
      </w:r>
      <w:r>
        <w:rPr>
          <w:rFonts w:hint="eastAsia" w:ascii="Times New Roman" w:hAnsi="Times New Roman" w:cs="Times New Roman"/>
          <w:color w:val="auto"/>
          <w:sz w:val="24"/>
          <w:szCs w:val="40"/>
          <w:highlight w:val="none"/>
          <w:lang w:val="en-US" w:eastAsia="zh-CN"/>
        </w:rPr>
        <w:t>.2处理工艺分析</w:t>
      </w:r>
      <w:bookmarkEnd w:id="145"/>
    </w:p>
    <w:p w14:paraId="67237E25">
      <w:pPr>
        <w:adjustRightInd w:val="0"/>
        <w:snapToGrid w:val="0"/>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本项目污水处理采用</w:t>
      </w:r>
      <w:r>
        <w:rPr>
          <w:rFonts w:hint="default" w:ascii="Times New Roman" w:hAnsi="Times New Roman" w:cs="Times New Roman"/>
          <w:color w:val="auto"/>
          <w:sz w:val="24"/>
          <w:highlight w:val="none"/>
          <w:lang w:eastAsia="zh-CN"/>
        </w:rPr>
        <w:t>“格栅渠+集水池+旋流沉砂池+调节池+AAO+二沉池+高密度沉淀池+滤布滤池+接触消毒池”</w:t>
      </w:r>
      <w:r>
        <w:rPr>
          <w:rFonts w:hint="default" w:ascii="Times New Roman" w:hAnsi="Times New Roman" w:cs="Times New Roman"/>
          <w:color w:val="auto"/>
          <w:sz w:val="24"/>
          <w:highlight w:val="none"/>
        </w:rPr>
        <w:t>组合工艺</w:t>
      </w:r>
      <w:r>
        <w:rPr>
          <w:rFonts w:hint="default" w:ascii="Times New Roman" w:hAnsi="Times New Roman" w:cs="Times New Roman"/>
          <w:color w:val="auto"/>
          <w:sz w:val="24"/>
          <w:highlight w:val="none"/>
          <w:lang w:eastAsia="zh-CN"/>
        </w:rPr>
        <w:t>，</w:t>
      </w:r>
      <w:r>
        <w:rPr>
          <w:rFonts w:hint="eastAsia" w:cs="Times New Roman"/>
          <w:color w:val="auto"/>
          <w:sz w:val="24"/>
          <w:highlight w:val="none"/>
          <w:lang w:eastAsia="zh-CN"/>
        </w:rPr>
        <w:t>出水水质满足</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城镇污水处理厂</w:t>
      </w:r>
      <w:r>
        <w:rPr>
          <w:rFonts w:hint="default" w:ascii="Times New Roman" w:hAnsi="Times New Roman" w:cs="Times New Roman"/>
          <w:color w:val="auto"/>
          <w:sz w:val="24"/>
          <w:highlight w:val="none"/>
        </w:rPr>
        <w:t>污染物排放标准》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GB18989-2002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中一级A标</w:t>
      </w:r>
      <w:r>
        <w:rPr>
          <w:rFonts w:hint="default" w:ascii="Times New Roman" w:hAnsi="Times New Roman" w:cs="Times New Roman"/>
          <w:color w:val="auto"/>
          <w:sz w:val="24"/>
          <w:highlight w:val="none"/>
          <w:lang w:val="en-US" w:eastAsia="zh-CN"/>
        </w:rPr>
        <w:t>准</w:t>
      </w:r>
      <w:r>
        <w:rPr>
          <w:rFonts w:hint="default" w:ascii="Times New Roman" w:hAnsi="Times New Roman" w:cs="Times New Roman"/>
          <w:color w:val="auto"/>
          <w:sz w:val="24"/>
          <w:highlight w:val="none"/>
        </w:rPr>
        <w:t>后排入</w:t>
      </w:r>
      <w:r>
        <w:rPr>
          <w:rFonts w:hint="eastAsia" w:cs="Times New Roman"/>
          <w:color w:val="auto"/>
          <w:sz w:val="24"/>
          <w:highlight w:val="none"/>
          <w:lang w:eastAsia="zh-CN"/>
        </w:rPr>
        <w:t>溢水河</w:t>
      </w:r>
      <w:r>
        <w:rPr>
          <w:rFonts w:hint="default" w:ascii="Times New Roman" w:hAnsi="Times New Roman" w:cs="Times New Roman"/>
          <w:color w:val="auto"/>
          <w:sz w:val="24"/>
          <w:highlight w:val="none"/>
          <w:lang w:eastAsia="zh-CN"/>
        </w:rPr>
        <w:t>。</w:t>
      </w:r>
    </w:p>
    <w:p w14:paraId="3AE44C12">
      <w:pPr>
        <w:numPr>
          <w:ilvl w:val="0"/>
          <w:numId w:val="0"/>
        </w:numPr>
        <w:adjustRightInd w:val="0"/>
        <w:snapToGrid w:val="0"/>
        <w:spacing w:line="360" w:lineRule="auto"/>
        <w:ind w:firstLine="480" w:firstLineChars="200"/>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val="en-US" w:eastAsia="zh-CN"/>
        </w:rPr>
        <w:t>（1）预处理</w:t>
      </w:r>
    </w:p>
    <w:p w14:paraId="40653096">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预处理段通常包括格栅、提升泵房</w:t>
      </w:r>
      <w:r>
        <w:rPr>
          <w:rFonts w:hint="eastAsia" w:ascii="Times New Roman" w:hAnsi="Times New Roman" w:cs="Times New Roman"/>
          <w:color w:val="auto"/>
          <w:sz w:val="24"/>
          <w:highlight w:val="none"/>
          <w:lang w:val="en-US" w:eastAsia="zh-CN"/>
        </w:rPr>
        <w:t>等</w:t>
      </w:r>
      <w:r>
        <w:rPr>
          <w:rFonts w:hint="default" w:ascii="Times New Roman" w:hAnsi="Times New Roman" w:eastAsia="宋体" w:cs="Times New Roman"/>
          <w:color w:val="auto"/>
          <w:sz w:val="24"/>
          <w:highlight w:val="none"/>
          <w:lang w:val="en-US" w:eastAsia="zh-CN"/>
        </w:rPr>
        <w:t>，这是污水处理站必备的工段。通常同样的预处理构筑物和设备选择可以满足不同类型的生物处理工艺的预处理要求。考虑本污水处理</w:t>
      </w:r>
      <w:r>
        <w:rPr>
          <w:rFonts w:hint="eastAsia" w:ascii="Times New Roman" w:hAnsi="Times New Roman" w:cs="Times New Roman"/>
          <w:color w:val="auto"/>
          <w:sz w:val="24"/>
          <w:highlight w:val="none"/>
          <w:lang w:val="en-US" w:eastAsia="zh-CN"/>
        </w:rPr>
        <w:t>厂收集服务范围内居民生活污水</w:t>
      </w:r>
      <w:r>
        <w:rPr>
          <w:rFonts w:hint="default" w:ascii="Times New Roman" w:hAnsi="Times New Roman" w:eastAsia="宋体" w:cs="Times New Roman"/>
          <w:color w:val="auto"/>
          <w:sz w:val="24"/>
          <w:highlight w:val="none"/>
          <w:lang w:val="en-US" w:eastAsia="zh-CN"/>
        </w:rPr>
        <w:t>，总水量较</w:t>
      </w:r>
      <w:r>
        <w:rPr>
          <w:rFonts w:hint="eastAsia" w:ascii="Times New Roman" w:hAnsi="Times New Roman" w:cs="Times New Roman"/>
          <w:color w:val="auto"/>
          <w:sz w:val="24"/>
          <w:highlight w:val="none"/>
          <w:lang w:val="en-US" w:eastAsia="zh-CN"/>
        </w:rPr>
        <w:t>大</w:t>
      </w:r>
      <w:r>
        <w:rPr>
          <w:rFonts w:hint="default" w:ascii="Times New Roman" w:hAnsi="Times New Roman" w:eastAsia="宋体" w:cs="Times New Roman"/>
          <w:color w:val="auto"/>
          <w:sz w:val="24"/>
          <w:highlight w:val="none"/>
          <w:lang w:val="en-US" w:eastAsia="zh-CN"/>
        </w:rPr>
        <w:t>，且水量波动比较大，采用调节池对污水水量进行调节，防止进水对污水处理站整体造成冲击，采用1道格栅拦截污水中的大块杂质。本工程预处理段采用</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格栅渠+集水池+旋流沉砂池+调节池</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的处理工艺。</w:t>
      </w:r>
    </w:p>
    <w:p w14:paraId="4CA3084D">
      <w:pPr>
        <w:numPr>
          <w:ilvl w:val="0"/>
          <w:numId w:val="0"/>
        </w:numPr>
        <w:adjustRightInd w:val="0"/>
        <w:snapToGrid w:val="0"/>
        <w:spacing w:line="360" w:lineRule="auto"/>
        <w:ind w:left="600" w:leftChars="0"/>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val="en-US" w:eastAsia="zh-CN"/>
        </w:rPr>
        <w:t>（2）二级生化处理段（</w:t>
      </w:r>
      <w:r>
        <w:rPr>
          <w:rFonts w:hint="default" w:ascii="Times New Roman" w:hAnsi="Times New Roman" w:eastAsia="宋体" w:cs="Times New Roman"/>
          <w:b w:val="0"/>
          <w:bCs w:val="0"/>
          <w:color w:val="auto"/>
          <w:sz w:val="24"/>
          <w:highlight w:val="none"/>
          <w:lang w:val="en-US" w:eastAsia="zh-CN"/>
        </w:rPr>
        <w:t>A</w:t>
      </w:r>
      <w:r>
        <w:rPr>
          <w:rFonts w:hint="default" w:ascii="Times New Roman" w:hAnsi="Times New Roman" w:eastAsia="宋体" w:cs="Times New Roman"/>
          <w:b w:val="0"/>
          <w:bCs w:val="0"/>
          <w:color w:val="auto"/>
          <w:sz w:val="24"/>
          <w:highlight w:val="none"/>
          <w:vertAlign w:val="superscript"/>
          <w:lang w:val="en-US" w:eastAsia="zh-CN"/>
        </w:rPr>
        <w:t>2</w:t>
      </w:r>
      <w:r>
        <w:rPr>
          <w:rFonts w:hint="default" w:ascii="Times New Roman" w:hAnsi="Times New Roman" w:eastAsia="宋体" w:cs="Times New Roman"/>
          <w:b w:val="0"/>
          <w:bCs w:val="0"/>
          <w:color w:val="auto"/>
          <w:sz w:val="24"/>
          <w:highlight w:val="none"/>
          <w:lang w:val="en-US" w:eastAsia="zh-CN"/>
        </w:rPr>
        <w:t>/O</w:t>
      </w:r>
      <w:r>
        <w:rPr>
          <w:rFonts w:hint="default" w:ascii="Times New Roman" w:hAnsi="Times New Roman" w:cs="Times New Roman"/>
          <w:b w:val="0"/>
          <w:bCs w:val="0"/>
          <w:color w:val="auto"/>
          <w:sz w:val="24"/>
          <w:highlight w:val="none"/>
          <w:lang w:val="en-US" w:eastAsia="zh-CN"/>
        </w:rPr>
        <w:t>生化池）</w:t>
      </w:r>
    </w:p>
    <w:p w14:paraId="15167E2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根据本污水处理站进水水质的特点，以及确定的出水水质要求，处理工艺应选用具有硝化和反硝化及除磷功能的二级生物处理工艺来达到预期的目的。 </w:t>
      </w:r>
    </w:p>
    <w:p w14:paraId="661D690A">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对于城市污水而言，一般来说生物脱氮的可行性和经济性要优于其它脱氮工艺。在某些特殊的情况下，可以采用化学法或物理化学法有效地脱氮，如采用折点加氯，选择性离子交换或空气吹脱等脱氮工艺通常这些工艺的运行费用很高，因此，本污水处理</w:t>
      </w:r>
      <w:r>
        <w:rPr>
          <w:rFonts w:hint="eastAsia" w:ascii="Times New Roman" w:hAnsi="Times New Roman" w:cs="Times New Roman"/>
          <w:color w:val="auto"/>
          <w:sz w:val="24"/>
          <w:highlight w:val="none"/>
          <w:lang w:val="en-US" w:eastAsia="zh-CN"/>
        </w:rPr>
        <w:t>厂</w:t>
      </w:r>
      <w:r>
        <w:rPr>
          <w:rFonts w:hint="default" w:ascii="Times New Roman" w:hAnsi="Times New Roman" w:eastAsia="宋体" w:cs="Times New Roman"/>
          <w:color w:val="auto"/>
          <w:sz w:val="24"/>
          <w:highlight w:val="none"/>
          <w:lang w:val="en-US" w:eastAsia="zh-CN"/>
        </w:rPr>
        <w:t>拟采用污水二级生化处理工艺-生物脱氮工艺。</w:t>
      </w:r>
    </w:p>
    <w:p w14:paraId="6DEE9703">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O工艺是厌氧-缺氧-好氧生物脱氮除磷工艺的简称，是在厌氧-好氧除磷工艺（A/O）的基础上开发出来的工艺，具有脱氮除磷的功能。该工艺在厌氧-好氧除磷工艺（A/O）中加一缺氧池，将好氧池流出的一部分混合液回流至缺氧池前端，以达到反硝化脱氮的目的。</w:t>
      </w:r>
    </w:p>
    <w:p w14:paraId="708BD0EF">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首段厌氧池，原污水及回流污泥同时进入本段，其主要功能是聚磷菌进行磷的释放，为在好氧段进行磷的超量吸收实现生物除磷创造条件。在缺氧池中，反硝化菌利用污水中的有机物做碳源，将回流混合液中带入的大量NO</w:t>
      </w:r>
      <w:r>
        <w:rPr>
          <w:rFonts w:hint="default" w:ascii="Times New Roman" w:hAnsi="Times New Roman" w:eastAsia="宋体" w:cs="Times New Roman"/>
          <w:color w:val="auto"/>
          <w:sz w:val="24"/>
          <w:highlight w:val="none"/>
          <w:vertAlign w:val="subscript"/>
          <w:lang w:val="en-US" w:eastAsia="zh-CN"/>
        </w:rPr>
        <w:t>3</w:t>
      </w:r>
      <w:r>
        <w:rPr>
          <w:rFonts w:hint="default" w:ascii="Times New Roman" w:hAnsi="Times New Roman" w:eastAsia="宋体" w:cs="Times New Roman"/>
          <w:color w:val="auto"/>
          <w:sz w:val="24"/>
          <w:szCs w:val="24"/>
          <w:highlight w:val="none"/>
          <w:vertAlign w:val="superscript"/>
          <w:lang w:val="en-US" w:eastAsia="zh-CN"/>
        </w:rPr>
        <w:t>-</w:t>
      </w:r>
      <w:r>
        <w:rPr>
          <w:rFonts w:hint="default" w:ascii="Times New Roman" w:hAnsi="Times New Roman" w:eastAsia="宋体" w:cs="Times New Roman"/>
          <w:color w:val="auto"/>
          <w:sz w:val="24"/>
          <w:highlight w:val="none"/>
          <w:lang w:val="en-US" w:eastAsia="zh-CN"/>
        </w:rPr>
        <w:t>-N还原为N</w:t>
      </w:r>
      <w:r>
        <w:rPr>
          <w:rFonts w:hint="default" w:ascii="Times New Roman" w:hAnsi="Times New Roman" w:eastAsia="宋体" w:cs="Times New Roman"/>
          <w:color w:val="auto"/>
          <w:sz w:val="24"/>
          <w:highlight w:val="none"/>
          <w:vertAlign w:val="subscript"/>
          <w:lang w:val="en-US" w:eastAsia="zh-CN"/>
        </w:rPr>
        <w:t>2</w:t>
      </w:r>
      <w:r>
        <w:rPr>
          <w:rFonts w:hint="default" w:ascii="Times New Roman" w:hAnsi="Times New Roman" w:eastAsia="宋体" w:cs="Times New Roman"/>
          <w:color w:val="auto"/>
          <w:sz w:val="24"/>
          <w:highlight w:val="none"/>
          <w:lang w:val="en-US" w:eastAsia="zh-CN"/>
        </w:rPr>
        <w:t>释放至空气，达到脱氮的目的并使BOD</w:t>
      </w:r>
      <w:r>
        <w:rPr>
          <w:rFonts w:hint="default" w:ascii="Times New Roman" w:hAnsi="Times New Roman" w:eastAsia="宋体" w:cs="Times New Roman"/>
          <w:color w:val="auto"/>
          <w:sz w:val="24"/>
          <w:highlight w:val="none"/>
          <w:vertAlign w:val="subscript"/>
          <w:lang w:val="en-US" w:eastAsia="zh-CN"/>
        </w:rPr>
        <w:t>5</w:t>
      </w:r>
      <w:r>
        <w:rPr>
          <w:rFonts w:hint="default" w:ascii="Times New Roman" w:hAnsi="Times New Roman" w:eastAsia="宋体" w:cs="Times New Roman"/>
          <w:color w:val="auto"/>
          <w:sz w:val="24"/>
          <w:highlight w:val="none"/>
          <w:lang w:val="en-US" w:eastAsia="zh-CN"/>
        </w:rPr>
        <w:t>浓度有所下降。在好氧池中，有机物被微生物生化降解，氨氮被氧化成NO</w:t>
      </w:r>
      <w:r>
        <w:rPr>
          <w:rFonts w:hint="default" w:ascii="Times New Roman" w:hAnsi="Times New Roman" w:eastAsia="宋体" w:cs="Times New Roman"/>
          <w:color w:val="auto"/>
          <w:sz w:val="24"/>
          <w:highlight w:val="none"/>
          <w:vertAlign w:val="subscript"/>
          <w:lang w:val="en-US" w:eastAsia="zh-CN"/>
        </w:rPr>
        <w:t>3</w:t>
      </w:r>
      <w:r>
        <w:rPr>
          <w:rFonts w:hint="default" w:ascii="Times New Roman" w:hAnsi="Times New Roman" w:eastAsia="宋体" w:cs="Times New Roman"/>
          <w:color w:val="auto"/>
          <w:sz w:val="24"/>
          <w:highlight w:val="none"/>
          <w:vertAlign w:val="superscript"/>
          <w:lang w:val="en-US" w:eastAsia="zh-CN"/>
        </w:rPr>
        <w:t>-</w:t>
      </w:r>
      <w:r>
        <w:rPr>
          <w:rFonts w:hint="default" w:ascii="Times New Roman" w:hAnsi="Times New Roman" w:eastAsia="宋体" w:cs="Times New Roman"/>
          <w:color w:val="auto"/>
          <w:sz w:val="24"/>
          <w:highlight w:val="none"/>
          <w:lang w:val="en-US" w:eastAsia="zh-CN"/>
        </w:rPr>
        <w:t>-N。同时聚磷菌进行磷的超量吸收，在排除剩余污泥的过程中被除去，完成生物除磷。所以，A</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/O工艺可以同时完成去除有机物、除磷和脱氮等功能。好氧池进行有机物的氧化和氨氮的硝化，缺氧池则完成脱氮功能，厌氧池和好氧池联合完成除磷功能。</w:t>
      </w:r>
    </w:p>
    <w:p w14:paraId="3480C7FD">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/O工艺是一种典型的除磷脱氮工艺，其特点是厌氧、缺氧和好氧三段功能明确，界线分明，可根据进水条件和出水要求，人为地创造和控制三段的时空比例和运转条件，比较便于生产操作。</w:t>
      </w:r>
    </w:p>
    <w:p w14:paraId="210EF163">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val="en-US" w:eastAsia="zh-CN"/>
        </w:rPr>
        <w:t>（3）深度处理段（</w:t>
      </w:r>
      <w:r>
        <w:rPr>
          <w:rFonts w:hint="default" w:ascii="Times New Roman" w:hAnsi="Times New Roman" w:eastAsia="宋体" w:cs="Times New Roman"/>
          <w:b w:val="0"/>
          <w:bCs w:val="0"/>
          <w:color w:val="auto"/>
          <w:sz w:val="24"/>
          <w:highlight w:val="none"/>
          <w:lang w:val="en-US" w:eastAsia="zh-CN"/>
        </w:rPr>
        <w:t>沉</w:t>
      </w:r>
      <w:r>
        <w:rPr>
          <w:rFonts w:hint="default" w:ascii="Times New Roman" w:hAnsi="Times New Roman" w:cs="Times New Roman"/>
          <w:b w:val="0"/>
          <w:bCs w:val="0"/>
          <w:color w:val="auto"/>
          <w:sz w:val="24"/>
          <w:highlight w:val="none"/>
          <w:lang w:val="en-US" w:eastAsia="zh-CN"/>
        </w:rPr>
        <w:t>淀+消毒）</w:t>
      </w:r>
    </w:p>
    <w:p w14:paraId="3777E73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由于本工程出水水质要求达到的排放标准比较高。对污水处理站的污染物各项指标要求较高。因此本工程处理工艺仅通过二级生化处理是难以达到此目标的，还应配有深度处理设施。本工程采用混凝沉淀+消毒的处理方式对污水处理站进行深度处理，以达到出水要求。</w:t>
      </w:r>
    </w:p>
    <w:p w14:paraId="0B068C24">
      <w:pPr>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混合是原水与混凝剂进行充分混合的工艺过程，是进行混凝反应的重要前提。机械混合，其混合效果较好，水头损失小，混合强度可以随着流量变化进行调整，本工程混合方式采用</w:t>
      </w:r>
      <w:r>
        <w:rPr>
          <w:rFonts w:hint="default" w:ascii="Times New Roman" w:hAnsi="Times New Roman" w:eastAsia="宋体" w:cs="Times New Roman"/>
          <w:b w:val="0"/>
          <w:bCs w:val="0"/>
          <w:color w:val="auto"/>
          <w:sz w:val="24"/>
          <w:highlight w:val="none"/>
          <w:lang w:val="en-US" w:eastAsia="zh-CN"/>
        </w:rPr>
        <w:t>机械混合。</w:t>
      </w:r>
    </w:p>
    <w:p w14:paraId="5957F454">
      <w:pPr>
        <w:adjustRightInd w:val="0"/>
        <w:snapToGrid w:val="0"/>
        <w:spacing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sz w:val="24"/>
          <w:highlight w:val="none"/>
          <w:lang w:val="en-US" w:eastAsia="zh-CN"/>
        </w:rPr>
        <w:t>絮凝是深度处理的重要工艺环节。絮凝效果的好坏取决于两个因素：一是混凝剂水解后产生的高分子络合物形成吸附架桥的连接能力，这是由混凝剂的性质决定的；二是微小颗粒接触碰撞的概率和如何控制它们进行合理的有效碰撞，这是由设备的动力学条件决定的。由于农村水量来水不均匀，本工程絮凝方式</w:t>
      </w:r>
      <w:r>
        <w:rPr>
          <w:rFonts w:hint="default" w:ascii="Times New Roman" w:hAnsi="Times New Roman" w:eastAsia="宋体" w:cs="Times New Roman"/>
          <w:b w:val="0"/>
          <w:bCs w:val="0"/>
          <w:color w:val="auto"/>
          <w:sz w:val="24"/>
          <w:highlight w:val="none"/>
          <w:lang w:val="en-US" w:eastAsia="zh-CN"/>
        </w:rPr>
        <w:t>采用</w:t>
      </w:r>
      <w:r>
        <w:rPr>
          <w:rFonts w:hint="default" w:ascii="Times New Roman" w:hAnsi="Times New Roman" w:eastAsia="宋体" w:cs="Times New Roman"/>
          <w:bCs/>
          <w:color w:val="auto"/>
          <w:sz w:val="24"/>
          <w:szCs w:val="24"/>
          <w:highlight w:val="none"/>
          <w:lang w:val="en-US" w:eastAsia="zh-CN"/>
        </w:rPr>
        <w:t>聚丙烯酰胺</w:t>
      </w:r>
      <w:r>
        <w:rPr>
          <w:rFonts w:hint="default" w:ascii="Times New Roman" w:hAnsi="Times New Roman" w:eastAsia="宋体" w:cs="Times New Roman"/>
          <w:b w:val="0"/>
          <w:bCs w:val="0"/>
          <w:color w:val="auto"/>
          <w:sz w:val="24"/>
          <w:highlight w:val="none"/>
          <w:lang w:val="en-US" w:eastAsia="zh-CN"/>
        </w:rPr>
        <w:t>。</w:t>
      </w:r>
    </w:p>
    <w:p w14:paraId="7D599C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沉淀池是水处理工艺中絮凝体与水分离的重要环节，其设备运行状况直接影响了出水水质。颗粒沉降有两种形式，一种是颗粒沉降过程中，彼此没有干扰，只受到颗粒本身在水中的重力和水流的阻力作用，即自由沉淀；另一种是颗粒在沉降过程中，彼此互相干扰，沉淀速率较小，称为拥挤沉淀。</w:t>
      </w:r>
    </w:p>
    <w:p w14:paraId="2880A6D6">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消毒剂采用次氯酸钠。次氯酸钠是一种非天然存在的强氧化剂，它的杀菌能力同氯气相当，属于真正高效、广谱、安全的强力灭菌、杀病毒药剂，已经广泛用于包括自来水、中水、工业循环水、游泳池水、医院污水等各种水体的消毒和防疫消杀。同其他消毒剂相比较，次氯酸钠消毒效果好，投加准确，操作安全，使用方便，易于储存，对环境无毒害，不产生第二次污染，还可以在任意环境动作状况下投加。</w:t>
      </w:r>
    </w:p>
    <w:p w14:paraId="3463E094">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46" w:name="_Toc13420"/>
      <w:r>
        <w:rPr>
          <w:rFonts w:hint="default" w:ascii="Times New Roman" w:hAnsi="Times New Roman" w:eastAsia="宋体" w:cs="Times New Roman"/>
          <w:color w:val="auto"/>
          <w:kern w:val="2"/>
          <w:sz w:val="24"/>
          <w:szCs w:val="32"/>
          <w:highlight w:val="none"/>
          <w:lang w:val="en-US" w:eastAsia="zh-CN"/>
        </w:rPr>
        <w:t>5.</w:t>
      </w:r>
      <w:r>
        <w:rPr>
          <w:rFonts w:hint="eastAsia" w:ascii="Times New Roman" w:hAnsi="Times New Roman" w:cs="Times New Roman"/>
          <w:color w:val="auto"/>
          <w:kern w:val="2"/>
          <w:sz w:val="24"/>
          <w:szCs w:val="32"/>
          <w:highlight w:val="none"/>
          <w:lang w:val="en-US" w:eastAsia="zh-CN"/>
        </w:rPr>
        <w:t>3</w:t>
      </w:r>
      <w:r>
        <w:rPr>
          <w:rFonts w:hint="default" w:ascii="Times New Roman" w:hAnsi="Times New Roman" w:eastAsia="宋体" w:cs="Times New Roman"/>
          <w:color w:val="auto"/>
          <w:kern w:val="2"/>
          <w:sz w:val="24"/>
          <w:szCs w:val="32"/>
          <w:highlight w:val="none"/>
          <w:lang w:val="en-US" w:eastAsia="zh-CN"/>
        </w:rPr>
        <w:t>水污染治理设施可行性分析</w:t>
      </w:r>
      <w:bookmarkEnd w:id="146"/>
    </w:p>
    <w:p w14:paraId="6D58416F">
      <w:pPr>
        <w:adjustRightInd w:val="0"/>
        <w:snapToGrid w:val="0"/>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本项目废水类别为生活污水</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采用</w:t>
      </w:r>
      <w:r>
        <w:rPr>
          <w:rFonts w:hint="default" w:ascii="Times New Roman" w:hAnsi="Times New Roman" w:cs="Times New Roman"/>
          <w:color w:val="auto"/>
          <w:sz w:val="24"/>
          <w:highlight w:val="none"/>
          <w:lang w:eastAsia="zh-CN"/>
        </w:rPr>
        <w:t>“格栅渠+集水池+旋流沉砂池+调节池+AAO+二沉池+高密度沉淀池+滤布滤池+接触消毒池”</w:t>
      </w:r>
      <w:r>
        <w:rPr>
          <w:rFonts w:hint="default" w:ascii="Times New Roman" w:hAnsi="Times New Roman" w:cs="Times New Roman"/>
          <w:color w:val="auto"/>
          <w:sz w:val="24"/>
          <w:highlight w:val="none"/>
        </w:rPr>
        <w:t>组合工艺</w:t>
      </w:r>
      <w:r>
        <w:rPr>
          <w:rFonts w:hint="eastAsia" w:cs="Times New Roman"/>
          <w:color w:val="auto"/>
          <w:sz w:val="24"/>
          <w:highlight w:val="none"/>
          <w:lang w:eastAsia="zh-CN"/>
        </w:rPr>
        <w:t>，尾水水质</w:t>
      </w:r>
      <w:r>
        <w:rPr>
          <w:rFonts w:hint="default" w:ascii="Times New Roman" w:hAnsi="Times New Roman" w:cs="Times New Roman"/>
          <w:color w:val="auto"/>
          <w:sz w:val="24"/>
          <w:highlight w:val="none"/>
          <w:lang w:eastAsia="zh-CN"/>
        </w:rPr>
        <w:t>满足</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城镇污水处理厂</w:t>
      </w:r>
      <w:r>
        <w:rPr>
          <w:rFonts w:hint="default" w:ascii="Times New Roman" w:hAnsi="Times New Roman" w:cs="Times New Roman"/>
          <w:color w:val="auto"/>
          <w:sz w:val="24"/>
          <w:highlight w:val="none"/>
        </w:rPr>
        <w:t>污染物排放标准》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GB18989-2002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中一级A</w:t>
      </w:r>
      <w:r>
        <w:rPr>
          <w:rFonts w:hint="default" w:ascii="Times New Roman" w:hAnsi="Times New Roman" w:cs="Times New Roman"/>
          <w:color w:val="auto"/>
          <w:sz w:val="24"/>
          <w:highlight w:val="none"/>
          <w:lang w:eastAsia="zh-CN"/>
        </w:rPr>
        <w:t>标准</w:t>
      </w:r>
      <w:r>
        <w:rPr>
          <w:rFonts w:hint="default" w:ascii="Times New Roman" w:hAnsi="Times New Roman" w:cs="Times New Roman"/>
          <w:color w:val="auto"/>
          <w:sz w:val="24"/>
          <w:highlight w:val="none"/>
        </w:rPr>
        <w:t>后排入</w:t>
      </w:r>
      <w:r>
        <w:rPr>
          <w:rFonts w:hint="eastAsia" w:cs="Times New Roman"/>
          <w:color w:val="auto"/>
          <w:sz w:val="24"/>
          <w:highlight w:val="none"/>
          <w:lang w:eastAsia="zh-CN"/>
        </w:rPr>
        <w:t>溢水河</w:t>
      </w:r>
      <w:r>
        <w:rPr>
          <w:rFonts w:hint="default" w:ascii="Times New Roman" w:hAnsi="Times New Roman" w:cs="Times New Roman"/>
          <w:color w:val="auto"/>
          <w:sz w:val="24"/>
          <w:highlight w:val="none"/>
          <w:lang w:eastAsia="zh-CN"/>
        </w:rPr>
        <w:t>。</w:t>
      </w:r>
    </w:p>
    <w:p w14:paraId="3A80D7AF">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根据</w:t>
      </w:r>
      <w:r>
        <w:rPr>
          <w:rFonts w:hint="default" w:ascii="Times New Roman" w:hAnsi="Times New Roman" w:eastAsia="宋体" w:cs="Times New Roman"/>
          <w:color w:val="auto"/>
          <w:sz w:val="24"/>
          <w:highlight w:val="none"/>
          <w:lang w:val="en-US" w:eastAsia="zh-CN"/>
        </w:rPr>
        <w:t>《排污许可证申请与核发技术规范 水处理（试行）》（HJ978-2018）6.2污水</w:t>
      </w:r>
      <w:r>
        <w:rPr>
          <w:rFonts w:hint="eastAsia" w:ascii="Times New Roman" w:hAnsi="Times New Roman" w:cs="Times New Roman"/>
          <w:color w:val="auto"/>
          <w:sz w:val="24"/>
          <w:highlight w:val="none"/>
          <w:lang w:val="en-US" w:eastAsia="zh-CN"/>
        </w:rPr>
        <w:t>处理小节—</w:t>
      </w:r>
      <w:r>
        <w:rPr>
          <w:rFonts w:hint="default" w:ascii="Times New Roman" w:hAnsi="Times New Roman" w:eastAsia="宋体" w:cs="Times New Roman"/>
          <w:color w:val="auto"/>
          <w:sz w:val="24"/>
          <w:highlight w:val="none"/>
          <w:lang w:val="en-US" w:eastAsia="zh-CN"/>
        </w:rPr>
        <w:t>表4污水处理可行技术参照表</w:t>
      </w:r>
      <w:r>
        <w:rPr>
          <w:rFonts w:hint="eastAsia" w:ascii="Times New Roman" w:hAnsi="Times New Roman" w:cs="Times New Roman"/>
          <w:color w:val="auto"/>
          <w:sz w:val="24"/>
          <w:highlight w:val="none"/>
          <w:lang w:val="en-US" w:eastAsia="zh-CN"/>
        </w:rPr>
        <w:t>可知，本项目采取的废水处理工艺为表中推荐的可行性技术，</w:t>
      </w:r>
      <w:r>
        <w:rPr>
          <w:rFonts w:hint="default" w:ascii="Times New Roman" w:hAnsi="Times New Roman" w:cs="Times New Roman"/>
          <w:color w:val="auto"/>
          <w:sz w:val="24"/>
          <w:highlight w:val="none"/>
          <w:lang w:eastAsia="zh-CN"/>
        </w:rPr>
        <w:t>故本项目污水处理技术可行。</w:t>
      </w:r>
    </w:p>
    <w:p w14:paraId="10A56047">
      <w:pPr>
        <w:numPr>
          <w:ilvl w:val="0"/>
          <w:numId w:val="0"/>
        </w:numPr>
        <w:adjustRightInd w:val="0"/>
        <w:snapToGrid w:val="0"/>
        <w:spacing w:line="360" w:lineRule="auto"/>
        <w:ind w:left="600" w:leftChars="0"/>
        <w:rPr>
          <w:rFonts w:hint="default" w:ascii="Times New Roman" w:hAnsi="Times New Roman" w:eastAsia="宋体" w:cs="Times New Roman"/>
          <w:color w:val="auto"/>
          <w:sz w:val="24"/>
          <w:highlight w:val="none"/>
          <w:lang w:val="en-US" w:eastAsia="zh-CN"/>
        </w:rPr>
      </w:pPr>
    </w:p>
    <w:p w14:paraId="2D943D9A">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p>
    <w:p w14:paraId="05801E9D">
      <w:pPr>
        <w:pStyle w:val="3"/>
        <w:numPr>
          <w:ilvl w:val="0"/>
          <w:numId w:val="0"/>
        </w:numPr>
        <w:tabs>
          <w:tab w:val="left" w:pos="210"/>
          <w:tab w:val="left" w:pos="420"/>
        </w:tabs>
        <w:bidi w:val="0"/>
        <w:ind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br w:type="page"/>
      </w:r>
      <w:bookmarkStart w:id="147" w:name="_Toc11297"/>
      <w:r>
        <w:rPr>
          <w:rFonts w:hint="default" w:ascii="Times New Roman" w:hAnsi="Times New Roman" w:cs="Times New Roman"/>
          <w:color w:val="auto"/>
          <w:highlight w:val="none"/>
          <w:lang w:val="en-US" w:eastAsia="zh-CN"/>
        </w:rPr>
        <w:t>6</w:t>
      </w:r>
      <w:r>
        <w:rPr>
          <w:rFonts w:hint="default" w:ascii="Times New Roman" w:hAnsi="Times New Roman" w:cs="Times New Roman"/>
          <w:b/>
          <w:bCs/>
          <w:color w:val="auto"/>
          <w:kern w:val="44"/>
          <w:sz w:val="30"/>
          <w:szCs w:val="30"/>
          <w:highlight w:val="none"/>
          <w:lang w:val="en-US" w:eastAsia="zh-CN" w:bidi="ar-SA"/>
        </w:rPr>
        <w:t>环境管理与监测计划</w:t>
      </w:r>
      <w:bookmarkEnd w:id="147"/>
    </w:p>
    <w:p w14:paraId="0E2EA792">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48" w:name="_Toc32737"/>
      <w:r>
        <w:rPr>
          <w:rFonts w:hint="default" w:ascii="Times New Roman" w:hAnsi="Times New Roman" w:eastAsia="宋体" w:cs="Times New Roman"/>
          <w:color w:val="auto"/>
          <w:kern w:val="2"/>
          <w:sz w:val="24"/>
          <w:szCs w:val="32"/>
          <w:highlight w:val="none"/>
          <w:lang w:val="en-US" w:eastAsia="zh-CN"/>
        </w:rPr>
        <w:t>6.1环境管理</w:t>
      </w:r>
      <w:bookmarkEnd w:id="148"/>
    </w:p>
    <w:p w14:paraId="25958085">
      <w:pPr>
        <w:pStyle w:val="6"/>
        <w:numPr>
          <w:ilvl w:val="0"/>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49" w:name="_Toc7862"/>
      <w:bookmarkStart w:id="150" w:name="_Toc30840"/>
      <w:r>
        <w:rPr>
          <w:rFonts w:hint="default" w:ascii="Times New Roman" w:hAnsi="Times New Roman" w:cs="Times New Roman"/>
          <w:color w:val="auto"/>
          <w:sz w:val="24"/>
          <w:szCs w:val="40"/>
          <w:highlight w:val="none"/>
          <w:lang w:val="en-US" w:eastAsia="zh-CN"/>
        </w:rPr>
        <w:t>6.1.1专职环保人员</w:t>
      </w:r>
      <w:bookmarkEnd w:id="149"/>
      <w:bookmarkEnd w:id="150"/>
    </w:p>
    <w:p w14:paraId="3FA0CE7F">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bookmarkStart w:id="151" w:name="_Toc18266"/>
      <w:r>
        <w:rPr>
          <w:rFonts w:hint="default" w:ascii="Times New Roman" w:hAnsi="Times New Roman" w:cs="Times New Roman"/>
          <w:color w:val="auto"/>
          <w:kern w:val="44"/>
          <w:szCs w:val="24"/>
          <w:highlight w:val="none"/>
        </w:rPr>
        <w:t>本项目</w:t>
      </w:r>
      <w:r>
        <w:rPr>
          <w:rFonts w:hint="eastAsia" w:ascii="Times New Roman" w:hAnsi="Times New Roman" w:cs="Times New Roman"/>
          <w:color w:val="auto"/>
          <w:kern w:val="44"/>
          <w:szCs w:val="24"/>
          <w:highlight w:val="none"/>
          <w:lang w:eastAsia="zh-CN"/>
        </w:rPr>
        <w:t>需</w:t>
      </w:r>
      <w:r>
        <w:rPr>
          <w:rFonts w:hint="default" w:ascii="Times New Roman" w:hAnsi="Times New Roman" w:cs="Times New Roman"/>
          <w:color w:val="auto"/>
          <w:kern w:val="44"/>
          <w:szCs w:val="24"/>
          <w:highlight w:val="none"/>
        </w:rPr>
        <w:t>配备专职人员，负责建设和</w:t>
      </w:r>
      <w:r>
        <w:rPr>
          <w:rFonts w:hint="eastAsia" w:ascii="Times New Roman" w:hAnsi="Times New Roman" w:cs="Times New Roman"/>
          <w:color w:val="auto"/>
          <w:kern w:val="44"/>
          <w:szCs w:val="24"/>
          <w:highlight w:val="none"/>
          <w:lang w:eastAsia="zh-CN"/>
        </w:rPr>
        <w:t>运营</w:t>
      </w:r>
      <w:r>
        <w:rPr>
          <w:rFonts w:hint="default" w:ascii="Times New Roman" w:hAnsi="Times New Roman" w:cs="Times New Roman"/>
          <w:color w:val="auto"/>
          <w:kern w:val="44"/>
          <w:szCs w:val="24"/>
          <w:highlight w:val="none"/>
        </w:rPr>
        <w:t>过程环境管理工作。</w:t>
      </w:r>
    </w:p>
    <w:p w14:paraId="09764BA3">
      <w:pPr>
        <w:pStyle w:val="6"/>
        <w:numPr>
          <w:ilvl w:val="0"/>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52" w:name="_Toc1507"/>
      <w:r>
        <w:rPr>
          <w:rFonts w:hint="default" w:ascii="Times New Roman" w:hAnsi="Times New Roman" w:cs="Times New Roman"/>
          <w:color w:val="auto"/>
          <w:sz w:val="24"/>
          <w:szCs w:val="40"/>
          <w:highlight w:val="none"/>
          <w:lang w:val="en-US" w:eastAsia="zh-CN"/>
        </w:rPr>
        <w:t>6.1.2环保专职人员职责</w:t>
      </w:r>
      <w:bookmarkEnd w:id="151"/>
      <w:bookmarkEnd w:id="152"/>
    </w:p>
    <w:p w14:paraId="2D60EF10">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eastAsia" w:ascii="Times New Roman" w:hAnsi="Times New Roman" w:cs="Times New Roman"/>
          <w:color w:val="auto"/>
          <w:kern w:val="44"/>
          <w:szCs w:val="24"/>
          <w:highlight w:val="none"/>
          <w:lang w:eastAsia="zh-CN"/>
        </w:rPr>
        <w:t>环保</w:t>
      </w:r>
      <w:r>
        <w:rPr>
          <w:rFonts w:hint="default" w:ascii="Times New Roman" w:hAnsi="Times New Roman" w:cs="Times New Roman"/>
          <w:color w:val="auto"/>
          <w:kern w:val="44"/>
          <w:szCs w:val="24"/>
          <w:highlight w:val="none"/>
        </w:rPr>
        <w:t>专职人员</w:t>
      </w:r>
      <w:r>
        <w:rPr>
          <w:rFonts w:hint="eastAsia" w:ascii="Times New Roman" w:hAnsi="Times New Roman" w:cs="Times New Roman"/>
          <w:color w:val="auto"/>
          <w:kern w:val="44"/>
          <w:szCs w:val="24"/>
          <w:highlight w:val="none"/>
          <w:lang w:eastAsia="zh-CN"/>
        </w:rPr>
        <w:t>需</w:t>
      </w:r>
      <w:r>
        <w:rPr>
          <w:rFonts w:hint="default" w:ascii="Times New Roman" w:hAnsi="Times New Roman" w:cs="Times New Roman"/>
          <w:color w:val="auto"/>
          <w:kern w:val="44"/>
          <w:szCs w:val="24"/>
          <w:highlight w:val="none"/>
        </w:rPr>
        <w:t>对污水处理</w:t>
      </w:r>
      <w:r>
        <w:rPr>
          <w:rFonts w:hint="eastAsia" w:ascii="Times New Roman" w:hAnsi="Times New Roman" w:cs="Times New Roman"/>
          <w:color w:val="auto"/>
          <w:kern w:val="44"/>
          <w:szCs w:val="24"/>
          <w:highlight w:val="none"/>
          <w:lang w:eastAsia="zh-CN"/>
        </w:rPr>
        <w:t>厂定期</w:t>
      </w:r>
      <w:r>
        <w:rPr>
          <w:rFonts w:hint="default" w:ascii="Times New Roman" w:hAnsi="Times New Roman" w:cs="Times New Roman"/>
          <w:color w:val="auto"/>
          <w:kern w:val="44"/>
          <w:szCs w:val="24"/>
          <w:highlight w:val="none"/>
        </w:rPr>
        <w:t>进行巡检、维护，本次环评根据实际情况提出以下管理要求：</w:t>
      </w:r>
    </w:p>
    <w:p w14:paraId="4C4E435C">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①宣传、组织贯彻国家有关污水处理站环境保护工作政策、条例，配合当地环境保护主管部门做好项目环保工作；</w:t>
      </w:r>
    </w:p>
    <w:p w14:paraId="40552431">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②加强管理，定期检查、维护污水处理站的设备，确保设备正常运行；</w:t>
      </w:r>
    </w:p>
    <w:p w14:paraId="7A77FAEE">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③开展环保教育、技术培训等活动，提高管理人员的素质和专业知识，向管理优秀的污水处理站学习其经验和技术；</w:t>
      </w:r>
    </w:p>
    <w:p w14:paraId="1C48BE73">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④定期走访周边居民，听取意见，对存在的环保问题及时向上反映和处理；</w:t>
      </w:r>
    </w:p>
    <w:p w14:paraId="2C52C29A">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⑤设置项目污水排放口提示性标识牌。</w:t>
      </w:r>
    </w:p>
    <w:p w14:paraId="63178C3E">
      <w:pPr>
        <w:pStyle w:val="6"/>
        <w:numPr>
          <w:ilvl w:val="2"/>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53" w:name="_Toc16381"/>
      <w:r>
        <w:rPr>
          <w:rFonts w:hint="default" w:ascii="Times New Roman" w:hAnsi="Times New Roman" w:cs="Times New Roman"/>
          <w:color w:val="auto"/>
          <w:sz w:val="24"/>
          <w:szCs w:val="40"/>
          <w:highlight w:val="none"/>
          <w:lang w:val="en-US" w:eastAsia="zh-CN"/>
        </w:rPr>
        <w:t>6.1.3排污许可管理要求</w:t>
      </w:r>
      <w:bookmarkEnd w:id="153"/>
    </w:p>
    <w:p w14:paraId="4975D7BC">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建设单位应按《排污许可管理办法（试行）》（2019修订）、《排污许可申请与核发技术规范 水处理》（HJ978-2018）要求在排污许可管理信息平台申报，及时办理排污许可手续，依法持有排污许可证，并按照排污许可证的规定排放污染物。</w:t>
      </w:r>
    </w:p>
    <w:p w14:paraId="19B0A0CC">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54" w:name="_Toc21194"/>
      <w:r>
        <w:rPr>
          <w:rFonts w:hint="default" w:ascii="Times New Roman" w:hAnsi="Times New Roman" w:eastAsia="宋体" w:cs="Times New Roman"/>
          <w:color w:val="auto"/>
          <w:kern w:val="2"/>
          <w:sz w:val="24"/>
          <w:szCs w:val="32"/>
          <w:highlight w:val="none"/>
          <w:lang w:val="en-US" w:eastAsia="zh-CN"/>
        </w:rPr>
        <w:t>6.2水污染物排放清单</w:t>
      </w:r>
      <w:bookmarkEnd w:id="154"/>
    </w:p>
    <w:p w14:paraId="446689D7">
      <w:pPr>
        <w:pStyle w:val="28"/>
        <w:adjustRightInd w:val="0"/>
        <w:snapToGrid w:val="0"/>
        <w:spacing w:before="0" w:beforeAutospacing="0" w:after="0" w:afterAutospacing="0" w:line="360" w:lineRule="auto"/>
        <w:ind w:firstLine="480" w:firstLineChars="200"/>
        <w:jc w:val="both"/>
        <w:rPr>
          <w:rFonts w:hint="default" w:ascii="Times New Roman" w:hAnsi="Times New Roman" w:cs="Times New Roman"/>
          <w:color w:val="auto"/>
          <w:kern w:val="44"/>
          <w:szCs w:val="24"/>
          <w:highlight w:val="none"/>
        </w:rPr>
      </w:pPr>
      <w:r>
        <w:rPr>
          <w:rFonts w:hint="default" w:ascii="Times New Roman" w:hAnsi="Times New Roman" w:cs="Times New Roman"/>
          <w:color w:val="auto"/>
          <w:kern w:val="44"/>
          <w:szCs w:val="24"/>
          <w:highlight w:val="none"/>
        </w:rPr>
        <w:t>企业应向社会公开污染物排放清单内容和环境监测内容及监测数据，本项目</w:t>
      </w:r>
    </w:p>
    <w:p w14:paraId="17540012">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default" w:ascii="Times New Roman" w:hAnsi="Times New Roman" w:eastAsia="宋体" w:cs="Times New Roman"/>
          <w:b w:val="0"/>
          <w:bCs w:val="0"/>
          <w:color w:val="auto"/>
          <w:kern w:val="44"/>
          <w:sz w:val="24"/>
          <w:szCs w:val="24"/>
          <w:highlight w:val="none"/>
          <w:lang w:val="en-US" w:eastAsia="zh-CN" w:bidi="ar-SA"/>
        </w:rPr>
      </w:pPr>
      <w:r>
        <w:rPr>
          <w:rFonts w:hint="default" w:ascii="Times New Roman" w:hAnsi="Times New Roman" w:cs="Times New Roman"/>
          <w:color w:val="auto"/>
          <w:kern w:val="44"/>
          <w:szCs w:val="24"/>
          <w:highlight w:val="none"/>
        </w:rPr>
        <w:t>采取的环境保护措施及主要运行参数、排放的污染物种类、排放浓度和总量、排放口信息、执行的环境标准及环境监测等，详见表6.2-1。</w:t>
      </w:r>
    </w:p>
    <w:p w14:paraId="4CCE9373">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default" w:ascii="Times New Roman" w:hAnsi="Times New Roman" w:eastAsia="宋体" w:cs="Times New Roman"/>
          <w:b w:val="0"/>
          <w:bCs w:val="0"/>
          <w:color w:val="auto"/>
          <w:kern w:val="44"/>
          <w:sz w:val="24"/>
          <w:szCs w:val="24"/>
          <w:highlight w:val="none"/>
          <w:lang w:val="en-US" w:eastAsia="zh-CN" w:bidi="ar-SA"/>
        </w:rPr>
        <w:sectPr>
          <w:pgSz w:w="11906" w:h="16838"/>
          <w:pgMar w:top="1304" w:right="1701" w:bottom="1304" w:left="1701" w:header="1304" w:footer="1304" w:gutter="0"/>
          <w:pgBorders>
            <w:top w:val="none" w:sz="0" w:space="0"/>
            <w:left w:val="none" w:sz="0" w:space="0"/>
            <w:bottom w:val="none" w:sz="0" w:space="0"/>
            <w:right w:val="none" w:sz="0" w:space="0"/>
          </w:pgBorders>
          <w:pgNumType w:fmt="decimal"/>
          <w:cols w:space="720" w:num="1"/>
          <w:docGrid w:linePitch="312" w:charSpace="0"/>
        </w:sectPr>
      </w:pPr>
    </w:p>
    <w:p w14:paraId="51A213E7">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bCs/>
          <w:color w:val="auto"/>
          <w:kern w:val="44"/>
          <w:sz w:val="21"/>
          <w:szCs w:val="21"/>
          <w:highlight w:val="none"/>
          <w:lang w:val="en-US" w:eastAsia="zh-CN" w:bidi="ar-SA"/>
        </w:rPr>
      </w:pPr>
      <w:r>
        <w:rPr>
          <w:rFonts w:hint="default" w:ascii="Times New Roman" w:hAnsi="Times New Roman" w:eastAsia="宋体" w:cs="Times New Roman"/>
          <w:b/>
          <w:bCs/>
          <w:color w:val="auto"/>
          <w:kern w:val="44"/>
          <w:sz w:val="21"/>
          <w:szCs w:val="21"/>
          <w:highlight w:val="none"/>
          <w:lang w:val="en-US" w:eastAsia="zh-CN" w:bidi="ar-SA"/>
        </w:rPr>
        <w:t>表6.2-1  水污染物排放清单</w:t>
      </w:r>
    </w:p>
    <w:tbl>
      <w:tblPr>
        <w:tblStyle w:val="32"/>
        <w:tblW w:w="13601" w:type="dxa"/>
        <w:tblInd w:w="22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418"/>
        <w:gridCol w:w="1702"/>
        <w:gridCol w:w="1550"/>
        <w:gridCol w:w="1118"/>
        <w:gridCol w:w="886"/>
        <w:gridCol w:w="1214"/>
        <w:gridCol w:w="1268"/>
        <w:gridCol w:w="1377"/>
        <w:gridCol w:w="1637"/>
        <w:gridCol w:w="1431"/>
      </w:tblGrid>
      <w:tr w14:paraId="22E387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1418" w:type="dxa"/>
            <w:tcBorders>
              <w:tl2br w:val="nil"/>
              <w:tr2bl w:val="nil"/>
            </w:tcBorders>
            <w:noWrap w:val="0"/>
            <w:vAlign w:val="center"/>
          </w:tcPr>
          <w:p w14:paraId="1A6360FE">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排放口</w:t>
            </w:r>
          </w:p>
        </w:tc>
        <w:tc>
          <w:tcPr>
            <w:tcW w:w="1702" w:type="dxa"/>
            <w:tcBorders>
              <w:tl2br w:val="nil"/>
              <w:tr2bl w:val="nil"/>
            </w:tcBorders>
            <w:noWrap w:val="0"/>
            <w:vAlign w:val="center"/>
          </w:tcPr>
          <w:p w14:paraId="085F4E7F">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坐标</w:t>
            </w:r>
          </w:p>
        </w:tc>
        <w:tc>
          <w:tcPr>
            <w:tcW w:w="1550" w:type="dxa"/>
            <w:tcBorders>
              <w:tl2br w:val="nil"/>
              <w:tr2bl w:val="nil"/>
            </w:tcBorders>
            <w:noWrap w:val="0"/>
            <w:vAlign w:val="center"/>
          </w:tcPr>
          <w:p w14:paraId="55BD4971">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环保措施</w:t>
            </w:r>
          </w:p>
        </w:tc>
        <w:tc>
          <w:tcPr>
            <w:tcW w:w="1118" w:type="dxa"/>
            <w:tcBorders>
              <w:tl2br w:val="nil"/>
              <w:tr2bl w:val="nil"/>
            </w:tcBorders>
            <w:noWrap w:val="0"/>
            <w:vAlign w:val="center"/>
          </w:tcPr>
          <w:p w14:paraId="5F00635D">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废水量</w:t>
            </w:r>
          </w:p>
          <w:p w14:paraId="323B8ABE">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（m</w:t>
            </w:r>
            <w:r>
              <w:rPr>
                <w:rFonts w:hint="eastAsia" w:ascii="Times New Roman" w:hAnsi="Times New Roman" w:cs="Times New Roman"/>
                <w:color w:val="auto"/>
                <w:sz w:val="21"/>
                <w:szCs w:val="21"/>
                <w:highlight w:val="none"/>
                <w:vertAlign w:val="superscript"/>
                <w:lang w:val="en-US" w:eastAsia="zh-CN" w:bidi="ar"/>
              </w:rPr>
              <w:t>3</w:t>
            </w:r>
            <w:r>
              <w:rPr>
                <w:rFonts w:hint="default" w:ascii="Times New Roman" w:hAnsi="Times New Roman" w:eastAsia="宋体" w:cs="Times New Roman"/>
                <w:color w:val="auto"/>
                <w:sz w:val="21"/>
                <w:szCs w:val="21"/>
                <w:highlight w:val="none"/>
                <w:lang w:val="en-US" w:eastAsia="zh-CN" w:bidi="ar"/>
              </w:rPr>
              <w:t>/d）</w:t>
            </w:r>
          </w:p>
        </w:tc>
        <w:tc>
          <w:tcPr>
            <w:tcW w:w="886" w:type="dxa"/>
            <w:tcBorders>
              <w:tl2br w:val="nil"/>
              <w:tr2bl w:val="nil"/>
            </w:tcBorders>
            <w:noWrap w:val="0"/>
            <w:vAlign w:val="center"/>
          </w:tcPr>
          <w:p w14:paraId="0F44923A">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污染物</w:t>
            </w:r>
          </w:p>
        </w:tc>
        <w:tc>
          <w:tcPr>
            <w:tcW w:w="1214" w:type="dxa"/>
            <w:tcBorders>
              <w:tl2br w:val="nil"/>
              <w:tr2bl w:val="nil"/>
            </w:tcBorders>
            <w:noWrap w:val="0"/>
            <w:vAlign w:val="center"/>
          </w:tcPr>
          <w:p w14:paraId="31516149">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排放浓度</w:t>
            </w:r>
          </w:p>
          <w:p w14:paraId="68E753DC">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w:t>
            </w:r>
            <w:r>
              <w:rPr>
                <w:rFonts w:hint="default" w:ascii="Times New Roman" w:hAnsi="Times New Roman" w:eastAsia="宋体" w:cs="Times New Roman"/>
                <w:color w:val="auto"/>
                <w:sz w:val="21"/>
                <w:szCs w:val="21"/>
                <w:highlight w:val="none"/>
                <w:lang w:val="en-US" w:eastAsia="zh-CN" w:bidi="ar"/>
              </w:rPr>
              <w:t>mg/L</w:t>
            </w:r>
            <w:r>
              <w:rPr>
                <w:rFonts w:hint="default" w:ascii="Times New Roman" w:hAnsi="Times New Roman" w:eastAsia="宋体" w:cs="Times New Roman"/>
                <w:b w:val="0"/>
                <w:bCs w:val="0"/>
                <w:color w:val="auto"/>
                <w:kern w:val="44"/>
                <w:sz w:val="21"/>
                <w:szCs w:val="21"/>
                <w:highlight w:val="none"/>
                <w:vertAlign w:val="baseline"/>
                <w:lang w:val="en-US" w:eastAsia="zh-CN" w:bidi="ar-SA"/>
              </w:rPr>
              <w:t>）</w:t>
            </w:r>
          </w:p>
        </w:tc>
        <w:tc>
          <w:tcPr>
            <w:tcW w:w="1268" w:type="dxa"/>
            <w:tcBorders>
              <w:tl2br w:val="nil"/>
              <w:tr2bl w:val="nil"/>
            </w:tcBorders>
            <w:noWrap w:val="0"/>
            <w:vAlign w:val="center"/>
          </w:tcPr>
          <w:p w14:paraId="116E1498">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排放量</w:t>
            </w:r>
          </w:p>
          <w:p w14:paraId="00A88B8C">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（t/a）</w:t>
            </w:r>
          </w:p>
        </w:tc>
        <w:tc>
          <w:tcPr>
            <w:tcW w:w="1377" w:type="dxa"/>
            <w:tcBorders>
              <w:tl2br w:val="nil"/>
              <w:tr2bl w:val="nil"/>
            </w:tcBorders>
            <w:noWrap w:val="0"/>
            <w:vAlign w:val="center"/>
          </w:tcPr>
          <w:p w14:paraId="1F9B47E8">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标准限值</w:t>
            </w:r>
          </w:p>
          <w:p w14:paraId="5AC79207">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w:t>
            </w:r>
            <w:r>
              <w:rPr>
                <w:rFonts w:hint="default" w:ascii="Times New Roman" w:hAnsi="Times New Roman" w:eastAsia="宋体" w:cs="Times New Roman"/>
                <w:color w:val="auto"/>
                <w:sz w:val="21"/>
                <w:szCs w:val="21"/>
                <w:highlight w:val="none"/>
                <w:lang w:val="en-US" w:eastAsia="zh-CN" w:bidi="ar"/>
              </w:rPr>
              <w:t>mg/L</w:t>
            </w:r>
            <w:r>
              <w:rPr>
                <w:rFonts w:hint="default" w:ascii="Times New Roman" w:hAnsi="Times New Roman" w:eastAsia="宋体" w:cs="Times New Roman"/>
                <w:b w:val="0"/>
                <w:bCs w:val="0"/>
                <w:color w:val="auto"/>
                <w:kern w:val="44"/>
                <w:sz w:val="21"/>
                <w:szCs w:val="21"/>
                <w:highlight w:val="none"/>
                <w:vertAlign w:val="baseline"/>
                <w:lang w:val="en-US" w:eastAsia="zh-CN" w:bidi="ar-SA"/>
              </w:rPr>
              <w:t>）</w:t>
            </w:r>
          </w:p>
        </w:tc>
        <w:tc>
          <w:tcPr>
            <w:tcW w:w="1637" w:type="dxa"/>
            <w:tcBorders>
              <w:tl2br w:val="nil"/>
              <w:tr2bl w:val="nil"/>
            </w:tcBorders>
            <w:noWrap w:val="0"/>
            <w:vAlign w:val="center"/>
          </w:tcPr>
          <w:p w14:paraId="66A02B19">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排放去向</w:t>
            </w:r>
          </w:p>
        </w:tc>
        <w:tc>
          <w:tcPr>
            <w:tcW w:w="1431" w:type="dxa"/>
            <w:tcBorders>
              <w:tl2br w:val="nil"/>
              <w:tr2bl w:val="nil"/>
            </w:tcBorders>
            <w:noWrap w:val="0"/>
            <w:vAlign w:val="center"/>
          </w:tcPr>
          <w:p w14:paraId="7F4809BB">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排放标准</w:t>
            </w:r>
          </w:p>
        </w:tc>
      </w:tr>
      <w:tr w14:paraId="216A8C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18" w:type="dxa"/>
            <w:vMerge w:val="restart"/>
            <w:tcBorders>
              <w:tl2br w:val="nil"/>
              <w:tr2bl w:val="nil"/>
            </w:tcBorders>
            <w:noWrap w:val="0"/>
            <w:vAlign w:val="center"/>
          </w:tcPr>
          <w:p w14:paraId="42F8DD9A">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谢村镇四〇五污水处理厂入河排污口</w:t>
            </w:r>
          </w:p>
        </w:tc>
        <w:tc>
          <w:tcPr>
            <w:tcW w:w="1702" w:type="dxa"/>
            <w:vMerge w:val="restart"/>
            <w:tcBorders>
              <w:tl2br w:val="nil"/>
              <w:tr2bl w:val="nil"/>
            </w:tcBorders>
            <w:noWrap w:val="0"/>
            <w:vAlign w:val="center"/>
          </w:tcPr>
          <w:p w14:paraId="427576E5">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1"/>
                <w:szCs w:val="21"/>
                <w:highlight w:val="none"/>
                <w:vertAlign w:val="baseline"/>
                <w:lang w:val="en-US" w:eastAsia="zh-CN" w:bidi="ar-SA"/>
              </w:rPr>
            </w:pPr>
            <w:r>
              <w:rPr>
                <w:rFonts w:hint="default" w:ascii="Times New Roman" w:hAnsi="Times New Roman" w:eastAsia="宋体" w:cs="Times New Roman"/>
                <w:b w:val="0"/>
                <w:bCs w:val="0"/>
                <w:color w:val="auto"/>
                <w:kern w:val="44"/>
                <w:sz w:val="21"/>
                <w:szCs w:val="21"/>
                <w:highlight w:val="none"/>
                <w:vertAlign w:val="baseline"/>
                <w:lang w:val="en-US" w:eastAsia="zh-CN" w:bidi="ar-SA"/>
              </w:rPr>
              <w:t>东经107.449434°，北纬33.221306°</w:t>
            </w:r>
          </w:p>
        </w:tc>
        <w:tc>
          <w:tcPr>
            <w:tcW w:w="1550" w:type="dxa"/>
            <w:vMerge w:val="restart"/>
            <w:tcBorders>
              <w:tl2br w:val="nil"/>
              <w:tr2bl w:val="nil"/>
            </w:tcBorders>
            <w:noWrap w:val="0"/>
            <w:vAlign w:val="center"/>
          </w:tcPr>
          <w:p w14:paraId="7E648C54">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“格栅渠+集水池+旋流沉砂池+调节池+AAO+二沉池+高密度沉淀池+滤布滤池+接触消毒池”</w:t>
            </w:r>
          </w:p>
        </w:tc>
        <w:tc>
          <w:tcPr>
            <w:tcW w:w="1118" w:type="dxa"/>
            <w:vMerge w:val="restart"/>
            <w:tcBorders>
              <w:tl2br w:val="nil"/>
              <w:tr2bl w:val="nil"/>
            </w:tcBorders>
            <w:noWrap w:val="0"/>
            <w:vAlign w:val="center"/>
          </w:tcPr>
          <w:p w14:paraId="106CBE7D">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1</w:t>
            </w:r>
            <w:r>
              <w:rPr>
                <w:rFonts w:hint="eastAsia" w:ascii="Times New Roman" w:hAnsi="Times New Roman" w:cs="Times New Roman"/>
                <w:color w:val="auto"/>
                <w:sz w:val="21"/>
                <w:szCs w:val="21"/>
                <w:highlight w:val="none"/>
                <w:lang w:val="en-US" w:eastAsia="zh-CN" w:bidi="ar"/>
              </w:rPr>
              <w:t>5</w:t>
            </w:r>
            <w:r>
              <w:rPr>
                <w:rFonts w:hint="default" w:ascii="Times New Roman" w:hAnsi="Times New Roman" w:eastAsia="宋体" w:cs="Times New Roman"/>
                <w:color w:val="auto"/>
                <w:sz w:val="21"/>
                <w:szCs w:val="21"/>
                <w:highlight w:val="none"/>
                <w:lang w:val="en-US" w:eastAsia="zh-CN" w:bidi="ar"/>
              </w:rPr>
              <w:t>00</w:t>
            </w:r>
          </w:p>
        </w:tc>
        <w:tc>
          <w:tcPr>
            <w:tcW w:w="886" w:type="dxa"/>
            <w:tcBorders>
              <w:tl2br w:val="nil"/>
              <w:tr2bl w:val="nil"/>
            </w:tcBorders>
            <w:noWrap w:val="0"/>
            <w:vAlign w:val="center"/>
          </w:tcPr>
          <w:p w14:paraId="58866EFD">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BOD</w:t>
            </w:r>
            <w:r>
              <w:rPr>
                <w:rFonts w:hint="default" w:ascii="Times New Roman" w:hAnsi="Times New Roman" w:eastAsia="宋体" w:cs="Times New Roman"/>
                <w:b w:val="0"/>
                <w:bCs w:val="0"/>
                <w:color w:val="auto"/>
                <w:sz w:val="21"/>
                <w:szCs w:val="21"/>
                <w:highlight w:val="none"/>
                <w:vertAlign w:val="subscript"/>
                <w:lang w:val="en-US" w:eastAsia="zh-CN" w:bidi="ar"/>
              </w:rPr>
              <w:t>5</w:t>
            </w:r>
          </w:p>
        </w:tc>
        <w:tc>
          <w:tcPr>
            <w:tcW w:w="1214" w:type="dxa"/>
            <w:tcBorders>
              <w:tl2br w:val="nil"/>
              <w:tr2bl w:val="nil"/>
            </w:tcBorders>
            <w:noWrap w:val="0"/>
            <w:vAlign w:val="center"/>
          </w:tcPr>
          <w:p w14:paraId="38DFDDFA">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≤10</w:t>
            </w:r>
          </w:p>
        </w:tc>
        <w:tc>
          <w:tcPr>
            <w:tcW w:w="1268" w:type="dxa"/>
            <w:tcBorders>
              <w:tl2br w:val="nil"/>
              <w:tr2bl w:val="nil"/>
            </w:tcBorders>
            <w:noWrap w:val="0"/>
            <w:vAlign w:val="center"/>
          </w:tcPr>
          <w:p w14:paraId="21BE75E6">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5.47</w:t>
            </w:r>
          </w:p>
        </w:tc>
        <w:tc>
          <w:tcPr>
            <w:tcW w:w="1377" w:type="dxa"/>
            <w:tcBorders>
              <w:tl2br w:val="nil"/>
              <w:tr2bl w:val="nil"/>
            </w:tcBorders>
            <w:noWrap w:val="0"/>
            <w:vAlign w:val="center"/>
          </w:tcPr>
          <w:p w14:paraId="6389DA7F">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10</w:t>
            </w:r>
          </w:p>
        </w:tc>
        <w:tc>
          <w:tcPr>
            <w:tcW w:w="1637" w:type="dxa"/>
            <w:vMerge w:val="restart"/>
            <w:tcBorders>
              <w:tl2br w:val="nil"/>
              <w:tr2bl w:val="nil"/>
            </w:tcBorders>
            <w:noWrap w:val="0"/>
            <w:vAlign w:val="center"/>
          </w:tcPr>
          <w:p w14:paraId="1F8D1252">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污水处理</w:t>
            </w:r>
            <w:r>
              <w:rPr>
                <w:rFonts w:hint="eastAsia" w:ascii="Times New Roman" w:hAnsi="Times New Roman" w:cs="Times New Roman"/>
                <w:color w:val="auto"/>
                <w:sz w:val="21"/>
                <w:szCs w:val="21"/>
                <w:highlight w:val="none"/>
                <w:lang w:val="en-US" w:eastAsia="zh-CN" w:bidi="ar"/>
              </w:rPr>
              <w:t>厂</w:t>
            </w:r>
            <w:r>
              <w:rPr>
                <w:rFonts w:hint="default" w:ascii="Times New Roman" w:hAnsi="Times New Roman" w:eastAsia="宋体" w:cs="Times New Roman"/>
                <w:color w:val="auto"/>
                <w:sz w:val="21"/>
                <w:szCs w:val="21"/>
                <w:highlight w:val="none"/>
                <w:lang w:val="en-US" w:eastAsia="zh-CN" w:bidi="ar"/>
              </w:rPr>
              <w:t>尾水经</w:t>
            </w:r>
            <w:r>
              <w:rPr>
                <w:rFonts w:hint="eastAsia" w:ascii="Times New Roman" w:hAnsi="Times New Roman" w:cs="Times New Roman"/>
                <w:color w:val="auto"/>
                <w:sz w:val="21"/>
                <w:szCs w:val="21"/>
                <w:highlight w:val="none"/>
                <w:lang w:val="en-US" w:eastAsia="zh-CN" w:bidi="ar"/>
              </w:rPr>
              <w:t>管道排入溢水</w:t>
            </w:r>
            <w:r>
              <w:rPr>
                <w:rFonts w:hint="default" w:ascii="Times New Roman" w:hAnsi="Times New Roman" w:eastAsia="宋体" w:cs="Times New Roman"/>
                <w:color w:val="auto"/>
                <w:sz w:val="21"/>
                <w:szCs w:val="21"/>
                <w:highlight w:val="none"/>
                <w:lang w:val="en-US" w:eastAsia="zh-CN" w:bidi="ar"/>
              </w:rPr>
              <w:t>河</w:t>
            </w:r>
          </w:p>
        </w:tc>
        <w:tc>
          <w:tcPr>
            <w:tcW w:w="1431" w:type="dxa"/>
            <w:vMerge w:val="restart"/>
            <w:tcBorders>
              <w:tl2br w:val="nil"/>
              <w:tr2bl w:val="nil"/>
            </w:tcBorders>
            <w:noWrap w:val="0"/>
            <w:vAlign w:val="center"/>
          </w:tcPr>
          <w:p w14:paraId="48F8FC85">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《城镇污水处理厂污染物排放标准》（GB18918-2002）表1中一级A标准和2025年修改单表4中瞬时值标准</w:t>
            </w:r>
          </w:p>
        </w:tc>
      </w:tr>
      <w:tr w14:paraId="700FDC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0" w:hRule="atLeast"/>
        </w:trPr>
        <w:tc>
          <w:tcPr>
            <w:tcW w:w="1418" w:type="dxa"/>
            <w:vMerge w:val="continue"/>
            <w:tcBorders>
              <w:tl2br w:val="nil"/>
              <w:tr2bl w:val="nil"/>
            </w:tcBorders>
            <w:noWrap w:val="0"/>
            <w:vAlign w:val="center"/>
          </w:tcPr>
          <w:p w14:paraId="06819118">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702" w:type="dxa"/>
            <w:vMerge w:val="continue"/>
            <w:tcBorders>
              <w:tl2br w:val="nil"/>
              <w:tr2bl w:val="nil"/>
            </w:tcBorders>
            <w:noWrap w:val="0"/>
            <w:vAlign w:val="center"/>
          </w:tcPr>
          <w:p w14:paraId="7A89E6FA">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550" w:type="dxa"/>
            <w:vMerge w:val="continue"/>
            <w:tcBorders>
              <w:tl2br w:val="nil"/>
              <w:tr2bl w:val="nil"/>
            </w:tcBorders>
            <w:noWrap w:val="0"/>
            <w:vAlign w:val="center"/>
          </w:tcPr>
          <w:p w14:paraId="27E051E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118" w:type="dxa"/>
            <w:vMerge w:val="continue"/>
            <w:tcBorders>
              <w:tl2br w:val="nil"/>
              <w:tr2bl w:val="nil"/>
            </w:tcBorders>
            <w:noWrap w:val="0"/>
            <w:vAlign w:val="center"/>
          </w:tcPr>
          <w:p w14:paraId="22D4F744">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886" w:type="dxa"/>
            <w:tcBorders>
              <w:tl2br w:val="nil"/>
              <w:tr2bl w:val="nil"/>
            </w:tcBorders>
            <w:noWrap w:val="0"/>
            <w:vAlign w:val="center"/>
          </w:tcPr>
          <w:p w14:paraId="2DC8CD42">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COD</w:t>
            </w:r>
          </w:p>
        </w:tc>
        <w:tc>
          <w:tcPr>
            <w:tcW w:w="1214" w:type="dxa"/>
            <w:tcBorders>
              <w:tl2br w:val="nil"/>
              <w:tr2bl w:val="nil"/>
            </w:tcBorders>
            <w:noWrap w:val="0"/>
            <w:vAlign w:val="center"/>
          </w:tcPr>
          <w:p w14:paraId="5F3C62AA">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≤50</w:t>
            </w:r>
          </w:p>
        </w:tc>
        <w:tc>
          <w:tcPr>
            <w:tcW w:w="1268" w:type="dxa"/>
            <w:tcBorders>
              <w:tl2br w:val="nil"/>
              <w:tr2bl w:val="nil"/>
            </w:tcBorders>
            <w:noWrap w:val="0"/>
            <w:vAlign w:val="center"/>
          </w:tcPr>
          <w:p w14:paraId="5AF64DFE">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27.37</w:t>
            </w:r>
          </w:p>
        </w:tc>
        <w:tc>
          <w:tcPr>
            <w:tcW w:w="1377" w:type="dxa"/>
            <w:tcBorders>
              <w:tl2br w:val="nil"/>
              <w:tr2bl w:val="nil"/>
            </w:tcBorders>
            <w:noWrap w:val="0"/>
            <w:vAlign w:val="center"/>
          </w:tcPr>
          <w:p w14:paraId="7EC0B285">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50</w:t>
            </w:r>
          </w:p>
        </w:tc>
        <w:tc>
          <w:tcPr>
            <w:tcW w:w="1637" w:type="dxa"/>
            <w:vMerge w:val="continue"/>
            <w:tcBorders>
              <w:tl2br w:val="nil"/>
              <w:tr2bl w:val="nil"/>
            </w:tcBorders>
            <w:noWrap w:val="0"/>
            <w:vAlign w:val="center"/>
          </w:tcPr>
          <w:p w14:paraId="6DA55209">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431" w:type="dxa"/>
            <w:vMerge w:val="continue"/>
            <w:tcBorders>
              <w:tl2br w:val="nil"/>
              <w:tr2bl w:val="nil"/>
            </w:tcBorders>
            <w:noWrap w:val="0"/>
            <w:vAlign w:val="center"/>
          </w:tcPr>
          <w:p w14:paraId="019A963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r>
      <w:tr w14:paraId="564AFF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18" w:type="dxa"/>
            <w:vMerge w:val="continue"/>
            <w:tcBorders>
              <w:tl2br w:val="nil"/>
              <w:tr2bl w:val="nil"/>
            </w:tcBorders>
            <w:noWrap w:val="0"/>
            <w:vAlign w:val="center"/>
          </w:tcPr>
          <w:p w14:paraId="4C156121">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702" w:type="dxa"/>
            <w:vMerge w:val="continue"/>
            <w:tcBorders>
              <w:tl2br w:val="nil"/>
              <w:tr2bl w:val="nil"/>
            </w:tcBorders>
            <w:noWrap w:val="0"/>
            <w:vAlign w:val="center"/>
          </w:tcPr>
          <w:p w14:paraId="122E6632">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550" w:type="dxa"/>
            <w:vMerge w:val="continue"/>
            <w:tcBorders>
              <w:tl2br w:val="nil"/>
              <w:tr2bl w:val="nil"/>
            </w:tcBorders>
            <w:noWrap w:val="0"/>
            <w:vAlign w:val="center"/>
          </w:tcPr>
          <w:p w14:paraId="02B48F2B">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118" w:type="dxa"/>
            <w:vMerge w:val="continue"/>
            <w:tcBorders>
              <w:tl2br w:val="nil"/>
              <w:tr2bl w:val="nil"/>
            </w:tcBorders>
            <w:noWrap w:val="0"/>
            <w:vAlign w:val="center"/>
          </w:tcPr>
          <w:p w14:paraId="73C1CD59">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886" w:type="dxa"/>
            <w:tcBorders>
              <w:tl2br w:val="nil"/>
              <w:tr2bl w:val="nil"/>
            </w:tcBorders>
            <w:noWrap w:val="0"/>
            <w:vAlign w:val="center"/>
          </w:tcPr>
          <w:p w14:paraId="04CF8645">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SS</w:t>
            </w:r>
          </w:p>
        </w:tc>
        <w:tc>
          <w:tcPr>
            <w:tcW w:w="1214" w:type="dxa"/>
            <w:tcBorders>
              <w:tl2br w:val="nil"/>
              <w:tr2bl w:val="nil"/>
            </w:tcBorders>
            <w:noWrap w:val="0"/>
            <w:vAlign w:val="center"/>
          </w:tcPr>
          <w:p w14:paraId="7A5E3AD7">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≤10</w:t>
            </w:r>
          </w:p>
        </w:tc>
        <w:tc>
          <w:tcPr>
            <w:tcW w:w="1268" w:type="dxa"/>
            <w:tcBorders>
              <w:tl2br w:val="nil"/>
              <w:tr2bl w:val="nil"/>
            </w:tcBorders>
            <w:noWrap w:val="0"/>
            <w:vAlign w:val="center"/>
          </w:tcPr>
          <w:p w14:paraId="5B8E26C0">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5.47</w:t>
            </w:r>
          </w:p>
        </w:tc>
        <w:tc>
          <w:tcPr>
            <w:tcW w:w="1377" w:type="dxa"/>
            <w:tcBorders>
              <w:tl2br w:val="nil"/>
              <w:tr2bl w:val="nil"/>
            </w:tcBorders>
            <w:noWrap w:val="0"/>
            <w:vAlign w:val="center"/>
          </w:tcPr>
          <w:p w14:paraId="6B8524EC">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10</w:t>
            </w:r>
          </w:p>
        </w:tc>
        <w:tc>
          <w:tcPr>
            <w:tcW w:w="1637" w:type="dxa"/>
            <w:vMerge w:val="continue"/>
            <w:tcBorders>
              <w:tl2br w:val="nil"/>
              <w:tr2bl w:val="nil"/>
            </w:tcBorders>
            <w:noWrap w:val="0"/>
            <w:vAlign w:val="center"/>
          </w:tcPr>
          <w:p w14:paraId="4958848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431" w:type="dxa"/>
            <w:vMerge w:val="continue"/>
            <w:tcBorders>
              <w:tl2br w:val="nil"/>
              <w:tr2bl w:val="nil"/>
            </w:tcBorders>
            <w:noWrap w:val="0"/>
            <w:vAlign w:val="center"/>
          </w:tcPr>
          <w:p w14:paraId="2BFCB269">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r>
      <w:tr w14:paraId="26CEA1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18" w:type="dxa"/>
            <w:vMerge w:val="continue"/>
            <w:tcBorders>
              <w:tl2br w:val="nil"/>
              <w:tr2bl w:val="nil"/>
            </w:tcBorders>
            <w:noWrap w:val="0"/>
            <w:vAlign w:val="center"/>
          </w:tcPr>
          <w:p w14:paraId="7D160B03">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702" w:type="dxa"/>
            <w:vMerge w:val="continue"/>
            <w:tcBorders>
              <w:tl2br w:val="nil"/>
              <w:tr2bl w:val="nil"/>
            </w:tcBorders>
            <w:noWrap w:val="0"/>
            <w:vAlign w:val="center"/>
          </w:tcPr>
          <w:p w14:paraId="126AC8E5">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550" w:type="dxa"/>
            <w:vMerge w:val="continue"/>
            <w:tcBorders>
              <w:tl2br w:val="nil"/>
              <w:tr2bl w:val="nil"/>
            </w:tcBorders>
            <w:noWrap w:val="0"/>
            <w:vAlign w:val="center"/>
          </w:tcPr>
          <w:p w14:paraId="60C7B3DD">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118" w:type="dxa"/>
            <w:vMerge w:val="continue"/>
            <w:tcBorders>
              <w:tl2br w:val="nil"/>
              <w:tr2bl w:val="nil"/>
            </w:tcBorders>
            <w:noWrap w:val="0"/>
            <w:vAlign w:val="center"/>
          </w:tcPr>
          <w:p w14:paraId="0F9109F3">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886" w:type="dxa"/>
            <w:tcBorders>
              <w:tl2br w:val="nil"/>
              <w:tr2bl w:val="nil"/>
            </w:tcBorders>
            <w:noWrap w:val="0"/>
            <w:vAlign w:val="center"/>
          </w:tcPr>
          <w:p w14:paraId="06AD7B08">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NH</w:t>
            </w:r>
            <w:r>
              <w:rPr>
                <w:rFonts w:hint="default" w:ascii="Times New Roman" w:hAnsi="Times New Roman" w:eastAsia="宋体" w:cs="Times New Roman"/>
                <w:b w:val="0"/>
                <w:bCs w:val="0"/>
                <w:color w:val="auto"/>
                <w:sz w:val="21"/>
                <w:szCs w:val="21"/>
                <w:highlight w:val="none"/>
                <w:vertAlign w:val="subscript"/>
                <w:lang w:val="en-US" w:eastAsia="zh-CN" w:bidi="ar"/>
              </w:rPr>
              <w:t>3</w:t>
            </w:r>
            <w:r>
              <w:rPr>
                <w:rFonts w:hint="default" w:ascii="Times New Roman" w:hAnsi="Times New Roman" w:eastAsia="宋体" w:cs="Times New Roman"/>
                <w:b w:val="0"/>
                <w:bCs w:val="0"/>
                <w:color w:val="auto"/>
                <w:sz w:val="21"/>
                <w:szCs w:val="21"/>
                <w:highlight w:val="none"/>
                <w:lang w:val="en-US" w:eastAsia="zh-CN" w:bidi="ar"/>
              </w:rPr>
              <w:t>-N</w:t>
            </w:r>
          </w:p>
        </w:tc>
        <w:tc>
          <w:tcPr>
            <w:tcW w:w="1214" w:type="dxa"/>
            <w:tcBorders>
              <w:tl2br w:val="nil"/>
              <w:tr2bl w:val="nil"/>
            </w:tcBorders>
            <w:noWrap w:val="0"/>
            <w:vAlign w:val="center"/>
          </w:tcPr>
          <w:p w14:paraId="2B767A9C">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≤5(8)</w:t>
            </w:r>
          </w:p>
        </w:tc>
        <w:tc>
          <w:tcPr>
            <w:tcW w:w="1268" w:type="dxa"/>
            <w:tcBorders>
              <w:tl2br w:val="nil"/>
              <w:tr2bl w:val="nil"/>
            </w:tcBorders>
            <w:noWrap w:val="0"/>
            <w:vAlign w:val="center"/>
          </w:tcPr>
          <w:p w14:paraId="62F1FD21">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24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2.73（</w:t>
            </w:r>
            <w:r>
              <w:rPr>
                <w:rFonts w:hint="eastAsia" w:ascii="Times New Roman" w:hAnsi="Times New Roman" w:cs="Times New Roman"/>
                <w:b w:val="0"/>
                <w:bCs w:val="0"/>
                <w:color w:val="auto"/>
                <w:sz w:val="21"/>
                <w:szCs w:val="21"/>
                <w:highlight w:val="none"/>
                <w:lang w:val="en-US" w:eastAsia="zh-CN" w:bidi="ar"/>
              </w:rPr>
              <w:t>4.38</w:t>
            </w:r>
            <w:r>
              <w:rPr>
                <w:rFonts w:hint="default" w:ascii="Times New Roman" w:hAnsi="Times New Roman" w:eastAsia="宋体" w:cs="Times New Roman"/>
                <w:b w:val="0"/>
                <w:bCs w:val="0"/>
                <w:color w:val="auto"/>
                <w:sz w:val="21"/>
                <w:szCs w:val="21"/>
                <w:highlight w:val="none"/>
                <w:lang w:val="en-US" w:eastAsia="zh-CN" w:bidi="ar"/>
              </w:rPr>
              <w:t>）</w:t>
            </w:r>
          </w:p>
        </w:tc>
        <w:tc>
          <w:tcPr>
            <w:tcW w:w="1377" w:type="dxa"/>
            <w:tcBorders>
              <w:tl2br w:val="nil"/>
              <w:tr2bl w:val="nil"/>
            </w:tcBorders>
            <w:noWrap w:val="0"/>
            <w:vAlign w:val="center"/>
          </w:tcPr>
          <w:p w14:paraId="1C77943E">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5(8)</w:t>
            </w:r>
          </w:p>
        </w:tc>
        <w:tc>
          <w:tcPr>
            <w:tcW w:w="1637" w:type="dxa"/>
            <w:vMerge w:val="continue"/>
            <w:tcBorders>
              <w:tl2br w:val="nil"/>
              <w:tr2bl w:val="nil"/>
            </w:tcBorders>
            <w:noWrap w:val="0"/>
            <w:vAlign w:val="center"/>
          </w:tcPr>
          <w:p w14:paraId="074C5ED4">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431" w:type="dxa"/>
            <w:vMerge w:val="continue"/>
            <w:tcBorders>
              <w:tl2br w:val="nil"/>
              <w:tr2bl w:val="nil"/>
            </w:tcBorders>
            <w:noWrap w:val="0"/>
            <w:vAlign w:val="center"/>
          </w:tcPr>
          <w:p w14:paraId="187F904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r>
      <w:tr w14:paraId="53EAF5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18" w:type="dxa"/>
            <w:vMerge w:val="continue"/>
            <w:tcBorders>
              <w:tl2br w:val="nil"/>
              <w:tr2bl w:val="nil"/>
            </w:tcBorders>
            <w:noWrap w:val="0"/>
            <w:vAlign w:val="center"/>
          </w:tcPr>
          <w:p w14:paraId="0B3B219B">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702" w:type="dxa"/>
            <w:vMerge w:val="continue"/>
            <w:tcBorders>
              <w:tl2br w:val="nil"/>
              <w:tr2bl w:val="nil"/>
            </w:tcBorders>
            <w:noWrap w:val="0"/>
            <w:vAlign w:val="center"/>
          </w:tcPr>
          <w:p w14:paraId="02C4A20E">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550" w:type="dxa"/>
            <w:vMerge w:val="continue"/>
            <w:tcBorders>
              <w:tl2br w:val="nil"/>
              <w:tr2bl w:val="nil"/>
            </w:tcBorders>
            <w:noWrap w:val="0"/>
            <w:vAlign w:val="center"/>
          </w:tcPr>
          <w:p w14:paraId="770F1195">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118" w:type="dxa"/>
            <w:vMerge w:val="continue"/>
            <w:tcBorders>
              <w:tl2br w:val="nil"/>
              <w:tr2bl w:val="nil"/>
            </w:tcBorders>
            <w:noWrap w:val="0"/>
            <w:vAlign w:val="center"/>
          </w:tcPr>
          <w:p w14:paraId="202CB673">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886" w:type="dxa"/>
            <w:tcBorders>
              <w:tl2br w:val="nil"/>
              <w:tr2bl w:val="nil"/>
            </w:tcBorders>
            <w:noWrap w:val="0"/>
            <w:vAlign w:val="center"/>
          </w:tcPr>
          <w:p w14:paraId="33F4F735">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T-N</w:t>
            </w:r>
          </w:p>
        </w:tc>
        <w:tc>
          <w:tcPr>
            <w:tcW w:w="1214" w:type="dxa"/>
            <w:tcBorders>
              <w:tl2br w:val="nil"/>
              <w:tr2bl w:val="nil"/>
            </w:tcBorders>
            <w:noWrap w:val="0"/>
            <w:vAlign w:val="center"/>
          </w:tcPr>
          <w:p w14:paraId="0C6B044A">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≤15</w:t>
            </w:r>
          </w:p>
        </w:tc>
        <w:tc>
          <w:tcPr>
            <w:tcW w:w="1268" w:type="dxa"/>
            <w:tcBorders>
              <w:tl2br w:val="nil"/>
              <w:tr2bl w:val="nil"/>
            </w:tcBorders>
            <w:noWrap w:val="0"/>
            <w:vAlign w:val="center"/>
          </w:tcPr>
          <w:p w14:paraId="03BE6706">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8.21</w:t>
            </w:r>
          </w:p>
        </w:tc>
        <w:tc>
          <w:tcPr>
            <w:tcW w:w="1377" w:type="dxa"/>
            <w:tcBorders>
              <w:tl2br w:val="nil"/>
              <w:tr2bl w:val="nil"/>
            </w:tcBorders>
            <w:noWrap w:val="0"/>
            <w:vAlign w:val="center"/>
          </w:tcPr>
          <w:p w14:paraId="59CBA744">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15</w:t>
            </w:r>
          </w:p>
        </w:tc>
        <w:tc>
          <w:tcPr>
            <w:tcW w:w="1637" w:type="dxa"/>
            <w:vMerge w:val="continue"/>
            <w:tcBorders>
              <w:tl2br w:val="nil"/>
              <w:tr2bl w:val="nil"/>
            </w:tcBorders>
            <w:noWrap w:val="0"/>
            <w:vAlign w:val="center"/>
          </w:tcPr>
          <w:p w14:paraId="48C11196">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431" w:type="dxa"/>
            <w:vMerge w:val="continue"/>
            <w:tcBorders>
              <w:tl2br w:val="nil"/>
              <w:tr2bl w:val="nil"/>
            </w:tcBorders>
            <w:noWrap w:val="0"/>
            <w:vAlign w:val="center"/>
          </w:tcPr>
          <w:p w14:paraId="608C269A">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r>
      <w:tr w14:paraId="679026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18" w:type="dxa"/>
            <w:vMerge w:val="continue"/>
            <w:tcBorders>
              <w:tl2br w:val="nil"/>
              <w:tr2bl w:val="nil"/>
            </w:tcBorders>
            <w:noWrap w:val="0"/>
            <w:vAlign w:val="center"/>
          </w:tcPr>
          <w:p w14:paraId="5C7A02A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702" w:type="dxa"/>
            <w:vMerge w:val="continue"/>
            <w:tcBorders>
              <w:tl2br w:val="nil"/>
              <w:tr2bl w:val="nil"/>
            </w:tcBorders>
            <w:noWrap w:val="0"/>
            <w:vAlign w:val="center"/>
          </w:tcPr>
          <w:p w14:paraId="482811E0">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550" w:type="dxa"/>
            <w:vMerge w:val="continue"/>
            <w:tcBorders>
              <w:tl2br w:val="nil"/>
              <w:tr2bl w:val="nil"/>
            </w:tcBorders>
            <w:noWrap w:val="0"/>
            <w:vAlign w:val="center"/>
          </w:tcPr>
          <w:p w14:paraId="48D5CD05">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118" w:type="dxa"/>
            <w:vMerge w:val="continue"/>
            <w:tcBorders>
              <w:tl2br w:val="nil"/>
              <w:tr2bl w:val="nil"/>
            </w:tcBorders>
            <w:noWrap w:val="0"/>
            <w:vAlign w:val="center"/>
          </w:tcPr>
          <w:p w14:paraId="3087C597">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886" w:type="dxa"/>
            <w:tcBorders>
              <w:tl2br w:val="nil"/>
              <w:tr2bl w:val="nil"/>
            </w:tcBorders>
            <w:noWrap w:val="0"/>
            <w:vAlign w:val="center"/>
          </w:tcPr>
          <w:p w14:paraId="0481BA88">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T-P</w:t>
            </w:r>
          </w:p>
        </w:tc>
        <w:tc>
          <w:tcPr>
            <w:tcW w:w="1214" w:type="dxa"/>
            <w:tcBorders>
              <w:tl2br w:val="nil"/>
              <w:tr2bl w:val="nil"/>
            </w:tcBorders>
            <w:noWrap w:val="0"/>
            <w:vAlign w:val="center"/>
          </w:tcPr>
          <w:p w14:paraId="68DA9A84">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≤0.5</w:t>
            </w:r>
          </w:p>
        </w:tc>
        <w:tc>
          <w:tcPr>
            <w:tcW w:w="1268" w:type="dxa"/>
            <w:tcBorders>
              <w:tl2br w:val="nil"/>
              <w:tr2bl w:val="nil"/>
            </w:tcBorders>
            <w:noWrap w:val="0"/>
            <w:vAlign w:val="center"/>
          </w:tcPr>
          <w:p w14:paraId="38FD8C31">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0.27</w:t>
            </w:r>
          </w:p>
        </w:tc>
        <w:tc>
          <w:tcPr>
            <w:tcW w:w="1377" w:type="dxa"/>
            <w:tcBorders>
              <w:tl2br w:val="nil"/>
              <w:tr2bl w:val="nil"/>
            </w:tcBorders>
            <w:noWrap w:val="0"/>
            <w:vAlign w:val="center"/>
          </w:tcPr>
          <w:p w14:paraId="66637032">
            <w:pPr>
              <w:pStyle w:val="28"/>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r>
              <w:rPr>
                <w:rFonts w:hint="default" w:ascii="Times New Roman" w:hAnsi="Times New Roman" w:eastAsia="宋体" w:cs="Times New Roman"/>
                <w:color w:val="auto"/>
                <w:sz w:val="21"/>
                <w:szCs w:val="21"/>
                <w:highlight w:val="none"/>
                <w:lang w:val="en-US" w:eastAsia="zh-CN" w:bidi="ar"/>
              </w:rPr>
              <w:t>0.5</w:t>
            </w:r>
          </w:p>
        </w:tc>
        <w:tc>
          <w:tcPr>
            <w:tcW w:w="1637" w:type="dxa"/>
            <w:vMerge w:val="continue"/>
            <w:tcBorders>
              <w:tl2br w:val="nil"/>
              <w:tr2bl w:val="nil"/>
            </w:tcBorders>
            <w:noWrap w:val="0"/>
            <w:vAlign w:val="center"/>
          </w:tcPr>
          <w:p w14:paraId="4C3372A1">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c>
          <w:tcPr>
            <w:tcW w:w="1431" w:type="dxa"/>
            <w:vMerge w:val="continue"/>
            <w:tcBorders>
              <w:tl2br w:val="nil"/>
              <w:tr2bl w:val="nil"/>
            </w:tcBorders>
            <w:noWrap w:val="0"/>
            <w:vAlign w:val="center"/>
          </w:tcPr>
          <w:p w14:paraId="2A1804A6">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default" w:ascii="Times New Roman" w:hAnsi="Times New Roman" w:eastAsia="宋体" w:cs="Times New Roman"/>
                <w:b w:val="0"/>
                <w:bCs w:val="0"/>
                <w:color w:val="auto"/>
                <w:kern w:val="44"/>
                <w:sz w:val="24"/>
                <w:szCs w:val="24"/>
                <w:highlight w:val="none"/>
                <w:vertAlign w:val="baseline"/>
                <w:lang w:val="en-US" w:eastAsia="zh-CN" w:bidi="ar-SA"/>
              </w:rPr>
            </w:pPr>
          </w:p>
        </w:tc>
      </w:tr>
    </w:tbl>
    <w:p w14:paraId="18104DFD">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55" w:name="_Toc24193"/>
      <w:r>
        <w:rPr>
          <w:rFonts w:hint="default" w:ascii="Times New Roman" w:hAnsi="Times New Roman" w:eastAsia="宋体" w:cs="Times New Roman"/>
          <w:color w:val="auto"/>
          <w:kern w:val="2"/>
          <w:sz w:val="24"/>
          <w:szCs w:val="32"/>
          <w:highlight w:val="none"/>
          <w:lang w:val="en-US" w:eastAsia="zh-CN"/>
        </w:rPr>
        <w:t>6.3水环境监测计划</w:t>
      </w:r>
      <w:bookmarkEnd w:id="155"/>
    </w:p>
    <w:p w14:paraId="1E113B41">
      <w:pPr>
        <w:keepNext/>
        <w:keepLines/>
        <w:pageBreakBefore w:val="0"/>
        <w:widowControl w:val="0"/>
        <w:numPr>
          <w:ilvl w:val="2"/>
          <w:numId w:val="0"/>
        </w:numPr>
        <w:tabs>
          <w:tab w:val="left" w:pos="0"/>
          <w:tab w:val="left" w:pos="210"/>
          <w:tab w:val="left" w:pos="420"/>
        </w:tabs>
        <w:kinsoku/>
        <w:wordWrap/>
        <w:overflowPunct/>
        <w:topLinePunct w:val="0"/>
        <w:autoSpaceDE/>
        <w:autoSpaceDN/>
        <w:bidi w:val="0"/>
        <w:adjustRightInd/>
        <w:snapToGrid/>
        <w:spacing w:before="0" w:beforeLines="0" w:after="0" w:afterLines="0" w:line="360" w:lineRule="auto"/>
        <w:ind w:leftChars="0" w:firstLine="480" w:firstLineChars="200"/>
        <w:textAlignment w:val="auto"/>
        <w:outlineLvl w:val="9"/>
        <w:rPr>
          <w:rFonts w:hint="default" w:ascii="Times New Roman" w:hAnsi="Times New Roman" w:eastAsia="宋体" w:cs="Times New Roman"/>
          <w:bCs w:val="0"/>
          <w:color w:val="auto"/>
          <w:kern w:val="2"/>
          <w:sz w:val="24"/>
          <w:szCs w:val="24"/>
          <w:highlight w:val="none"/>
          <w:lang w:val="en-US" w:eastAsia="zh-CN" w:bidi="ar-SA"/>
        </w:rPr>
      </w:pPr>
      <w:bookmarkStart w:id="156" w:name="_Toc17722"/>
      <w:bookmarkStart w:id="157" w:name="_Toc20115"/>
      <w:bookmarkStart w:id="158" w:name="_Toc7735"/>
      <w:r>
        <w:rPr>
          <w:rFonts w:hint="default" w:ascii="Times New Roman" w:hAnsi="Times New Roman" w:eastAsia="宋体" w:cs="Times New Roman"/>
          <w:bCs w:val="0"/>
          <w:color w:val="auto"/>
          <w:kern w:val="2"/>
          <w:sz w:val="24"/>
          <w:szCs w:val="24"/>
          <w:highlight w:val="none"/>
          <w:lang w:val="en-US" w:eastAsia="zh-CN" w:bidi="ar-SA"/>
        </w:rPr>
        <w:t>依据《排污单位自行监测技术指南 水处理（HJ1083-2020）》相关要求，在生产运营期间对污染源及周边地表水环境质量开展监测。</w:t>
      </w:r>
      <w:bookmarkEnd w:id="156"/>
      <w:bookmarkEnd w:id="157"/>
      <w:bookmarkEnd w:id="158"/>
    </w:p>
    <w:p w14:paraId="365B4C07">
      <w:pPr>
        <w:pStyle w:val="6"/>
        <w:numPr>
          <w:ilvl w:val="2"/>
          <w:numId w:val="0"/>
        </w:numPr>
        <w:bidi w:val="0"/>
        <w:ind w:leftChars="0"/>
        <w:rPr>
          <w:rFonts w:hint="default" w:ascii="Times New Roman" w:hAnsi="Times New Roman" w:cs="Times New Roman"/>
          <w:color w:val="auto"/>
          <w:sz w:val="24"/>
          <w:szCs w:val="40"/>
          <w:highlight w:val="none"/>
          <w:lang w:val="en-US" w:eastAsia="zh-CN"/>
        </w:rPr>
      </w:pPr>
      <w:bookmarkStart w:id="159" w:name="_Toc5499"/>
      <w:bookmarkStart w:id="160" w:name="_Toc6321"/>
      <w:r>
        <w:rPr>
          <w:rFonts w:hint="default" w:ascii="Times New Roman" w:hAnsi="Times New Roman" w:cs="Times New Roman"/>
          <w:color w:val="auto"/>
          <w:sz w:val="24"/>
          <w:szCs w:val="40"/>
          <w:highlight w:val="none"/>
          <w:lang w:val="en-US" w:eastAsia="zh-CN"/>
        </w:rPr>
        <w:t>6.3.1污染源监测计划</w:t>
      </w:r>
      <w:bookmarkEnd w:id="159"/>
      <w:bookmarkEnd w:id="160"/>
    </w:p>
    <w:p w14:paraId="0B0D42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bookmarkStart w:id="161" w:name="_Toc203"/>
      <w:bookmarkStart w:id="162" w:name="_Toc7674"/>
      <w:r>
        <w:rPr>
          <w:rFonts w:hint="default" w:ascii="Times New Roman" w:hAnsi="Times New Roman" w:cs="Times New Roman"/>
          <w:color w:val="auto"/>
          <w:sz w:val="24"/>
          <w:szCs w:val="24"/>
          <w:highlight w:val="none"/>
          <w:lang w:val="en-US" w:eastAsia="zh-CN"/>
        </w:rPr>
        <w:t>（1）进水监测要求</w:t>
      </w:r>
      <w:bookmarkEnd w:id="161"/>
      <w:bookmarkEnd w:id="162"/>
    </w:p>
    <w:p w14:paraId="407472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bookmarkStart w:id="163" w:name="_Toc22038"/>
      <w:bookmarkStart w:id="164" w:name="_Toc4531"/>
      <w:r>
        <w:rPr>
          <w:rFonts w:hint="default" w:ascii="Times New Roman" w:hAnsi="Times New Roman" w:cs="Times New Roman"/>
          <w:color w:val="auto"/>
          <w:sz w:val="24"/>
          <w:szCs w:val="24"/>
          <w:highlight w:val="none"/>
          <w:lang w:val="en-US" w:eastAsia="zh-CN"/>
        </w:rPr>
        <w:t>本项目属于生活污水处理</w:t>
      </w:r>
      <w:r>
        <w:rPr>
          <w:rFonts w:hint="eastAsia" w:cs="Times New Roman"/>
          <w:color w:val="auto"/>
          <w:sz w:val="24"/>
          <w:szCs w:val="24"/>
          <w:highlight w:val="none"/>
          <w:lang w:val="en-US" w:eastAsia="zh-CN"/>
        </w:rPr>
        <w:t>厂</w:t>
      </w:r>
      <w:r>
        <w:rPr>
          <w:rFonts w:hint="default" w:ascii="Times New Roman" w:hAnsi="Times New Roman" w:cs="Times New Roman"/>
          <w:color w:val="auto"/>
          <w:sz w:val="24"/>
          <w:szCs w:val="24"/>
          <w:highlight w:val="none"/>
          <w:lang w:val="en-US" w:eastAsia="zh-CN"/>
        </w:rPr>
        <w:t>，进水监测点位、指标及频次详见表6.3-1。</w:t>
      </w:r>
      <w:bookmarkEnd w:id="163"/>
      <w:bookmarkEnd w:id="164"/>
    </w:p>
    <w:p w14:paraId="1EF1931A">
      <w:pPr>
        <w:keepNext/>
        <w:keepLines/>
        <w:pageBreakBefore w:val="0"/>
        <w:widowControl w:val="0"/>
        <w:numPr>
          <w:ilvl w:val="2"/>
          <w:numId w:val="0"/>
        </w:numPr>
        <w:tabs>
          <w:tab w:val="left" w:pos="0"/>
          <w:tab w:val="left" w:pos="210"/>
          <w:tab w:val="left" w:pos="420"/>
        </w:tabs>
        <w:kinsoku/>
        <w:wordWrap/>
        <w:overflowPunct/>
        <w:topLinePunct w:val="0"/>
        <w:autoSpaceDE/>
        <w:autoSpaceDN/>
        <w:bidi w:val="0"/>
        <w:adjustRightInd w:val="0"/>
        <w:snapToGrid w:val="0"/>
        <w:spacing w:before="0" w:beforeLines="0" w:after="0" w:afterLines="0" w:line="240" w:lineRule="auto"/>
        <w:ind w:leftChars="0"/>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bookmarkStart w:id="165" w:name="_Toc16603"/>
      <w:bookmarkStart w:id="166" w:name="_Toc17364"/>
      <w:bookmarkStart w:id="167" w:name="_Toc28066"/>
      <w:r>
        <w:rPr>
          <w:rFonts w:hint="default" w:ascii="Times New Roman" w:hAnsi="Times New Roman" w:eastAsia="宋体" w:cs="Times New Roman"/>
          <w:b/>
          <w:bCs w:val="0"/>
          <w:color w:val="auto"/>
          <w:kern w:val="2"/>
          <w:sz w:val="21"/>
          <w:szCs w:val="21"/>
          <w:highlight w:val="none"/>
          <w:lang w:val="en-US" w:eastAsia="zh-CN" w:bidi="ar-SA"/>
        </w:rPr>
        <w:t>表6.3-1  进水监测指标及监测频次</w:t>
      </w:r>
      <w:bookmarkEnd w:id="165"/>
      <w:bookmarkEnd w:id="166"/>
      <w:bookmarkEnd w:id="167"/>
      <w:r>
        <w:rPr>
          <w:rFonts w:hint="eastAsia" w:eastAsia="宋体" w:cs="Times New Roman"/>
          <w:b/>
          <w:bCs w:val="0"/>
          <w:color w:val="auto"/>
          <w:kern w:val="2"/>
          <w:sz w:val="21"/>
          <w:szCs w:val="21"/>
          <w:highlight w:val="none"/>
          <w:lang w:val="en-US" w:eastAsia="zh-CN" w:bidi="ar-SA"/>
        </w:rPr>
        <w:t>表</w:t>
      </w:r>
    </w:p>
    <w:tbl>
      <w:tblPr>
        <w:tblStyle w:val="32"/>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3629"/>
        <w:gridCol w:w="5685"/>
        <w:gridCol w:w="4505"/>
      </w:tblGrid>
      <w:tr w14:paraId="78EE3D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3629" w:type="dxa"/>
            <w:tcBorders>
              <w:tl2br w:val="nil"/>
              <w:tr2bl w:val="nil"/>
            </w:tcBorders>
            <w:noWrap w:val="0"/>
            <w:vAlign w:val="center"/>
          </w:tcPr>
          <w:p w14:paraId="1D025AD3">
            <w:pPr>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eastAsia="宋体" w:cs="Times New Roman"/>
                <w:bCs w:val="0"/>
                <w:color w:val="auto"/>
                <w:kern w:val="2"/>
                <w:sz w:val="21"/>
                <w:szCs w:val="21"/>
                <w:highlight w:val="none"/>
                <w:lang w:val="en-US" w:eastAsia="zh-CN" w:bidi="ar-SA"/>
              </w:rPr>
              <w:t>监测点位</w:t>
            </w:r>
          </w:p>
        </w:tc>
        <w:tc>
          <w:tcPr>
            <w:tcW w:w="5685" w:type="dxa"/>
            <w:tcBorders>
              <w:tl2br w:val="nil"/>
              <w:tr2bl w:val="nil"/>
            </w:tcBorders>
            <w:noWrap w:val="0"/>
            <w:vAlign w:val="top"/>
          </w:tcPr>
          <w:p w14:paraId="01C90303">
            <w:pPr>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eastAsia="宋体" w:cs="Times New Roman"/>
                <w:bCs w:val="0"/>
                <w:color w:val="auto"/>
                <w:kern w:val="2"/>
                <w:sz w:val="21"/>
                <w:szCs w:val="21"/>
                <w:highlight w:val="none"/>
                <w:lang w:val="en-US" w:eastAsia="zh-CN" w:bidi="ar-SA"/>
              </w:rPr>
              <w:t>监测指标</w:t>
            </w:r>
          </w:p>
        </w:tc>
        <w:tc>
          <w:tcPr>
            <w:tcW w:w="4505" w:type="dxa"/>
            <w:tcBorders>
              <w:tl2br w:val="nil"/>
              <w:tr2bl w:val="nil"/>
            </w:tcBorders>
            <w:noWrap w:val="0"/>
            <w:vAlign w:val="top"/>
          </w:tcPr>
          <w:p w14:paraId="3111E58A">
            <w:pPr>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eastAsia="宋体" w:cs="Times New Roman"/>
                <w:bCs w:val="0"/>
                <w:color w:val="auto"/>
                <w:kern w:val="2"/>
                <w:sz w:val="21"/>
                <w:szCs w:val="21"/>
                <w:highlight w:val="none"/>
                <w:lang w:val="en-US" w:eastAsia="zh-CN" w:bidi="ar-SA"/>
              </w:rPr>
              <w:t>监测频次</w:t>
            </w:r>
          </w:p>
        </w:tc>
      </w:tr>
      <w:tr w14:paraId="277F85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3629" w:type="dxa"/>
            <w:vMerge w:val="restart"/>
            <w:tcBorders>
              <w:tl2br w:val="nil"/>
              <w:tr2bl w:val="nil"/>
            </w:tcBorders>
            <w:noWrap w:val="0"/>
            <w:vAlign w:val="center"/>
          </w:tcPr>
          <w:p w14:paraId="1731F123">
            <w:pPr>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eastAsia="宋体" w:cs="Times New Roman"/>
                <w:bCs w:val="0"/>
                <w:color w:val="auto"/>
                <w:kern w:val="2"/>
                <w:sz w:val="21"/>
                <w:szCs w:val="21"/>
                <w:highlight w:val="none"/>
                <w:lang w:val="en-US" w:eastAsia="zh-CN" w:bidi="ar-SA"/>
              </w:rPr>
              <w:t>进水总管</w:t>
            </w:r>
          </w:p>
        </w:tc>
        <w:tc>
          <w:tcPr>
            <w:tcW w:w="5685" w:type="dxa"/>
            <w:tcBorders>
              <w:tl2br w:val="nil"/>
              <w:tr2bl w:val="nil"/>
            </w:tcBorders>
            <w:noWrap w:val="0"/>
            <w:vAlign w:val="center"/>
          </w:tcPr>
          <w:p w14:paraId="7705E545">
            <w:pPr>
              <w:snapToGrid w:val="0"/>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cs="Times New Roman"/>
                <w:color w:val="auto"/>
                <w:szCs w:val="21"/>
                <w:highlight w:val="none"/>
              </w:rPr>
              <w:t>流量、COD、氨氮</w:t>
            </w:r>
          </w:p>
        </w:tc>
        <w:tc>
          <w:tcPr>
            <w:tcW w:w="4505" w:type="dxa"/>
            <w:tcBorders>
              <w:tl2br w:val="nil"/>
              <w:tr2bl w:val="nil"/>
            </w:tcBorders>
            <w:noWrap w:val="0"/>
            <w:vAlign w:val="center"/>
          </w:tcPr>
          <w:p w14:paraId="0DD8B2F8">
            <w:pPr>
              <w:snapToGrid w:val="0"/>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cs="Times New Roman"/>
                <w:color w:val="auto"/>
                <w:szCs w:val="21"/>
                <w:highlight w:val="none"/>
              </w:rPr>
              <w:t>自动监测</w:t>
            </w:r>
            <w:r>
              <w:rPr>
                <w:rFonts w:hint="eastAsia" w:cs="Times New Roman"/>
                <w:color w:val="auto"/>
                <w:szCs w:val="21"/>
                <w:highlight w:val="none"/>
                <w:lang w:eastAsia="zh-CN"/>
              </w:rPr>
              <w:t>，</w:t>
            </w:r>
            <w:r>
              <w:rPr>
                <w:rFonts w:hint="eastAsia" w:cs="Times New Roman"/>
                <w:color w:val="auto"/>
                <w:szCs w:val="21"/>
                <w:highlight w:val="none"/>
                <w:lang w:val="en-US" w:eastAsia="zh-CN"/>
              </w:rPr>
              <w:t>并与生态环境主管部门联网</w:t>
            </w:r>
          </w:p>
        </w:tc>
      </w:tr>
      <w:tr w14:paraId="09E7E1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4" w:hRule="atLeast"/>
          <w:jc w:val="center"/>
        </w:trPr>
        <w:tc>
          <w:tcPr>
            <w:tcW w:w="3629" w:type="dxa"/>
            <w:vMerge w:val="continue"/>
            <w:tcBorders>
              <w:tl2br w:val="nil"/>
              <w:tr2bl w:val="nil"/>
            </w:tcBorders>
            <w:noWrap w:val="0"/>
            <w:vAlign w:val="center"/>
          </w:tcPr>
          <w:p w14:paraId="731796DB">
            <w:pPr>
              <w:jc w:val="center"/>
              <w:rPr>
                <w:rFonts w:hint="default" w:ascii="Times New Roman" w:hAnsi="Times New Roman" w:eastAsia="宋体" w:cs="Times New Roman"/>
                <w:bCs w:val="0"/>
                <w:color w:val="auto"/>
                <w:kern w:val="2"/>
                <w:sz w:val="21"/>
                <w:szCs w:val="21"/>
                <w:highlight w:val="none"/>
                <w:lang w:val="en-US" w:eastAsia="zh-CN" w:bidi="ar-SA"/>
              </w:rPr>
            </w:pPr>
          </w:p>
        </w:tc>
        <w:tc>
          <w:tcPr>
            <w:tcW w:w="5685" w:type="dxa"/>
            <w:tcBorders>
              <w:tl2br w:val="nil"/>
              <w:tr2bl w:val="nil"/>
            </w:tcBorders>
            <w:noWrap w:val="0"/>
            <w:vAlign w:val="center"/>
          </w:tcPr>
          <w:p w14:paraId="4B1EBE71">
            <w:pPr>
              <w:snapToGrid w:val="0"/>
              <w:jc w:val="center"/>
              <w:rPr>
                <w:rFonts w:hint="eastAsia" w:ascii="Times New Roman" w:hAnsi="Times New Roman" w:eastAsia="宋体" w:cs="Times New Roman"/>
                <w:bCs w:val="0"/>
                <w:color w:val="auto"/>
                <w:kern w:val="2"/>
                <w:sz w:val="21"/>
                <w:szCs w:val="21"/>
                <w:highlight w:val="none"/>
                <w:lang w:val="en-US" w:eastAsia="zh-CN" w:bidi="ar-SA"/>
              </w:rPr>
            </w:pPr>
            <w:r>
              <w:rPr>
                <w:rFonts w:hint="eastAsia" w:cs="Times New Roman"/>
                <w:color w:val="auto"/>
                <w:szCs w:val="21"/>
                <w:highlight w:val="none"/>
                <w:lang w:val="en-US" w:eastAsia="zh-CN"/>
              </w:rPr>
              <w:t>总磷</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总氮</w:t>
            </w:r>
          </w:p>
        </w:tc>
        <w:tc>
          <w:tcPr>
            <w:tcW w:w="4505" w:type="dxa"/>
            <w:tcBorders>
              <w:tl2br w:val="nil"/>
              <w:tr2bl w:val="nil"/>
            </w:tcBorders>
            <w:noWrap w:val="0"/>
            <w:vAlign w:val="center"/>
          </w:tcPr>
          <w:p w14:paraId="4F082C71">
            <w:pPr>
              <w:snapToGrid w:val="0"/>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cs="Times New Roman"/>
                <w:color w:val="auto"/>
                <w:szCs w:val="21"/>
                <w:highlight w:val="none"/>
              </w:rPr>
              <w:t>日</w:t>
            </w:r>
          </w:p>
        </w:tc>
      </w:tr>
    </w:tbl>
    <w:p w14:paraId="6AC589CB">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default" w:ascii="Times New Roman" w:hAnsi="Times New Roman" w:eastAsia="宋体" w:cs="Times New Roman"/>
          <w:b w:val="0"/>
          <w:bCs w:val="0"/>
          <w:color w:val="auto"/>
          <w:kern w:val="44"/>
          <w:sz w:val="24"/>
          <w:szCs w:val="24"/>
          <w:highlight w:val="none"/>
          <w:lang w:val="en-US" w:eastAsia="zh-CN" w:bidi="ar-SA"/>
        </w:rPr>
        <w:sectPr>
          <w:pgSz w:w="16838" w:h="11906" w:orient="landscape"/>
          <w:pgMar w:top="1701" w:right="1304" w:bottom="1701" w:left="1304" w:header="1304" w:footer="1304" w:gutter="0"/>
          <w:pgBorders>
            <w:top w:val="none" w:sz="0" w:space="0"/>
            <w:left w:val="none" w:sz="0" w:space="0"/>
            <w:bottom w:val="none" w:sz="0" w:space="0"/>
            <w:right w:val="none" w:sz="0" w:space="0"/>
          </w:pgBorders>
          <w:pgNumType w:fmt="decimal"/>
          <w:cols w:space="720" w:num="1"/>
          <w:docGrid w:linePitch="312" w:charSpace="0"/>
        </w:sectPr>
      </w:pPr>
    </w:p>
    <w:p w14:paraId="408DC39F">
      <w:pPr>
        <w:pStyle w:val="2"/>
        <w:ind w:firstLine="480" w:firstLineChars="200"/>
        <w:rPr>
          <w:rFonts w:hint="default" w:ascii="Times New Roman" w:hAnsi="Times New Roman" w:cs="Times New Roman"/>
          <w:color w:val="auto"/>
          <w:sz w:val="24"/>
          <w:szCs w:val="40"/>
          <w:highlight w:val="none"/>
          <w:lang w:val="en-US" w:eastAsia="zh-CN"/>
        </w:rPr>
      </w:pPr>
      <w:r>
        <w:rPr>
          <w:rFonts w:hint="default" w:ascii="Times New Roman" w:hAnsi="Times New Roman" w:cs="Times New Roman"/>
          <w:color w:val="auto"/>
          <w:sz w:val="24"/>
          <w:szCs w:val="40"/>
          <w:highlight w:val="none"/>
          <w:lang w:val="en-US" w:eastAsia="zh-CN"/>
        </w:rPr>
        <w:t>（2）出水监测要求</w:t>
      </w:r>
    </w:p>
    <w:p w14:paraId="3D835F68">
      <w:pPr>
        <w:pStyle w:val="2"/>
        <w:ind w:firstLine="480" w:firstLineChars="200"/>
        <w:rPr>
          <w:rFonts w:hint="default" w:ascii="Times New Roman" w:hAnsi="Times New Roman" w:cs="Times New Roman"/>
          <w:color w:val="auto"/>
          <w:sz w:val="24"/>
          <w:szCs w:val="40"/>
          <w:highlight w:val="none"/>
          <w:lang w:val="en-US" w:eastAsia="zh-CN"/>
        </w:rPr>
      </w:pPr>
      <w:r>
        <w:rPr>
          <w:rFonts w:hint="default" w:ascii="Times New Roman" w:hAnsi="Times New Roman" w:cs="Times New Roman"/>
          <w:color w:val="auto"/>
          <w:sz w:val="24"/>
          <w:szCs w:val="40"/>
          <w:highlight w:val="none"/>
          <w:lang w:val="en-US" w:eastAsia="zh-CN"/>
        </w:rPr>
        <w:t>出水监测点位、指标及频次详见表6.3-2。</w:t>
      </w:r>
    </w:p>
    <w:p w14:paraId="7CC65A50">
      <w:pPr>
        <w:adjustRightInd w:val="0"/>
        <w:snapToGrid w:val="0"/>
        <w:ind w:firstLine="422" w:firstLineChars="20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w:t>
      </w:r>
      <w:r>
        <w:rPr>
          <w:rFonts w:hint="default" w:ascii="Times New Roman" w:hAnsi="Times New Roman" w:cs="Times New Roman"/>
          <w:b/>
          <w:color w:val="auto"/>
          <w:szCs w:val="21"/>
          <w:highlight w:val="none"/>
          <w:lang w:val="en-US" w:eastAsia="zh-CN"/>
        </w:rPr>
        <w:t>6</w:t>
      </w:r>
      <w:r>
        <w:rPr>
          <w:rFonts w:hint="default" w:ascii="Times New Roman" w:hAnsi="Times New Roman" w:cs="Times New Roman"/>
          <w:b/>
          <w:color w:val="auto"/>
          <w:szCs w:val="21"/>
          <w:highlight w:val="none"/>
        </w:rPr>
        <w:t>.</w:t>
      </w:r>
      <w:r>
        <w:rPr>
          <w:rFonts w:hint="default" w:ascii="Times New Roman" w:hAnsi="Times New Roman" w:cs="Times New Roman"/>
          <w:b/>
          <w:color w:val="auto"/>
          <w:szCs w:val="21"/>
          <w:highlight w:val="none"/>
          <w:lang w:val="en-US" w:eastAsia="zh-CN"/>
        </w:rPr>
        <w:t>3-2</w:t>
      </w:r>
      <w:r>
        <w:rPr>
          <w:rFonts w:hint="default" w:ascii="Times New Roman" w:hAnsi="Times New Roman" w:cs="Times New Roman"/>
          <w:b/>
          <w:color w:val="auto"/>
          <w:szCs w:val="21"/>
          <w:highlight w:val="none"/>
        </w:rPr>
        <w:t xml:space="preserve">  </w:t>
      </w:r>
      <w:r>
        <w:rPr>
          <w:rFonts w:hint="eastAsia" w:cs="Times New Roman"/>
          <w:b/>
          <w:bCs w:val="0"/>
          <w:color w:val="auto"/>
          <w:kern w:val="2"/>
          <w:sz w:val="21"/>
          <w:szCs w:val="21"/>
          <w:highlight w:val="none"/>
          <w:lang w:val="en-US" w:eastAsia="zh-CN" w:bidi="ar-SA"/>
        </w:rPr>
        <w:t>出</w:t>
      </w:r>
      <w:r>
        <w:rPr>
          <w:rFonts w:hint="default" w:ascii="Times New Roman" w:hAnsi="Times New Roman" w:eastAsia="宋体" w:cs="Times New Roman"/>
          <w:b/>
          <w:bCs w:val="0"/>
          <w:color w:val="auto"/>
          <w:kern w:val="2"/>
          <w:sz w:val="21"/>
          <w:szCs w:val="21"/>
          <w:highlight w:val="none"/>
          <w:lang w:val="en-US" w:eastAsia="zh-CN" w:bidi="ar-SA"/>
        </w:rPr>
        <w:t>水监测指标及监测频次</w:t>
      </w:r>
      <w:r>
        <w:rPr>
          <w:rFonts w:hint="eastAsia" w:cs="Times New Roman"/>
          <w:b/>
          <w:bCs w:val="0"/>
          <w:color w:val="auto"/>
          <w:kern w:val="2"/>
          <w:sz w:val="21"/>
          <w:szCs w:val="21"/>
          <w:highlight w:val="none"/>
          <w:lang w:val="en-US" w:eastAsia="zh-CN" w:bidi="ar-SA"/>
        </w:rPr>
        <w:t>表</w:t>
      </w:r>
    </w:p>
    <w:tbl>
      <w:tblPr>
        <w:tblStyle w:val="31"/>
        <w:tblW w:w="474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8"/>
        <w:gridCol w:w="4128"/>
        <w:gridCol w:w="1139"/>
        <w:gridCol w:w="1847"/>
      </w:tblGrid>
      <w:tr w14:paraId="297358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72" w:type="dxa"/>
            <w:tcBorders>
              <w:tl2br w:val="nil"/>
              <w:tr2bl w:val="nil"/>
            </w:tcBorders>
            <w:noWrap w:val="0"/>
            <w:vAlign w:val="center"/>
          </w:tcPr>
          <w:p w14:paraId="12E225EF">
            <w:pPr>
              <w:snapToGrid w:val="0"/>
              <w:jc w:val="center"/>
              <w:rPr>
                <w:rFonts w:hint="default" w:ascii="Times New Roman" w:hAnsi="Times New Roman" w:cs="Times New Roman"/>
                <w:b/>
                <w:bCs/>
                <w:color w:val="auto"/>
                <w:szCs w:val="21"/>
                <w:highlight w:val="none"/>
                <w:lang w:eastAsia="zh-CN"/>
              </w:rPr>
            </w:pPr>
            <w:r>
              <w:rPr>
                <w:rFonts w:hint="default" w:ascii="Times New Roman" w:hAnsi="Times New Roman" w:cs="Times New Roman"/>
                <w:b/>
                <w:bCs/>
                <w:color w:val="auto"/>
                <w:szCs w:val="21"/>
                <w:highlight w:val="none"/>
                <w:lang w:eastAsia="zh-CN"/>
              </w:rPr>
              <w:t>监测</w:t>
            </w:r>
          </w:p>
          <w:p w14:paraId="44625BBA">
            <w:pPr>
              <w:snapToGrid w:val="0"/>
              <w:jc w:val="center"/>
              <w:rPr>
                <w:rFonts w:hint="default" w:ascii="Times New Roman" w:hAnsi="Times New Roman" w:eastAsia="宋体" w:cs="Times New Roman"/>
                <w:b/>
                <w:bCs/>
                <w:color w:val="auto"/>
                <w:szCs w:val="21"/>
                <w:highlight w:val="none"/>
                <w:lang w:eastAsia="zh-CN"/>
              </w:rPr>
            </w:pPr>
            <w:r>
              <w:rPr>
                <w:rFonts w:hint="default" w:ascii="Times New Roman" w:hAnsi="Times New Roman" w:cs="Times New Roman"/>
                <w:b/>
                <w:bCs/>
                <w:color w:val="auto"/>
                <w:szCs w:val="21"/>
                <w:highlight w:val="none"/>
                <w:lang w:eastAsia="zh-CN"/>
              </w:rPr>
              <w:t>点位</w:t>
            </w:r>
          </w:p>
        </w:tc>
        <w:tc>
          <w:tcPr>
            <w:tcW w:w="4234" w:type="dxa"/>
            <w:tcBorders>
              <w:tl2br w:val="nil"/>
              <w:tr2bl w:val="nil"/>
            </w:tcBorders>
            <w:noWrap w:val="0"/>
            <w:vAlign w:val="center"/>
          </w:tcPr>
          <w:p w14:paraId="6C1F6C4E">
            <w:pPr>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监测项目</w:t>
            </w:r>
          </w:p>
        </w:tc>
        <w:tc>
          <w:tcPr>
            <w:tcW w:w="1168" w:type="dxa"/>
            <w:tcBorders>
              <w:tl2br w:val="nil"/>
              <w:tr2bl w:val="nil"/>
            </w:tcBorders>
            <w:noWrap w:val="0"/>
            <w:vAlign w:val="center"/>
          </w:tcPr>
          <w:p w14:paraId="6EA6CF59">
            <w:pPr>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监测频率</w:t>
            </w:r>
          </w:p>
        </w:tc>
        <w:tc>
          <w:tcPr>
            <w:tcW w:w="1894" w:type="dxa"/>
            <w:tcBorders>
              <w:tl2br w:val="nil"/>
              <w:tr2bl w:val="nil"/>
            </w:tcBorders>
            <w:noWrap w:val="0"/>
            <w:vAlign w:val="center"/>
          </w:tcPr>
          <w:p w14:paraId="2DCE8750">
            <w:pPr>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控制指标</w:t>
            </w:r>
          </w:p>
        </w:tc>
      </w:tr>
      <w:tr w14:paraId="595CA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72" w:type="dxa"/>
            <w:vMerge w:val="restart"/>
            <w:tcBorders>
              <w:tl2br w:val="nil"/>
              <w:tr2bl w:val="nil"/>
            </w:tcBorders>
            <w:noWrap w:val="0"/>
            <w:vAlign w:val="center"/>
          </w:tcPr>
          <w:p w14:paraId="0992ECCA">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eastAsia="zh-CN"/>
              </w:rPr>
              <w:t>废水总</w:t>
            </w:r>
            <w:r>
              <w:rPr>
                <w:rFonts w:hint="default" w:ascii="Times New Roman" w:hAnsi="Times New Roman" w:cs="Times New Roman"/>
                <w:color w:val="auto"/>
                <w:szCs w:val="21"/>
                <w:highlight w:val="none"/>
              </w:rPr>
              <w:t>排放口</w:t>
            </w:r>
            <w:r>
              <w:rPr>
                <w:rFonts w:hint="default" w:ascii="Times New Roman" w:hAnsi="Times New Roman" w:cs="Times New Roman"/>
                <w:color w:val="auto"/>
                <w:szCs w:val="21"/>
                <w:highlight w:val="none"/>
                <w:vertAlign w:val="superscript"/>
                <w:lang w:val="en-US" w:eastAsia="zh-CN"/>
              </w:rPr>
              <w:t>a</w:t>
            </w:r>
          </w:p>
        </w:tc>
        <w:tc>
          <w:tcPr>
            <w:tcW w:w="4234" w:type="dxa"/>
            <w:tcBorders>
              <w:tl2br w:val="nil"/>
              <w:tr2bl w:val="nil"/>
            </w:tcBorders>
            <w:noWrap w:val="0"/>
            <w:vAlign w:val="center"/>
          </w:tcPr>
          <w:p w14:paraId="317193F5">
            <w:pPr>
              <w:keepNext w:val="0"/>
              <w:keepLines w:val="0"/>
              <w:pageBreakBefore w:val="0"/>
              <w:widowControl w:val="0"/>
              <w:kinsoku/>
              <w:wordWrap/>
              <w:overflowPunct/>
              <w:topLinePunct w:val="0"/>
              <w:autoSpaceDE/>
              <w:autoSpaceDN/>
              <w:bidi w:val="0"/>
              <w:adjustRightInd/>
              <w:snapToGrid w:val="0"/>
              <w:spacing w:before="32" w:beforeLines="10" w:after="32" w:afterLines="1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流量、pH值、</w:t>
            </w:r>
            <w:r>
              <w:rPr>
                <w:rFonts w:hint="default" w:ascii="Times New Roman" w:hAnsi="Times New Roman" w:cs="Times New Roman"/>
                <w:color w:val="auto"/>
                <w:szCs w:val="21"/>
                <w:highlight w:val="none"/>
                <w:lang w:eastAsia="zh-CN"/>
              </w:rPr>
              <w:t>水温、化学需氧量</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氨氮、总磷</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总氮</w:t>
            </w:r>
            <w:r>
              <w:rPr>
                <w:rFonts w:hint="default" w:ascii="Times New Roman" w:hAnsi="Times New Roman" w:cs="Times New Roman"/>
                <w:color w:val="auto"/>
                <w:szCs w:val="21"/>
                <w:highlight w:val="none"/>
                <w:vertAlign w:val="superscript"/>
                <w:lang w:val="en-US" w:eastAsia="zh-CN"/>
              </w:rPr>
              <w:t>b</w:t>
            </w:r>
          </w:p>
        </w:tc>
        <w:tc>
          <w:tcPr>
            <w:tcW w:w="1168" w:type="dxa"/>
            <w:tcBorders>
              <w:tl2br w:val="nil"/>
              <w:tr2bl w:val="nil"/>
            </w:tcBorders>
            <w:noWrap w:val="0"/>
            <w:vAlign w:val="center"/>
          </w:tcPr>
          <w:p w14:paraId="6A777CF9">
            <w:pPr>
              <w:keepNext w:val="0"/>
              <w:keepLines w:val="0"/>
              <w:pageBreakBefore w:val="0"/>
              <w:widowControl w:val="0"/>
              <w:kinsoku/>
              <w:wordWrap/>
              <w:overflowPunct/>
              <w:topLinePunct w:val="0"/>
              <w:autoSpaceDE/>
              <w:autoSpaceDN/>
              <w:bidi w:val="0"/>
              <w:adjustRightInd/>
              <w:snapToGrid w:val="0"/>
              <w:spacing w:before="32" w:beforeLines="10" w:after="32" w:afterLines="1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自动监测</w:t>
            </w:r>
          </w:p>
        </w:tc>
        <w:tc>
          <w:tcPr>
            <w:tcW w:w="1894" w:type="dxa"/>
            <w:vMerge w:val="restart"/>
            <w:tcBorders>
              <w:tl2br w:val="nil"/>
              <w:tr2bl w:val="nil"/>
            </w:tcBorders>
            <w:noWrap w:val="0"/>
            <w:vAlign w:val="center"/>
          </w:tcPr>
          <w:p w14:paraId="2203D41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城镇污水处理厂</w:t>
            </w:r>
            <w:r>
              <w:rPr>
                <w:rFonts w:hint="default" w:ascii="Times New Roman" w:hAnsi="Times New Roman" w:cs="Times New Roman"/>
                <w:color w:val="auto"/>
                <w:szCs w:val="21"/>
                <w:highlight w:val="none"/>
              </w:rPr>
              <w:t>污染物排放标准》</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GB18918-2002</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一级A标准</w:t>
            </w:r>
          </w:p>
        </w:tc>
      </w:tr>
      <w:tr w14:paraId="7F272F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2" w:type="dxa"/>
            <w:vMerge w:val="continue"/>
            <w:tcBorders>
              <w:tl2br w:val="nil"/>
              <w:tr2bl w:val="nil"/>
            </w:tcBorders>
            <w:noWrap w:val="0"/>
            <w:vAlign w:val="center"/>
          </w:tcPr>
          <w:p w14:paraId="26E348AD">
            <w:pPr>
              <w:snapToGrid w:val="0"/>
              <w:jc w:val="center"/>
              <w:rPr>
                <w:rFonts w:hint="default" w:ascii="Times New Roman" w:hAnsi="Times New Roman" w:cs="Times New Roman"/>
                <w:color w:val="auto"/>
                <w:szCs w:val="21"/>
                <w:highlight w:val="none"/>
              </w:rPr>
            </w:pPr>
          </w:p>
        </w:tc>
        <w:tc>
          <w:tcPr>
            <w:tcW w:w="4234" w:type="dxa"/>
            <w:tcBorders>
              <w:tl2br w:val="nil"/>
              <w:tr2bl w:val="nil"/>
            </w:tcBorders>
            <w:noWrap w:val="0"/>
            <w:vAlign w:val="center"/>
          </w:tcPr>
          <w:p w14:paraId="1DF5B170">
            <w:pPr>
              <w:keepNext w:val="0"/>
              <w:keepLines w:val="0"/>
              <w:pageBreakBefore w:val="0"/>
              <w:widowControl w:val="0"/>
              <w:kinsoku/>
              <w:wordWrap/>
              <w:overflowPunct/>
              <w:topLinePunct w:val="0"/>
              <w:autoSpaceDE/>
              <w:autoSpaceDN/>
              <w:bidi w:val="0"/>
              <w:adjustRightInd/>
              <w:snapToGrid w:val="0"/>
              <w:spacing w:before="32" w:beforeLines="10" w:after="32" w:afterLines="1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SS、</w:t>
            </w:r>
            <w:r>
              <w:rPr>
                <w:rFonts w:hint="default" w:ascii="Times New Roman" w:hAnsi="Times New Roman" w:cs="Times New Roman"/>
                <w:color w:val="auto"/>
                <w:szCs w:val="21"/>
                <w:highlight w:val="none"/>
                <w:lang w:eastAsia="zh-CN"/>
              </w:rPr>
              <w:t>色度、五日生化需氧量、动植物油、石油类、阴离子表面活性剂、粪大肠菌群数</w:t>
            </w:r>
          </w:p>
        </w:tc>
        <w:tc>
          <w:tcPr>
            <w:tcW w:w="1168" w:type="dxa"/>
            <w:tcBorders>
              <w:tl2br w:val="nil"/>
              <w:tr2bl w:val="nil"/>
            </w:tcBorders>
            <w:noWrap w:val="0"/>
            <w:vAlign w:val="center"/>
          </w:tcPr>
          <w:p w14:paraId="042E59C0">
            <w:pPr>
              <w:keepNext w:val="0"/>
              <w:keepLines w:val="0"/>
              <w:pageBreakBefore w:val="0"/>
              <w:widowControl w:val="0"/>
              <w:kinsoku/>
              <w:wordWrap/>
              <w:overflowPunct/>
              <w:topLinePunct w:val="0"/>
              <w:autoSpaceDE/>
              <w:autoSpaceDN/>
              <w:bidi w:val="0"/>
              <w:adjustRightInd/>
              <w:snapToGrid w:val="0"/>
              <w:spacing w:before="32" w:beforeLines="10" w:after="32" w:afterLines="10"/>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季度</w:t>
            </w:r>
          </w:p>
        </w:tc>
        <w:tc>
          <w:tcPr>
            <w:tcW w:w="1894" w:type="dxa"/>
            <w:vMerge w:val="continue"/>
            <w:tcBorders>
              <w:tl2br w:val="nil"/>
              <w:tr2bl w:val="nil"/>
            </w:tcBorders>
            <w:noWrap w:val="0"/>
            <w:vAlign w:val="center"/>
          </w:tcPr>
          <w:p w14:paraId="5A83D7E9">
            <w:pPr>
              <w:snapToGrid w:val="0"/>
              <w:jc w:val="left"/>
              <w:rPr>
                <w:rFonts w:hint="default" w:ascii="Times New Roman" w:hAnsi="Times New Roman" w:cs="Times New Roman"/>
                <w:color w:val="auto"/>
                <w:szCs w:val="21"/>
                <w:highlight w:val="none"/>
              </w:rPr>
            </w:pPr>
          </w:p>
        </w:tc>
      </w:tr>
      <w:tr w14:paraId="0EAB8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2" w:type="dxa"/>
            <w:tcBorders>
              <w:tl2br w:val="nil"/>
              <w:tr2bl w:val="nil"/>
            </w:tcBorders>
            <w:noWrap w:val="0"/>
            <w:vAlign w:val="center"/>
          </w:tcPr>
          <w:p w14:paraId="40A3651A">
            <w:pPr>
              <w:snapToGrid w:val="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雨水排放口</w:t>
            </w:r>
          </w:p>
        </w:tc>
        <w:tc>
          <w:tcPr>
            <w:tcW w:w="4234" w:type="dxa"/>
            <w:tcBorders>
              <w:tl2br w:val="nil"/>
              <w:tr2bl w:val="nil"/>
            </w:tcBorders>
            <w:noWrap w:val="0"/>
            <w:vAlign w:val="center"/>
          </w:tcPr>
          <w:p w14:paraId="7A9746FE">
            <w:pPr>
              <w:keepNext w:val="0"/>
              <w:keepLines w:val="0"/>
              <w:pageBreakBefore w:val="0"/>
              <w:widowControl w:val="0"/>
              <w:kinsoku/>
              <w:wordWrap/>
              <w:overflowPunct/>
              <w:topLinePunct w:val="0"/>
              <w:autoSpaceDE/>
              <w:autoSpaceDN/>
              <w:bidi w:val="0"/>
              <w:adjustRightInd/>
              <w:snapToGrid w:val="0"/>
              <w:spacing w:before="32" w:beforeLines="10" w:after="32" w:afterLines="1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pH值、化学需氧量、氨氮、悬浮物</w:t>
            </w:r>
          </w:p>
        </w:tc>
        <w:tc>
          <w:tcPr>
            <w:tcW w:w="1168" w:type="dxa"/>
            <w:tcBorders>
              <w:tl2br w:val="nil"/>
              <w:tr2bl w:val="nil"/>
            </w:tcBorders>
            <w:noWrap w:val="0"/>
            <w:vAlign w:val="center"/>
          </w:tcPr>
          <w:p w14:paraId="29518E60">
            <w:pPr>
              <w:keepNext w:val="0"/>
              <w:keepLines w:val="0"/>
              <w:pageBreakBefore w:val="0"/>
              <w:widowControl w:val="0"/>
              <w:kinsoku/>
              <w:wordWrap/>
              <w:overflowPunct/>
              <w:topLinePunct w:val="0"/>
              <w:autoSpaceDE/>
              <w:autoSpaceDN/>
              <w:bidi w:val="0"/>
              <w:adjustRightInd/>
              <w:snapToGrid w:val="0"/>
              <w:spacing w:before="32" w:beforeLines="10" w:after="32" w:afterLines="10"/>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eastAsia="zh-CN"/>
              </w:rPr>
              <w:t>月</w:t>
            </w:r>
            <w:r>
              <w:rPr>
                <w:rFonts w:hint="default" w:ascii="Times New Roman" w:hAnsi="Times New Roman" w:cs="Times New Roman"/>
                <w:color w:val="auto"/>
                <w:szCs w:val="21"/>
                <w:highlight w:val="none"/>
                <w:vertAlign w:val="superscript"/>
              </w:rPr>
              <w:t>c</w:t>
            </w:r>
          </w:p>
        </w:tc>
        <w:tc>
          <w:tcPr>
            <w:tcW w:w="1894" w:type="dxa"/>
            <w:tcBorders>
              <w:tl2br w:val="nil"/>
              <w:tr2bl w:val="nil"/>
            </w:tcBorders>
            <w:noWrap w:val="0"/>
            <w:vAlign w:val="center"/>
          </w:tcPr>
          <w:p w14:paraId="3995A4E2">
            <w:pPr>
              <w:snapToGrid w:val="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63FF4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68" w:type="dxa"/>
            <w:gridSpan w:val="4"/>
            <w:tcBorders>
              <w:tl2br w:val="nil"/>
              <w:tr2bl w:val="nil"/>
            </w:tcBorders>
            <w:noWrap w:val="0"/>
            <w:vAlign w:val="center"/>
          </w:tcPr>
          <w:p w14:paraId="008D6C57">
            <w:pPr>
              <w:keepNext w:val="0"/>
              <w:keepLines w:val="0"/>
              <w:pageBreakBefore w:val="0"/>
              <w:widowControl w:val="0"/>
              <w:kinsoku/>
              <w:wordWrap/>
              <w:overflowPunct/>
              <w:topLinePunct w:val="0"/>
              <w:autoSpaceDE/>
              <w:autoSpaceDN/>
              <w:bidi w:val="0"/>
              <w:adjustRightInd/>
              <w:snapToGrid w:val="0"/>
              <w:spacing w:before="32" w:beforeLines="10" w:after="32" w:afterLines="1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vertAlign w:val="superscript"/>
              </w:rPr>
              <w:t>a</w:t>
            </w:r>
            <w:r>
              <w:rPr>
                <w:rFonts w:hint="default" w:ascii="Times New Roman" w:hAnsi="Times New Roman" w:cs="Times New Roman"/>
                <w:color w:val="auto"/>
                <w:szCs w:val="21"/>
                <w:highlight w:val="none"/>
              </w:rPr>
              <w:t>废水排入环境水体之前，有其他排污单位废水混入的，应在混入前后均设置监测点位。</w:t>
            </w:r>
          </w:p>
          <w:p w14:paraId="0C4551E3">
            <w:pPr>
              <w:keepNext w:val="0"/>
              <w:keepLines w:val="0"/>
              <w:pageBreakBefore w:val="0"/>
              <w:widowControl w:val="0"/>
              <w:kinsoku/>
              <w:wordWrap/>
              <w:overflowPunct/>
              <w:topLinePunct w:val="0"/>
              <w:autoSpaceDE/>
              <w:autoSpaceDN/>
              <w:bidi w:val="0"/>
              <w:adjustRightInd/>
              <w:snapToGrid w:val="0"/>
              <w:spacing w:before="32" w:beforeLines="10" w:after="32" w:afterLines="1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vertAlign w:val="superscript"/>
              </w:rPr>
              <w:t>b</w:t>
            </w:r>
            <w:r>
              <w:rPr>
                <w:rFonts w:hint="default" w:ascii="Times New Roman" w:hAnsi="Times New Roman" w:cs="Times New Roman"/>
                <w:color w:val="auto"/>
                <w:szCs w:val="21"/>
                <w:highlight w:val="none"/>
              </w:rPr>
              <w:t>总氮自动监测技术规范发布实施前，按日监测。</w:t>
            </w:r>
          </w:p>
          <w:p w14:paraId="5377CE80">
            <w:pPr>
              <w:keepNext w:val="0"/>
              <w:keepLines w:val="0"/>
              <w:pageBreakBefore w:val="0"/>
              <w:widowControl w:val="0"/>
              <w:kinsoku/>
              <w:wordWrap/>
              <w:overflowPunct/>
              <w:topLinePunct w:val="0"/>
              <w:autoSpaceDE/>
              <w:autoSpaceDN/>
              <w:bidi w:val="0"/>
              <w:adjustRightInd/>
              <w:snapToGrid w:val="0"/>
              <w:spacing w:before="32" w:beforeLines="10" w:after="32" w:afterLines="10"/>
              <w:jc w:val="left"/>
              <w:textAlignment w:val="auto"/>
              <w:rPr>
                <w:rFonts w:hint="default"/>
                <w:color w:val="auto"/>
                <w:highlight w:val="none"/>
              </w:rPr>
            </w:pPr>
            <w:r>
              <w:rPr>
                <w:rFonts w:hint="default" w:ascii="Times New Roman" w:hAnsi="Times New Roman" w:cs="Times New Roman"/>
                <w:color w:val="auto"/>
                <w:szCs w:val="21"/>
                <w:highlight w:val="none"/>
                <w:vertAlign w:val="superscript"/>
              </w:rPr>
              <w:t>c</w:t>
            </w:r>
            <w:r>
              <w:rPr>
                <w:rFonts w:hint="default" w:ascii="Times New Roman" w:hAnsi="Times New Roman" w:cs="Times New Roman"/>
                <w:color w:val="auto"/>
                <w:szCs w:val="21"/>
                <w:highlight w:val="none"/>
              </w:rPr>
              <w:t>雨水排放口有流动水排放时按月监测。如监测一年无异常情况，可放宽至每季度开展一次监测。</w:t>
            </w:r>
          </w:p>
        </w:tc>
      </w:tr>
    </w:tbl>
    <w:p w14:paraId="61194DFC">
      <w:pPr>
        <w:pStyle w:val="6"/>
        <w:numPr>
          <w:ilvl w:val="2"/>
          <w:numId w:val="0"/>
        </w:numPr>
        <w:bidi w:val="0"/>
        <w:ind w:leftChars="0"/>
        <w:rPr>
          <w:rFonts w:hint="default" w:ascii="Times New Roman" w:hAnsi="Times New Roman" w:cs="Times New Roman"/>
          <w:color w:val="auto"/>
          <w:sz w:val="24"/>
          <w:szCs w:val="40"/>
          <w:highlight w:val="none"/>
          <w:lang w:val="en-US" w:eastAsia="zh-CN"/>
        </w:rPr>
      </w:pPr>
      <w:bookmarkStart w:id="168" w:name="_Toc22607"/>
      <w:bookmarkStart w:id="169" w:name="_Toc5399"/>
      <w:r>
        <w:rPr>
          <w:rFonts w:hint="default" w:ascii="Times New Roman" w:hAnsi="Times New Roman" w:cs="Times New Roman"/>
          <w:color w:val="auto"/>
          <w:sz w:val="24"/>
          <w:szCs w:val="40"/>
          <w:highlight w:val="none"/>
          <w:lang w:val="en-US" w:eastAsia="zh-CN"/>
        </w:rPr>
        <w:t>6.3.2环境质量监测计划</w:t>
      </w:r>
      <w:bookmarkEnd w:id="168"/>
      <w:bookmarkEnd w:id="169"/>
    </w:p>
    <w:p w14:paraId="310E50C6">
      <w:pPr>
        <w:spacing w:line="360" w:lineRule="auto"/>
        <w:ind w:firstLine="480" w:firstLineChars="200"/>
        <w:rPr>
          <w:rFonts w:hint="default" w:ascii="Times New Roman" w:hAnsi="Times New Roman" w:eastAsia="宋体" w:cs="Times New Roman"/>
          <w:color w:val="auto"/>
          <w:sz w:val="24"/>
          <w:highlight w:val="none"/>
          <w:lang w:val="en-US" w:eastAsia="zh-CN"/>
        </w:rPr>
      </w:pPr>
      <w:bookmarkStart w:id="170" w:name="_Toc23951"/>
      <w:bookmarkStart w:id="171" w:name="_Toc21124"/>
      <w:r>
        <w:rPr>
          <w:rFonts w:hint="default" w:ascii="Times New Roman" w:hAnsi="Times New Roman" w:eastAsia="宋体" w:cs="Times New Roman"/>
          <w:color w:val="auto"/>
          <w:sz w:val="24"/>
          <w:highlight w:val="none"/>
          <w:lang w:val="en-US" w:eastAsia="zh-CN"/>
        </w:rPr>
        <w:t>在本项目污水处理站入河排污口上游500m处、排污口下游500m处、下游汇入汉江口处开展监测，具体监测指标如下表所示：</w:t>
      </w:r>
      <w:bookmarkEnd w:id="170"/>
      <w:bookmarkEnd w:id="171"/>
    </w:p>
    <w:p w14:paraId="0012802D">
      <w:pPr>
        <w:adjustRightInd w:val="0"/>
        <w:snapToGrid w:val="0"/>
        <w:ind w:firstLine="422" w:firstLineChars="20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w:t>
      </w:r>
      <w:r>
        <w:rPr>
          <w:rFonts w:hint="default" w:ascii="Times New Roman" w:hAnsi="Times New Roman" w:cs="Times New Roman"/>
          <w:b/>
          <w:color w:val="auto"/>
          <w:szCs w:val="21"/>
          <w:highlight w:val="none"/>
          <w:lang w:val="en-US" w:eastAsia="zh-CN"/>
        </w:rPr>
        <w:t>6</w:t>
      </w:r>
      <w:r>
        <w:rPr>
          <w:rFonts w:hint="default" w:ascii="Times New Roman" w:hAnsi="Times New Roman" w:cs="Times New Roman"/>
          <w:b/>
          <w:color w:val="auto"/>
          <w:szCs w:val="21"/>
          <w:highlight w:val="none"/>
        </w:rPr>
        <w:t>.</w:t>
      </w:r>
      <w:r>
        <w:rPr>
          <w:rFonts w:hint="default" w:ascii="Times New Roman" w:hAnsi="Times New Roman" w:cs="Times New Roman"/>
          <w:b/>
          <w:color w:val="auto"/>
          <w:szCs w:val="21"/>
          <w:highlight w:val="none"/>
          <w:lang w:val="en-US" w:eastAsia="zh-CN"/>
        </w:rPr>
        <w:t>3-</w:t>
      </w:r>
      <w:r>
        <w:rPr>
          <w:rFonts w:hint="eastAsia" w:cs="Times New Roman"/>
          <w:b/>
          <w:color w:val="auto"/>
          <w:szCs w:val="21"/>
          <w:highlight w:val="none"/>
          <w:lang w:val="en-US" w:eastAsia="zh-CN"/>
        </w:rPr>
        <w:t>3</w:t>
      </w:r>
      <w:r>
        <w:rPr>
          <w:rFonts w:hint="default" w:ascii="Times New Roman" w:hAnsi="Times New Roman" w:cs="Times New Roman"/>
          <w:b/>
          <w:color w:val="auto"/>
          <w:szCs w:val="21"/>
          <w:highlight w:val="none"/>
          <w:lang w:val="en-US" w:eastAsia="zh-CN"/>
        </w:rPr>
        <w:t xml:space="preserve"> </w:t>
      </w:r>
      <w:r>
        <w:rPr>
          <w:rFonts w:hint="default" w:ascii="Times New Roman" w:hAnsi="Times New Roman" w:cs="Times New Roman"/>
          <w:b/>
          <w:color w:val="auto"/>
          <w:szCs w:val="21"/>
          <w:highlight w:val="none"/>
        </w:rPr>
        <w:t xml:space="preserve"> </w:t>
      </w:r>
      <w:r>
        <w:rPr>
          <w:rFonts w:hint="default" w:ascii="Times New Roman" w:hAnsi="Times New Roman" w:cs="Times New Roman"/>
          <w:b/>
          <w:color w:val="auto"/>
          <w:szCs w:val="21"/>
          <w:highlight w:val="none"/>
          <w:lang w:eastAsia="zh-CN"/>
        </w:rPr>
        <w:t>地表水</w:t>
      </w:r>
      <w:r>
        <w:rPr>
          <w:rFonts w:hint="default" w:ascii="Times New Roman" w:hAnsi="Times New Roman" w:cs="Times New Roman"/>
          <w:b/>
          <w:color w:val="auto"/>
          <w:szCs w:val="21"/>
          <w:highlight w:val="none"/>
        </w:rPr>
        <w:t>环境</w:t>
      </w:r>
      <w:r>
        <w:rPr>
          <w:rFonts w:hint="default" w:ascii="Times New Roman" w:hAnsi="Times New Roman" w:cs="Times New Roman"/>
          <w:b/>
          <w:color w:val="auto"/>
          <w:szCs w:val="21"/>
          <w:highlight w:val="none"/>
          <w:lang w:eastAsia="zh-CN"/>
        </w:rPr>
        <w:t>质量</w:t>
      </w:r>
      <w:r>
        <w:rPr>
          <w:rFonts w:hint="default" w:ascii="Times New Roman" w:hAnsi="Times New Roman" w:cs="Times New Roman"/>
          <w:b/>
          <w:color w:val="auto"/>
          <w:szCs w:val="21"/>
          <w:highlight w:val="none"/>
        </w:rPr>
        <w:t>监测计划表</w:t>
      </w:r>
    </w:p>
    <w:tbl>
      <w:tblPr>
        <w:tblStyle w:val="31"/>
        <w:tblW w:w="486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4757"/>
        <w:gridCol w:w="2315"/>
      </w:tblGrid>
      <w:tr w14:paraId="5E902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233" w:type="dxa"/>
            <w:tcBorders>
              <w:tl2br w:val="nil"/>
              <w:tr2bl w:val="nil"/>
            </w:tcBorders>
            <w:noWrap w:val="0"/>
            <w:vAlign w:val="center"/>
          </w:tcPr>
          <w:p w14:paraId="3C734772">
            <w:pPr>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目标环境</w:t>
            </w:r>
          </w:p>
        </w:tc>
        <w:tc>
          <w:tcPr>
            <w:tcW w:w="4878" w:type="dxa"/>
            <w:tcBorders>
              <w:tl2br w:val="nil"/>
              <w:tr2bl w:val="nil"/>
            </w:tcBorders>
            <w:noWrap w:val="0"/>
            <w:vAlign w:val="center"/>
          </w:tcPr>
          <w:p w14:paraId="1A5F47AF">
            <w:pPr>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TimesNewRomanPSMT" w:cs="Times New Roman"/>
                <w:color w:val="auto"/>
                <w:kern w:val="0"/>
                <w:szCs w:val="21"/>
                <w:highlight w:val="none"/>
                <w:lang w:eastAsia="zh-CN"/>
              </w:rPr>
              <w:t>监测指标</w:t>
            </w:r>
          </w:p>
        </w:tc>
        <w:tc>
          <w:tcPr>
            <w:tcW w:w="2374" w:type="dxa"/>
            <w:tcBorders>
              <w:tl2br w:val="nil"/>
              <w:tr2bl w:val="nil"/>
            </w:tcBorders>
            <w:noWrap w:val="0"/>
            <w:vAlign w:val="center"/>
          </w:tcPr>
          <w:p w14:paraId="54C59358">
            <w:pPr>
              <w:autoSpaceDE w:val="0"/>
              <w:autoSpaceDN w:val="0"/>
              <w:adjustRightIn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lang w:eastAsia="zh-CN"/>
              </w:rPr>
              <w:t>监测频次</w:t>
            </w:r>
          </w:p>
        </w:tc>
      </w:tr>
      <w:tr w14:paraId="3EF4E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233" w:type="dxa"/>
            <w:tcBorders>
              <w:tl2br w:val="nil"/>
              <w:tr2bl w:val="nil"/>
            </w:tcBorders>
            <w:noWrap w:val="0"/>
            <w:vAlign w:val="center"/>
          </w:tcPr>
          <w:p w14:paraId="2B03EBFE">
            <w:pPr>
              <w:keepNext w:val="0"/>
              <w:keepLines w:val="0"/>
              <w:pageBreakBefore w:val="0"/>
              <w:widowControl w:val="0"/>
              <w:kinsoku/>
              <w:wordWrap/>
              <w:overflowPunct/>
              <w:topLinePunct w:val="0"/>
              <w:bidi w:val="0"/>
              <w:snapToGrid/>
              <w:spacing w:before="32" w:beforeLines="10" w:after="32" w:afterLines="1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w:t>
            </w:r>
          </w:p>
        </w:tc>
        <w:tc>
          <w:tcPr>
            <w:tcW w:w="4878" w:type="dxa"/>
            <w:tcBorders>
              <w:tl2br w:val="nil"/>
              <w:tr2bl w:val="nil"/>
            </w:tcBorders>
            <w:noWrap w:val="0"/>
            <w:vAlign w:val="center"/>
          </w:tcPr>
          <w:p w14:paraId="220E9B0E">
            <w:pPr>
              <w:keepNext w:val="0"/>
              <w:keepLines w:val="0"/>
              <w:pageBreakBefore w:val="0"/>
              <w:widowControl w:val="0"/>
              <w:kinsoku/>
              <w:wordWrap/>
              <w:overflowPunct/>
              <w:topLinePunct w:val="0"/>
              <w:bidi w:val="0"/>
              <w:snapToGrid/>
              <w:spacing w:before="32" w:beforeLines="10" w:after="32" w:afterLines="1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常规指标：pH值、悬浮物、化学需氧量、五日生化需氧量、氨氮、总磷、总氮、石油类等</w:t>
            </w:r>
          </w:p>
          <w:p w14:paraId="2BAD67B9">
            <w:pPr>
              <w:keepNext w:val="0"/>
              <w:keepLines w:val="0"/>
              <w:pageBreakBefore w:val="0"/>
              <w:widowControl w:val="0"/>
              <w:kinsoku/>
              <w:wordWrap/>
              <w:overflowPunct/>
              <w:topLinePunct w:val="0"/>
              <w:bidi w:val="0"/>
              <w:snapToGrid/>
              <w:spacing w:before="32" w:beforeLines="10" w:after="32" w:afterLines="1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特征污染物：余氯</w:t>
            </w:r>
          </w:p>
        </w:tc>
        <w:tc>
          <w:tcPr>
            <w:tcW w:w="2374" w:type="dxa"/>
            <w:tcBorders>
              <w:tl2br w:val="nil"/>
              <w:tr2bl w:val="nil"/>
            </w:tcBorders>
            <w:noWrap w:val="0"/>
            <w:vAlign w:val="center"/>
          </w:tcPr>
          <w:p w14:paraId="5911CA56">
            <w:pPr>
              <w:keepNext w:val="0"/>
              <w:keepLines w:val="0"/>
              <w:pageBreakBefore w:val="0"/>
              <w:widowControl w:val="0"/>
              <w:kinsoku/>
              <w:wordWrap/>
              <w:overflowPunct/>
              <w:topLinePunct w:val="0"/>
              <w:autoSpaceDE w:val="0"/>
              <w:autoSpaceDN w:val="0"/>
              <w:bidi w:val="0"/>
              <w:adjustRightInd w:val="0"/>
              <w:snapToGrid/>
              <w:spacing w:before="32" w:beforeLines="10" w:after="32" w:afterLines="1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每年丰、枯、平水期各监测一次</w:t>
            </w:r>
          </w:p>
        </w:tc>
      </w:tr>
    </w:tbl>
    <w:p w14:paraId="6DDF1A9C">
      <w:pPr>
        <w:pStyle w:val="6"/>
        <w:numPr>
          <w:ilvl w:val="0"/>
          <w:numId w:val="0"/>
        </w:numPr>
        <w:bidi w:val="0"/>
        <w:ind w:leftChars="0"/>
        <w:rPr>
          <w:rFonts w:hint="default" w:ascii="Times New Roman" w:hAnsi="Times New Roman" w:cs="Times New Roman"/>
          <w:color w:val="auto"/>
          <w:sz w:val="24"/>
          <w:szCs w:val="40"/>
          <w:highlight w:val="none"/>
          <w:lang w:val="en-US" w:eastAsia="zh-CN"/>
        </w:rPr>
      </w:pPr>
      <w:bookmarkStart w:id="172" w:name="_Toc31722"/>
      <w:bookmarkStart w:id="173" w:name="_Toc5688"/>
      <w:r>
        <w:rPr>
          <w:rFonts w:hint="default" w:ascii="Times New Roman" w:hAnsi="Times New Roman" w:cs="Times New Roman"/>
          <w:color w:val="auto"/>
          <w:sz w:val="24"/>
          <w:szCs w:val="40"/>
          <w:highlight w:val="none"/>
          <w:lang w:val="en-US" w:eastAsia="zh-CN"/>
        </w:rPr>
        <w:t>6.3.3监测方法和监测机构</w:t>
      </w:r>
      <w:bookmarkEnd w:id="172"/>
      <w:bookmarkEnd w:id="173"/>
    </w:p>
    <w:p w14:paraId="1760380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应严格按照《污染源统一监测分析方法》和《环境监测技术规范》要求执行。</w:t>
      </w:r>
    </w:p>
    <w:p w14:paraId="358908F7">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委托具有监测资格和技术力量的专业部门监测。</w:t>
      </w:r>
    </w:p>
    <w:p w14:paraId="6CBECF86">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74" w:name="_Toc2634"/>
      <w:r>
        <w:rPr>
          <w:rFonts w:hint="default" w:ascii="Times New Roman" w:hAnsi="Times New Roman" w:eastAsia="宋体" w:cs="Times New Roman"/>
          <w:color w:val="auto"/>
          <w:kern w:val="2"/>
          <w:sz w:val="24"/>
          <w:szCs w:val="32"/>
          <w:highlight w:val="none"/>
          <w:lang w:val="en-US" w:eastAsia="zh-CN"/>
        </w:rPr>
        <w:t>6.4排污口设置及规范化管理</w:t>
      </w:r>
      <w:bookmarkEnd w:id="174"/>
    </w:p>
    <w:p w14:paraId="172DC175">
      <w:pPr>
        <w:pStyle w:val="5"/>
        <w:spacing w:line="360" w:lineRule="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根据项目入河排污口论证报告可知：</w:t>
      </w:r>
      <w:r>
        <w:rPr>
          <w:rFonts w:hint="default" w:ascii="Times New Roman" w:hAnsi="Times New Roman" w:eastAsia="宋体" w:cs="Times New Roman"/>
          <w:b w:val="0"/>
          <w:bCs w:val="0"/>
          <w:color w:val="auto"/>
          <w:kern w:val="0"/>
          <w:sz w:val="24"/>
          <w:szCs w:val="24"/>
          <w:highlight w:val="none"/>
          <w:lang w:val="en-US" w:eastAsia="zh-CN" w:bidi="ar-SA"/>
        </w:rPr>
        <w:t>洋县谢村镇（四〇五社区）污水处理</w:t>
      </w:r>
      <w:r>
        <w:rPr>
          <w:rFonts w:hint="eastAsia" w:ascii="Times New Roman" w:hAnsi="Times New Roman" w:eastAsia="宋体" w:cs="Times New Roman"/>
          <w:b w:val="0"/>
          <w:bCs w:val="0"/>
          <w:color w:val="auto"/>
          <w:kern w:val="0"/>
          <w:sz w:val="24"/>
          <w:szCs w:val="24"/>
          <w:highlight w:val="none"/>
          <w:lang w:val="en-US" w:eastAsia="zh-CN" w:bidi="ar-SA"/>
        </w:rPr>
        <w:t>厂</w:t>
      </w:r>
      <w:r>
        <w:rPr>
          <w:rFonts w:hint="default" w:ascii="Times New Roman" w:hAnsi="Times New Roman" w:eastAsia="宋体" w:cs="Times New Roman"/>
          <w:b w:val="0"/>
          <w:bCs w:val="0"/>
          <w:color w:val="auto"/>
          <w:kern w:val="0"/>
          <w:sz w:val="24"/>
          <w:szCs w:val="24"/>
          <w:highlight w:val="none"/>
          <w:lang w:val="en-US" w:eastAsia="zh-CN" w:bidi="ar-SA"/>
        </w:rPr>
        <w:t>运营时尾水排放不会对溢水河洋县保留区一级水功能区水质管理目标、纳污能力和环境容量产生不利影响，各类工况条件下尾水排放均不会对溢水河溢水桥市控监测断面</w:t>
      </w:r>
      <w:r>
        <w:rPr>
          <w:rFonts w:hint="default" w:ascii="Times New Roman" w:hAnsi="Times New Roman" w:eastAsia="宋体" w:cs="Times New Roman"/>
          <w:b w:val="0"/>
          <w:bCs w:val="0"/>
          <w:color w:val="auto"/>
          <w:kern w:val="0"/>
          <w:sz w:val="24"/>
          <w:szCs w:val="24"/>
          <w:highlight w:val="none"/>
          <w:lang w:val="en-US" w:eastAsia="zh-CN" w:bidi="ar-SA"/>
        </w:rPr>
        <w:fldChar w:fldCharType="begin"/>
      </w:r>
      <w:r>
        <w:rPr>
          <w:rFonts w:hint="default" w:ascii="Times New Roman" w:hAnsi="Times New Roman" w:eastAsia="宋体" w:cs="Times New Roman"/>
          <w:b w:val="0"/>
          <w:bCs w:val="0"/>
          <w:color w:val="auto"/>
          <w:kern w:val="0"/>
          <w:sz w:val="24"/>
          <w:szCs w:val="24"/>
          <w:highlight w:val="none"/>
          <w:lang w:val="en-US" w:eastAsia="zh-CN" w:bidi="ar-SA"/>
        </w:rPr>
        <w:instrText xml:space="preserve"> = 2 \* ROMAN \* MERGEFORMAT </w:instrText>
      </w:r>
      <w:r>
        <w:rPr>
          <w:rFonts w:hint="default" w:ascii="Times New Roman" w:hAnsi="Times New Roman" w:eastAsia="宋体" w:cs="Times New Roman"/>
          <w:b w:val="0"/>
          <w:bCs w:val="0"/>
          <w:color w:val="auto"/>
          <w:kern w:val="0"/>
          <w:sz w:val="24"/>
          <w:szCs w:val="24"/>
          <w:highlight w:val="none"/>
          <w:lang w:val="en-US" w:eastAsia="zh-CN" w:bidi="ar-SA"/>
        </w:rPr>
        <w:fldChar w:fldCharType="separate"/>
      </w:r>
      <w:r>
        <w:rPr>
          <w:rFonts w:hint="default" w:ascii="Times New Roman" w:hAnsi="Times New Roman" w:eastAsia="宋体" w:cs="Times New Roman"/>
          <w:b w:val="0"/>
          <w:bCs w:val="0"/>
          <w:color w:val="auto"/>
          <w:kern w:val="0"/>
          <w:sz w:val="24"/>
          <w:szCs w:val="24"/>
          <w:highlight w:val="none"/>
          <w:lang w:val="en-US" w:eastAsia="zh-CN" w:bidi="ar-SA"/>
        </w:rPr>
        <w:t>II</w:t>
      </w:r>
      <w:r>
        <w:rPr>
          <w:rFonts w:hint="default" w:ascii="Times New Roman" w:hAnsi="Times New Roman" w:eastAsia="宋体" w:cs="Times New Roman"/>
          <w:b w:val="0"/>
          <w:bCs w:val="0"/>
          <w:color w:val="auto"/>
          <w:kern w:val="0"/>
          <w:sz w:val="24"/>
          <w:szCs w:val="24"/>
          <w:highlight w:val="none"/>
          <w:lang w:val="en-US" w:eastAsia="zh-CN" w:bidi="ar-SA"/>
        </w:rPr>
        <w:fldChar w:fldCharType="end"/>
      </w:r>
      <w:r>
        <w:rPr>
          <w:rFonts w:hint="default" w:ascii="Times New Roman" w:hAnsi="Times New Roman" w:eastAsia="宋体" w:cs="Times New Roman"/>
          <w:b w:val="0"/>
          <w:bCs w:val="0"/>
          <w:color w:val="auto"/>
          <w:kern w:val="0"/>
          <w:sz w:val="24"/>
          <w:szCs w:val="24"/>
          <w:highlight w:val="none"/>
          <w:lang w:val="en-US" w:eastAsia="zh-CN" w:bidi="ar-SA"/>
        </w:rPr>
        <w:t>类水质管理目标造成影响；符合溢水河河道景观的要求；入河排污口尾水排放不会对溢水河防洪造成不利影响。因此，入河排污口设置较为可行。</w:t>
      </w:r>
    </w:p>
    <w:p w14:paraId="5F314196">
      <w:pPr>
        <w:pStyle w:val="6"/>
        <w:numPr>
          <w:ilvl w:val="2"/>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75" w:name="_Toc30821"/>
      <w:r>
        <w:rPr>
          <w:rFonts w:hint="default" w:ascii="Times New Roman" w:hAnsi="Times New Roman" w:cs="Times New Roman"/>
          <w:color w:val="auto"/>
          <w:sz w:val="24"/>
          <w:szCs w:val="40"/>
          <w:highlight w:val="none"/>
          <w:lang w:val="en-US" w:eastAsia="zh-CN"/>
        </w:rPr>
        <w:t>6.4.1入河排污口设置方案</w:t>
      </w:r>
      <w:bookmarkEnd w:id="175"/>
    </w:p>
    <w:p w14:paraId="1C3CA014">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如实向生态环境保护管理部门申报登记排污口数量、位置及所排放的主要污染物的种类、数量、浓度、排放去向等情况。</w:t>
      </w:r>
    </w:p>
    <w:p w14:paraId="730C38E2">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排污口名称：谢村镇四〇五污水处理厂入河排污口</w:t>
      </w:r>
    </w:p>
    <w:p w14:paraId="0018E869">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（2）排污口坐标：东经107.449434°，北纬33.221306°</w:t>
      </w:r>
    </w:p>
    <w:p w14:paraId="1F116695">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（3）污水分类：生活污水</w:t>
      </w:r>
    </w:p>
    <w:p w14:paraId="17377B74">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（4）排放方式：连续排放</w:t>
      </w:r>
    </w:p>
    <w:p w14:paraId="623BBFD0">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（5）污染物来源与构成：</w:t>
      </w:r>
      <w:r>
        <w:rPr>
          <w:rFonts w:hint="default" w:ascii="Times New Roman" w:hAnsi="Times New Roman" w:cs="Times New Roman"/>
          <w:color w:val="auto"/>
          <w:sz w:val="24"/>
          <w:highlight w:val="none"/>
          <w:lang w:eastAsia="zh-CN"/>
        </w:rPr>
        <w:t>405</w:t>
      </w:r>
      <w:r>
        <w:rPr>
          <w:rFonts w:hint="eastAsia" w:cs="Times New Roman"/>
          <w:color w:val="auto"/>
          <w:sz w:val="24"/>
          <w:highlight w:val="none"/>
          <w:lang w:eastAsia="zh-CN"/>
        </w:rPr>
        <w:t>社区内居住小区、社区医院、社区办公楼、陕铀办公楼等以及污水管网沿线谢村镇下溢水村</w:t>
      </w:r>
    </w:p>
    <w:p w14:paraId="43CD8FA2">
      <w:pPr>
        <w:pStyle w:val="6"/>
        <w:numPr>
          <w:ilvl w:val="2"/>
          <w:numId w:val="0"/>
        </w:numPr>
        <w:bidi w:val="0"/>
        <w:spacing w:line="360" w:lineRule="auto"/>
        <w:ind w:leftChars="0"/>
        <w:rPr>
          <w:rFonts w:hint="default" w:ascii="Times New Roman" w:hAnsi="Times New Roman" w:cs="Times New Roman"/>
          <w:color w:val="auto"/>
          <w:sz w:val="24"/>
          <w:szCs w:val="40"/>
          <w:highlight w:val="none"/>
          <w:lang w:val="en-US" w:eastAsia="zh-CN"/>
        </w:rPr>
      </w:pPr>
      <w:bookmarkStart w:id="176" w:name="_Toc29739"/>
      <w:bookmarkStart w:id="177" w:name="_Toc32012"/>
      <w:r>
        <w:rPr>
          <w:rFonts w:hint="default" w:ascii="Times New Roman" w:hAnsi="Times New Roman" w:cs="Times New Roman"/>
          <w:color w:val="auto"/>
          <w:sz w:val="24"/>
          <w:szCs w:val="40"/>
          <w:highlight w:val="none"/>
          <w:lang w:val="en-US" w:eastAsia="zh-CN"/>
        </w:rPr>
        <w:t>6.4.2入河排污口设置规范化管理</w:t>
      </w:r>
      <w:bookmarkEnd w:id="176"/>
      <w:bookmarkEnd w:id="177"/>
    </w:p>
    <w:p w14:paraId="36C3BF58">
      <w:pPr>
        <w:pStyle w:val="2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入河排污口规范化设置，符合河道管理部门要求，日常加强管理，完善突发事故应急处置，并与生态环境部门联网。加强水质监测，安装在线监测设备，并与生态部门联网。加强应急管理，防止水污染事故发生；为便于入河排污口的监督性管理，须在排污管道（站区外、入河前）留出观察窗口，并按规定设置入河排污口标志牌）。</w:t>
      </w:r>
    </w:p>
    <w:p w14:paraId="2CD637FF">
      <w:pPr>
        <w:pStyle w:val="3"/>
        <w:numPr>
          <w:ilvl w:val="0"/>
          <w:numId w:val="0"/>
        </w:numPr>
        <w:tabs>
          <w:tab w:val="left" w:pos="210"/>
          <w:tab w:val="left" w:pos="420"/>
        </w:tabs>
        <w:bidi w:val="0"/>
        <w:ind w:leftChars="0"/>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rPr>
        <w:br w:type="page"/>
      </w:r>
      <w:bookmarkStart w:id="178" w:name="_Toc14431"/>
      <w:r>
        <w:rPr>
          <w:rFonts w:hint="default" w:ascii="Times New Roman" w:hAnsi="Times New Roman" w:cs="Times New Roman"/>
          <w:color w:val="auto"/>
          <w:highlight w:val="none"/>
          <w:lang w:val="en-US" w:eastAsia="zh-CN"/>
        </w:rPr>
        <w:t>7结论</w:t>
      </w:r>
      <w:bookmarkEnd w:id="178"/>
    </w:p>
    <w:p w14:paraId="57B944B0">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79" w:name="_Toc18428"/>
      <w:r>
        <w:rPr>
          <w:rFonts w:hint="default" w:ascii="Times New Roman" w:hAnsi="Times New Roman" w:eastAsia="宋体" w:cs="Times New Roman"/>
          <w:color w:val="auto"/>
          <w:kern w:val="2"/>
          <w:sz w:val="24"/>
          <w:szCs w:val="32"/>
          <w:highlight w:val="none"/>
          <w:lang w:val="en-US" w:eastAsia="zh-CN"/>
        </w:rPr>
        <w:t>7.1工程概况</w:t>
      </w:r>
      <w:bookmarkEnd w:id="179"/>
    </w:p>
    <w:p w14:paraId="077BFE19">
      <w:pPr>
        <w:keepNext w:val="0"/>
        <w:keepLines w:val="0"/>
        <w:widowControl w:val="0"/>
        <w:suppressLineNumbers w:val="0"/>
        <w:adjustRightInd w:val="0"/>
        <w:spacing w:before="0" w:beforeAutospacing="0" w:after="0" w:afterAutospacing="0" w:line="360" w:lineRule="auto"/>
        <w:ind w:left="0" w:right="0" w:firstLine="480" w:firstLineChars="200"/>
        <w:jc w:val="both"/>
        <w:textAlignment w:val="baseline"/>
        <w:rPr>
          <w:rFonts w:hint="eastAsia"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sz w:val="24"/>
          <w:highlight w:val="none"/>
          <w:lang w:val="en-US" w:eastAsia="zh-CN"/>
        </w:rPr>
        <w:t>洋县城镇生活污水治理建设项目—谢村镇四〇五社区污水处理厂</w:t>
      </w:r>
      <w:r>
        <w:rPr>
          <w:rFonts w:hint="eastAsia" w:cs="Times New Roman"/>
          <w:color w:val="auto"/>
          <w:sz w:val="24"/>
          <w:highlight w:val="none"/>
          <w:lang w:val="en-US" w:eastAsia="zh-CN"/>
        </w:rPr>
        <w:t>位于汉中市洋县谢村镇四〇五社区，</w:t>
      </w:r>
      <w:r>
        <w:rPr>
          <w:rFonts w:hint="default" w:ascii="Times New Roman" w:hAnsi="Times New Roman" w:cs="Times New Roman"/>
          <w:color w:val="auto"/>
          <w:sz w:val="24"/>
          <w:highlight w:val="none"/>
        </w:rPr>
        <w:t>设计处理规模</w:t>
      </w:r>
      <w:r>
        <w:rPr>
          <w:rFonts w:hint="eastAsia" w:cs="Times New Roman"/>
          <w:color w:val="auto"/>
          <w:sz w:val="24"/>
          <w:highlight w:val="none"/>
          <w:lang w:val="en-US" w:eastAsia="zh-CN"/>
        </w:rPr>
        <w:t>1500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eastAsia" w:cs="Times New Roman"/>
          <w:color w:val="auto"/>
          <w:sz w:val="24"/>
          <w:highlight w:val="none"/>
          <w:lang w:eastAsia="zh-CN"/>
        </w:rPr>
        <w:t>。服务范围为405社区内居住小区、社区医院、社区办公楼、陕铀办公楼等以及污水管网沿线谢村镇下溢水村，收集污水为生活污水。</w:t>
      </w:r>
      <w:r>
        <w:rPr>
          <w:rFonts w:hint="default" w:ascii="Times New Roman" w:hAnsi="Times New Roman" w:cs="Times New Roman"/>
          <w:color w:val="auto"/>
          <w:sz w:val="24"/>
          <w:highlight w:val="none"/>
        </w:rPr>
        <w:t>污水处理</w:t>
      </w:r>
      <w:r>
        <w:rPr>
          <w:rFonts w:hint="default" w:ascii="Times New Roman" w:hAnsi="Times New Roman" w:eastAsia="宋体" w:cs="Times New Roman"/>
          <w:color w:val="auto"/>
          <w:sz w:val="24"/>
          <w:highlight w:val="none"/>
        </w:rPr>
        <w:t>采用</w:t>
      </w:r>
      <w:r>
        <w:rPr>
          <w:rFonts w:hint="eastAsia" w:ascii="Times New Roman" w:hAnsi="Times New Roman" w:cs="Times New Roman"/>
          <w:color w:val="auto"/>
          <w:sz w:val="24"/>
          <w:highlight w:val="none"/>
          <w:lang w:eastAsia="zh-CN"/>
        </w:rPr>
        <w:t>“格栅渠+集水池+旋流沉砂池+调节池+AAO+二沉池+高密度沉淀池+滤布滤池+接触消毒池”</w:t>
      </w:r>
      <w:r>
        <w:rPr>
          <w:rFonts w:hint="default" w:ascii="Times New Roman" w:hAnsi="Times New Roman" w:eastAsia="宋体" w:cs="Times New Roman"/>
          <w:color w:val="auto"/>
          <w:sz w:val="24"/>
          <w:highlight w:val="none"/>
        </w:rPr>
        <w:t>组合工艺</w:t>
      </w:r>
      <w:r>
        <w:rPr>
          <w:rFonts w:hint="eastAsia" w:cs="Times New Roman"/>
          <w:color w:val="auto"/>
          <w:sz w:val="24"/>
          <w:highlight w:val="none"/>
          <w:lang w:eastAsia="zh-CN"/>
        </w:rPr>
        <w:t>，处理后尾水达到</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城镇污水处理厂</w:t>
      </w:r>
      <w:r>
        <w:rPr>
          <w:rFonts w:hint="default" w:ascii="Times New Roman" w:hAnsi="Times New Roman" w:cs="Times New Roman"/>
          <w:color w:val="auto"/>
          <w:sz w:val="24"/>
          <w:highlight w:val="none"/>
        </w:rPr>
        <w:t>污染物排放标准》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GB18989-2002</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szCs w:val="24"/>
          <w:highlight w:val="none"/>
          <w:lang w:val="en-US" w:eastAsia="zh-CN"/>
        </w:rPr>
        <w:t>表1中一级A标准和2025年修改单表4中瞬时值标准</w:t>
      </w:r>
      <w:r>
        <w:rPr>
          <w:rFonts w:hint="default" w:ascii="Times New Roman" w:hAnsi="Times New Roman" w:cs="Times New Roman"/>
          <w:color w:val="auto"/>
          <w:sz w:val="24"/>
          <w:highlight w:val="none"/>
        </w:rPr>
        <w:t>后排入</w:t>
      </w:r>
      <w:r>
        <w:rPr>
          <w:rFonts w:hint="eastAsia" w:cs="Times New Roman"/>
          <w:color w:val="auto"/>
          <w:sz w:val="24"/>
          <w:highlight w:val="none"/>
          <w:lang w:eastAsia="zh-CN"/>
        </w:rPr>
        <w:t>溢水河。</w:t>
      </w:r>
    </w:p>
    <w:p w14:paraId="08B95E73">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80" w:name="_Toc15380"/>
      <w:r>
        <w:rPr>
          <w:rFonts w:hint="default" w:ascii="Times New Roman" w:hAnsi="Times New Roman" w:eastAsia="宋体" w:cs="Times New Roman"/>
          <w:color w:val="auto"/>
          <w:kern w:val="2"/>
          <w:sz w:val="24"/>
          <w:szCs w:val="32"/>
          <w:highlight w:val="none"/>
          <w:lang w:val="en-US" w:eastAsia="zh-CN"/>
        </w:rPr>
        <w:t>7.2项目区域环境质量现状</w:t>
      </w:r>
      <w:bookmarkEnd w:id="180"/>
    </w:p>
    <w:p w14:paraId="036C7BAE">
      <w:pPr>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sz w:val="24"/>
          <w:highlight w:val="none"/>
        </w:rPr>
        <w:t>根据监测结果可知，</w:t>
      </w:r>
      <w:r>
        <w:rPr>
          <w:rFonts w:hint="eastAsia" w:cs="Times New Roman"/>
          <w:color w:val="auto"/>
          <w:sz w:val="24"/>
          <w:highlight w:val="none"/>
          <w:lang w:eastAsia="zh-CN"/>
        </w:rPr>
        <w:t>排污口上下游各</w:t>
      </w:r>
      <w:r>
        <w:rPr>
          <w:rFonts w:hint="default" w:ascii="Times New Roman" w:hAnsi="Times New Roman" w:cs="Times New Roman"/>
          <w:color w:val="auto"/>
          <w:sz w:val="24"/>
          <w:highlight w:val="none"/>
          <w:lang w:eastAsia="zh-CN"/>
        </w:rPr>
        <w:t>监测</w:t>
      </w:r>
      <w:r>
        <w:rPr>
          <w:rFonts w:hint="default" w:ascii="Times New Roman" w:hAnsi="Times New Roman" w:cs="Times New Roman"/>
          <w:color w:val="auto"/>
          <w:sz w:val="24"/>
          <w:highlight w:val="none"/>
        </w:rPr>
        <w:t>断面水质</w:t>
      </w:r>
      <w:r>
        <w:rPr>
          <w:rFonts w:hint="eastAsia" w:cs="Times New Roman"/>
          <w:color w:val="auto"/>
          <w:sz w:val="24"/>
          <w:highlight w:val="none"/>
          <w:lang w:eastAsia="zh-CN"/>
        </w:rPr>
        <w:t>均</w:t>
      </w:r>
      <w:r>
        <w:rPr>
          <w:rFonts w:hint="default" w:ascii="Times New Roman" w:hAnsi="Times New Roman" w:cs="Times New Roman"/>
          <w:color w:val="auto"/>
          <w:sz w:val="24"/>
          <w:highlight w:val="none"/>
        </w:rPr>
        <w:t>满足《地表水环境质量标准》（GB3838-2002)中Ⅱ类区标准</w:t>
      </w:r>
      <w:r>
        <w:rPr>
          <w:rFonts w:hint="default" w:ascii="Times New Roman" w:hAnsi="Times New Roman" w:cs="Times New Roman"/>
          <w:color w:val="auto"/>
          <w:sz w:val="24"/>
          <w:highlight w:val="none"/>
          <w:lang w:eastAsia="zh-CN"/>
        </w:rPr>
        <w:t>，说明项目所在区域水环境质量良好</w:t>
      </w:r>
      <w:r>
        <w:rPr>
          <w:rFonts w:hint="default" w:ascii="Times New Roman" w:hAnsi="Times New Roman" w:eastAsia="宋体" w:cs="Times New Roman"/>
          <w:color w:val="auto"/>
          <w:kern w:val="2"/>
          <w:sz w:val="24"/>
          <w:szCs w:val="24"/>
          <w:highlight w:val="none"/>
          <w:lang w:val="en-US" w:eastAsia="zh-CN" w:bidi="ar"/>
        </w:rPr>
        <w:t>。</w:t>
      </w:r>
    </w:p>
    <w:p w14:paraId="55016B74">
      <w:pPr>
        <w:spacing w:line="360" w:lineRule="auto"/>
        <w:ind w:firstLine="480" w:firstLineChars="200"/>
        <w:jc w:val="lef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根据202</w:t>
      </w:r>
      <w:r>
        <w:rPr>
          <w:rFonts w:hint="eastAsia" w:cs="Times New Roman"/>
          <w:color w:val="auto"/>
          <w:sz w:val="24"/>
          <w:highlight w:val="none"/>
          <w:lang w:val="en-US" w:eastAsia="zh-CN"/>
        </w:rPr>
        <w:t>3</w:t>
      </w:r>
      <w:r>
        <w:rPr>
          <w:rFonts w:hint="eastAsia" w:ascii="Times New Roman" w:hAnsi="Times New Roman" w:cs="Times New Roman"/>
          <w:color w:val="auto"/>
          <w:sz w:val="24"/>
          <w:highlight w:val="none"/>
        </w:rPr>
        <w:t>~202</w:t>
      </w:r>
      <w:r>
        <w:rPr>
          <w:rFonts w:hint="eastAsia" w:cs="Times New Roman"/>
          <w:color w:val="auto"/>
          <w:sz w:val="24"/>
          <w:highlight w:val="none"/>
          <w:lang w:val="en-US" w:eastAsia="zh-CN"/>
        </w:rPr>
        <w:t>5</w:t>
      </w:r>
      <w:r>
        <w:rPr>
          <w:rFonts w:hint="eastAsia" w:ascii="Times New Roman" w:hAnsi="Times New Roman" w:cs="Times New Roman"/>
          <w:color w:val="auto"/>
          <w:sz w:val="24"/>
          <w:highlight w:val="none"/>
        </w:rPr>
        <w:t>年汉中市环境</w:t>
      </w:r>
      <w:r>
        <w:rPr>
          <w:rFonts w:ascii="Times New Roman" w:hAnsi="Times New Roman" w:cs="Times New Roman"/>
          <w:color w:val="auto"/>
          <w:sz w:val="24"/>
          <w:highlight w:val="none"/>
        </w:rPr>
        <w:t>质量公报</w:t>
      </w:r>
      <w:r>
        <w:rPr>
          <w:rFonts w:hint="eastAsia" w:ascii="Times New Roman" w:hAnsi="Times New Roman" w:cs="Times New Roman"/>
          <w:color w:val="auto"/>
          <w:sz w:val="24"/>
          <w:highlight w:val="none"/>
        </w:rPr>
        <w:t>，</w:t>
      </w:r>
      <w:r>
        <w:rPr>
          <w:rFonts w:hint="eastAsia" w:cs="Times New Roman"/>
          <w:color w:val="auto"/>
          <w:sz w:val="24"/>
          <w:highlight w:val="none"/>
          <w:lang w:eastAsia="zh-CN"/>
        </w:rPr>
        <w:t>溢水河和</w:t>
      </w:r>
      <w:r>
        <w:rPr>
          <w:rFonts w:hint="eastAsia" w:ascii="Times New Roman" w:hAnsi="Times New Roman" w:cs="Times New Roman"/>
          <w:color w:val="auto"/>
          <w:sz w:val="24"/>
          <w:highlight w:val="none"/>
        </w:rPr>
        <w:t>汉江地表水环境总体</w:t>
      </w:r>
      <w:r>
        <w:rPr>
          <w:rFonts w:hint="eastAsia" w:cs="Times New Roman"/>
          <w:color w:val="auto"/>
          <w:sz w:val="24"/>
          <w:highlight w:val="none"/>
          <w:lang w:eastAsia="zh-CN"/>
        </w:rPr>
        <w:t>良好</w:t>
      </w:r>
      <w:r>
        <w:rPr>
          <w:rFonts w:hint="eastAsia" w:ascii="Times New Roman" w:hAnsi="Times New Roman" w:cs="Times New Roman"/>
          <w:color w:val="auto"/>
          <w:sz w:val="24"/>
          <w:highlight w:val="none"/>
        </w:rPr>
        <w:t>。根据收集到的202</w:t>
      </w:r>
      <w:r>
        <w:rPr>
          <w:rFonts w:hint="eastAsia" w:cs="Times New Roman"/>
          <w:color w:val="auto"/>
          <w:sz w:val="24"/>
          <w:highlight w:val="none"/>
          <w:lang w:val="en-US" w:eastAsia="zh-CN"/>
        </w:rPr>
        <w:t>3</w:t>
      </w:r>
      <w:r>
        <w:rPr>
          <w:rFonts w:hint="eastAsia" w:ascii="Times New Roman" w:hAnsi="Times New Roman" w:cs="Times New Roman"/>
          <w:color w:val="auto"/>
          <w:sz w:val="24"/>
          <w:highlight w:val="none"/>
        </w:rPr>
        <w:t>~202</w:t>
      </w:r>
      <w:r>
        <w:rPr>
          <w:rFonts w:hint="eastAsia" w:cs="Times New Roman"/>
          <w:color w:val="auto"/>
          <w:sz w:val="24"/>
          <w:highlight w:val="none"/>
          <w:lang w:val="en-US" w:eastAsia="zh-CN"/>
        </w:rPr>
        <w:t>5</w:t>
      </w:r>
      <w:r>
        <w:rPr>
          <w:rFonts w:hint="eastAsia" w:ascii="Times New Roman" w:hAnsi="Times New Roman" w:cs="Times New Roman"/>
          <w:color w:val="auto"/>
          <w:sz w:val="24"/>
          <w:highlight w:val="none"/>
        </w:rPr>
        <w:t>年</w:t>
      </w:r>
      <w:r>
        <w:rPr>
          <w:rFonts w:hint="eastAsia" w:cs="Times New Roman"/>
          <w:color w:val="auto"/>
          <w:sz w:val="24"/>
          <w:highlight w:val="none"/>
          <w:lang w:eastAsia="zh-CN"/>
        </w:rPr>
        <w:t>溢水桥市</w:t>
      </w:r>
      <w:r>
        <w:rPr>
          <w:rFonts w:hint="eastAsia" w:ascii="Times New Roman" w:hAnsi="Times New Roman" w:cs="Times New Roman"/>
          <w:color w:val="auto"/>
          <w:sz w:val="24"/>
          <w:highlight w:val="none"/>
        </w:rPr>
        <w:t>控断面例行监测数据，</w:t>
      </w:r>
      <w:r>
        <w:rPr>
          <w:rFonts w:hint="eastAsia" w:ascii="Times New Roman" w:hAnsi="Times New Roman" w:cs="Times New Roman"/>
          <w:color w:val="auto"/>
          <w:sz w:val="24"/>
          <w:highlight w:val="none"/>
        </w:rPr>
        <w:t>COD、氨氮、总磷年均</w:t>
      </w:r>
      <w:r>
        <w:rPr>
          <w:rFonts w:hint="eastAsia" w:ascii="Times New Roman" w:hAnsi="Times New Roman" w:cs="Times New Roman"/>
          <w:color w:val="auto"/>
          <w:sz w:val="24"/>
          <w:highlight w:val="none"/>
        </w:rPr>
        <w:t>浓度均能满足《地表水环境质量标准》（GB3838-2002）</w:t>
      </w:r>
      <w:r>
        <w:rPr>
          <w:rFonts w:ascii="Times New Roman" w:hAnsi="Times New Roman" w:cs="Times New Roman"/>
          <w:color w:val="auto"/>
          <w:sz w:val="24"/>
          <w:highlight w:val="none"/>
        </w:rPr>
        <w:fldChar w:fldCharType="begin"/>
      </w:r>
      <w:r>
        <w:rPr>
          <w:rFonts w:ascii="Times New Roman" w:hAnsi="Times New Roman" w:cs="Times New Roman"/>
          <w:color w:val="auto"/>
          <w:sz w:val="24"/>
          <w:highlight w:val="none"/>
        </w:rPr>
        <w:instrText xml:space="preserve"> = 2 \* ROMAN \* MERGEFORMAT </w:instrText>
      </w:r>
      <w:r>
        <w:rPr>
          <w:rFonts w:ascii="Times New Roman" w:hAnsi="Times New Roman" w:cs="Times New Roman"/>
          <w:color w:val="auto"/>
          <w:sz w:val="24"/>
          <w:highlight w:val="none"/>
        </w:rPr>
        <w:fldChar w:fldCharType="separate"/>
      </w:r>
      <w:r>
        <w:rPr>
          <w:rFonts w:ascii="Times New Roman" w:hAnsi="Times New Roman" w:cs="Times New Roman"/>
          <w:color w:val="auto"/>
          <w:sz w:val="24"/>
          <w:highlight w:val="none"/>
        </w:rPr>
        <w:t>II</w:t>
      </w:r>
      <w:r>
        <w:rPr>
          <w:rFonts w:ascii="Times New Roman" w:hAnsi="Times New Roman" w:cs="Times New Roman"/>
          <w:color w:val="auto"/>
          <w:sz w:val="24"/>
          <w:highlight w:val="none"/>
        </w:rPr>
        <w:fldChar w:fldCharType="end"/>
      </w:r>
      <w:r>
        <w:rPr>
          <w:rFonts w:hint="eastAsia" w:ascii="Times New Roman" w:hAnsi="Times New Roman" w:cs="Times New Roman"/>
          <w:color w:val="auto"/>
          <w:sz w:val="24"/>
          <w:highlight w:val="none"/>
        </w:rPr>
        <w:t>类标准。</w:t>
      </w:r>
    </w:p>
    <w:p w14:paraId="6273CB1F">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81" w:name="_Toc32756"/>
      <w:r>
        <w:rPr>
          <w:rFonts w:hint="default" w:ascii="Times New Roman" w:hAnsi="Times New Roman" w:eastAsia="宋体" w:cs="Times New Roman"/>
          <w:color w:val="auto"/>
          <w:kern w:val="2"/>
          <w:sz w:val="24"/>
          <w:szCs w:val="32"/>
          <w:highlight w:val="none"/>
          <w:lang w:val="en-US" w:eastAsia="zh-CN"/>
        </w:rPr>
        <w:t>7.3环境影响分析</w:t>
      </w:r>
      <w:bookmarkEnd w:id="181"/>
    </w:p>
    <w:p w14:paraId="03FB736F">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黑体" w:cs="Times New Roman"/>
          <w:b/>
          <w:bCs/>
          <w:color w:val="auto"/>
          <w:kern w:val="44"/>
          <w:sz w:val="30"/>
          <w:szCs w:val="30"/>
          <w:highlight w:val="none"/>
          <w:lang w:val="en-US" w:eastAsia="zh-CN" w:bidi="ar-SA"/>
        </w:rPr>
      </w:pP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eastAsia="zh-CN"/>
        </w:rPr>
        <w:t>污水处理厂处理后的尾水达到</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城镇污水处理厂</w:t>
      </w:r>
      <w:r>
        <w:rPr>
          <w:rFonts w:hint="default" w:ascii="Times New Roman" w:hAnsi="Times New Roman" w:cs="Times New Roman"/>
          <w:color w:val="auto"/>
          <w:sz w:val="24"/>
          <w:highlight w:val="none"/>
        </w:rPr>
        <w:t>污染物排放标准》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GB18989-2002</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szCs w:val="24"/>
          <w:highlight w:val="none"/>
          <w:lang w:val="en-US" w:eastAsia="zh-CN"/>
        </w:rPr>
        <w:t>表1中一级A标准和2025年修改单表4中瞬时值标准</w:t>
      </w:r>
      <w:r>
        <w:rPr>
          <w:rFonts w:hint="default" w:ascii="Times New Roman" w:hAnsi="Times New Roman" w:cs="Times New Roman"/>
          <w:color w:val="auto"/>
          <w:sz w:val="24"/>
          <w:highlight w:val="none"/>
        </w:rPr>
        <w:t>后排入</w:t>
      </w:r>
      <w:r>
        <w:rPr>
          <w:rFonts w:hint="eastAsia" w:ascii="Times New Roman" w:hAnsi="Times New Roman" w:cs="Times New Roman"/>
          <w:color w:val="auto"/>
          <w:sz w:val="24"/>
          <w:highlight w:val="none"/>
          <w:lang w:eastAsia="zh-CN"/>
        </w:rPr>
        <w:t>溢水河</w:t>
      </w:r>
      <w:r>
        <w:rPr>
          <w:rFonts w:hint="default" w:ascii="Times New Roman" w:hAnsi="Times New Roman" w:cs="Times New Roman"/>
          <w:color w:val="auto"/>
          <w:sz w:val="24"/>
          <w:highlight w:val="none"/>
        </w:rPr>
        <w:t>。项目的建设使</w:t>
      </w:r>
      <w:r>
        <w:rPr>
          <w:rFonts w:hint="eastAsia" w:ascii="Times New Roman" w:hAnsi="Times New Roman" w:cs="Times New Roman"/>
          <w:color w:val="auto"/>
          <w:sz w:val="24"/>
          <w:highlight w:val="none"/>
          <w:lang w:val="en-US" w:eastAsia="zh-CN"/>
        </w:rPr>
        <w:t>谢村镇四〇五社区及沿线下溢水村</w:t>
      </w:r>
      <w:r>
        <w:rPr>
          <w:rFonts w:hint="default" w:ascii="Times New Roman" w:hAnsi="Times New Roman" w:cs="Times New Roman"/>
          <w:color w:val="auto"/>
          <w:sz w:val="24"/>
          <w:highlight w:val="none"/>
        </w:rPr>
        <w:t>的生活污水得到有效</w:t>
      </w:r>
      <w:r>
        <w:rPr>
          <w:rFonts w:hint="default" w:ascii="Times New Roman" w:hAnsi="Times New Roman" w:cs="Times New Roman"/>
          <w:color w:val="auto"/>
          <w:sz w:val="24"/>
          <w:highlight w:val="none"/>
          <w:lang w:eastAsia="zh-CN"/>
        </w:rPr>
        <w:t>地</w:t>
      </w:r>
      <w:r>
        <w:rPr>
          <w:rFonts w:hint="default" w:ascii="Times New Roman" w:hAnsi="Times New Roman" w:cs="Times New Roman"/>
          <w:color w:val="auto"/>
          <w:sz w:val="24"/>
          <w:highlight w:val="none"/>
        </w:rPr>
        <w:t>收集和处理，</w:t>
      </w:r>
      <w:r>
        <w:rPr>
          <w:rFonts w:hint="eastAsia" w:ascii="Times New Roman" w:hAnsi="Times New Roman" w:cs="Times New Roman"/>
          <w:color w:val="auto"/>
          <w:sz w:val="24"/>
          <w:highlight w:val="none"/>
          <w:lang w:eastAsia="zh-CN"/>
        </w:rPr>
        <w:t>投运</w:t>
      </w:r>
      <w:r>
        <w:rPr>
          <w:rFonts w:hint="default" w:ascii="Times New Roman" w:hAnsi="Times New Roman" w:cs="Times New Roman"/>
          <w:color w:val="auto"/>
          <w:sz w:val="24"/>
          <w:highlight w:val="none"/>
        </w:rPr>
        <w:t>后对区域水环境的改善有</w:t>
      </w:r>
      <w:r>
        <w:rPr>
          <w:rFonts w:hint="eastAsia" w:ascii="Times New Roman" w:hAnsi="Times New Roman" w:cs="Times New Roman"/>
          <w:color w:val="auto"/>
          <w:sz w:val="24"/>
          <w:highlight w:val="none"/>
          <w:lang w:eastAsia="zh-CN"/>
        </w:rPr>
        <w:t>正向</w:t>
      </w:r>
      <w:r>
        <w:rPr>
          <w:rFonts w:hint="default" w:ascii="Times New Roman" w:hAnsi="Times New Roman" w:cs="Times New Roman"/>
          <w:color w:val="auto"/>
          <w:sz w:val="24"/>
          <w:highlight w:val="none"/>
        </w:rPr>
        <w:t>作用</w:t>
      </w:r>
      <w:r>
        <w:rPr>
          <w:rFonts w:hint="default" w:ascii="Times New Roman" w:hAnsi="Times New Roman" w:eastAsia="宋体" w:cs="Times New Roman"/>
          <w:color w:val="auto"/>
          <w:kern w:val="0"/>
          <w:sz w:val="24"/>
          <w:szCs w:val="20"/>
          <w:highlight w:val="none"/>
          <w:vertAlign w:val="baseline"/>
          <w:lang w:val="en-US" w:eastAsia="zh-CN" w:bidi="ar"/>
        </w:rPr>
        <w:t>。</w:t>
      </w:r>
    </w:p>
    <w:p w14:paraId="5C92A874">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82" w:name="_Toc30990"/>
      <w:r>
        <w:rPr>
          <w:rFonts w:hint="default" w:ascii="Times New Roman" w:hAnsi="Times New Roman" w:eastAsia="宋体" w:cs="Times New Roman"/>
          <w:color w:val="auto"/>
          <w:kern w:val="2"/>
          <w:sz w:val="24"/>
          <w:szCs w:val="32"/>
          <w:highlight w:val="none"/>
          <w:lang w:val="en-US" w:eastAsia="zh-CN"/>
        </w:rPr>
        <w:t>7.4综合结论</w:t>
      </w:r>
      <w:bookmarkEnd w:id="182"/>
    </w:p>
    <w:p w14:paraId="44C7401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0"/>
          <w:sz w:val="24"/>
          <w:szCs w:val="20"/>
          <w:highlight w:val="none"/>
          <w:vertAlign w:val="baseline"/>
          <w:lang w:val="en-US" w:eastAsia="zh-CN" w:bidi="ar"/>
        </w:rPr>
        <w:t>综上，</w:t>
      </w: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szCs w:val="24"/>
          <w:highlight w:val="none"/>
          <w:lang w:eastAsia="zh-CN"/>
        </w:rPr>
        <w:t>的建设</w:t>
      </w:r>
      <w:r>
        <w:rPr>
          <w:rFonts w:hint="eastAsia" w:cs="Times New Roman"/>
          <w:color w:val="auto"/>
          <w:sz w:val="24"/>
          <w:szCs w:val="24"/>
          <w:highlight w:val="none"/>
          <w:lang w:eastAsia="zh-CN"/>
        </w:rPr>
        <w:t>及运营</w:t>
      </w:r>
      <w:r>
        <w:rPr>
          <w:rFonts w:hint="default" w:ascii="Times New Roman" w:hAnsi="Times New Roman" w:cs="Times New Roman"/>
          <w:color w:val="auto"/>
          <w:sz w:val="24"/>
          <w:szCs w:val="24"/>
          <w:highlight w:val="none"/>
          <w:lang w:eastAsia="zh-CN"/>
        </w:rPr>
        <w:t>不会对</w:t>
      </w:r>
      <w:r>
        <w:rPr>
          <w:rFonts w:hint="eastAsia" w:cs="Times New Roman"/>
          <w:color w:val="auto"/>
          <w:sz w:val="24"/>
          <w:szCs w:val="24"/>
          <w:highlight w:val="none"/>
          <w:lang w:eastAsia="zh-CN"/>
        </w:rPr>
        <w:t>溢水</w:t>
      </w:r>
      <w:r>
        <w:rPr>
          <w:rFonts w:hint="default" w:ascii="Times New Roman" w:hAnsi="Times New Roman" w:cs="Times New Roman"/>
          <w:color w:val="auto"/>
          <w:sz w:val="24"/>
          <w:szCs w:val="24"/>
          <w:highlight w:val="none"/>
          <w:lang w:eastAsia="zh-CN"/>
        </w:rPr>
        <w:t>河造成明显影响，并且</w:t>
      </w:r>
      <w:r>
        <w:rPr>
          <w:rFonts w:hint="default" w:ascii="Times New Roman" w:hAnsi="Times New Roman" w:cs="Times New Roman"/>
          <w:color w:val="auto"/>
          <w:sz w:val="24"/>
          <w:szCs w:val="24"/>
          <w:highlight w:val="none"/>
        </w:rPr>
        <w:t>有效</w:t>
      </w:r>
      <w:r>
        <w:rPr>
          <w:rFonts w:hint="eastAsia" w:cs="Times New Roman"/>
          <w:color w:val="auto"/>
          <w:sz w:val="24"/>
          <w:szCs w:val="24"/>
          <w:highlight w:val="none"/>
          <w:lang w:eastAsia="zh-CN"/>
        </w:rPr>
        <w:t>改善</w:t>
      </w:r>
      <w:r>
        <w:rPr>
          <w:rFonts w:hint="default" w:ascii="Times New Roman" w:hAnsi="Times New Roman" w:cs="Times New Roman"/>
          <w:color w:val="auto"/>
          <w:sz w:val="24"/>
          <w:szCs w:val="24"/>
          <w:highlight w:val="none"/>
        </w:rPr>
        <w:t>当地污水未经处置直排、乱排、散排的污染现状，有助于改善区域内地表水</w:t>
      </w:r>
      <w:r>
        <w:rPr>
          <w:rFonts w:hint="eastAsia" w:cs="Times New Roman"/>
          <w:color w:val="auto"/>
          <w:sz w:val="24"/>
          <w:szCs w:val="24"/>
          <w:highlight w:val="none"/>
          <w:lang w:eastAsia="zh-CN"/>
        </w:rPr>
        <w:t>体—溢水</w:t>
      </w:r>
      <w:r>
        <w:rPr>
          <w:rFonts w:hint="default" w:ascii="Times New Roman" w:hAnsi="Times New Roman" w:cs="Times New Roman"/>
          <w:color w:val="auto"/>
          <w:sz w:val="24"/>
          <w:szCs w:val="24"/>
          <w:highlight w:val="none"/>
          <w:lang w:eastAsia="zh-CN"/>
        </w:rPr>
        <w:t>河</w:t>
      </w:r>
      <w:r>
        <w:rPr>
          <w:rFonts w:hint="eastAsia" w:cs="Times New Roman"/>
          <w:color w:val="auto"/>
          <w:sz w:val="24"/>
          <w:szCs w:val="24"/>
          <w:highlight w:val="none"/>
          <w:lang w:val="en-US" w:eastAsia="zh-CN"/>
        </w:rPr>
        <w:t>及下游</w:t>
      </w:r>
      <w:r>
        <w:rPr>
          <w:rFonts w:hint="default" w:ascii="Times New Roman" w:hAnsi="Times New Roman" w:cs="Times New Roman"/>
          <w:color w:val="auto"/>
          <w:sz w:val="24"/>
          <w:szCs w:val="24"/>
          <w:highlight w:val="none"/>
        </w:rPr>
        <w:t>河段</w:t>
      </w:r>
      <w:r>
        <w:rPr>
          <w:rFonts w:hint="default" w:ascii="Times New Roman" w:hAnsi="Times New Roman" w:cs="Times New Roman"/>
          <w:color w:val="auto"/>
          <w:sz w:val="24"/>
          <w:szCs w:val="24"/>
          <w:highlight w:val="none"/>
          <w:lang w:eastAsia="zh-CN"/>
        </w:rPr>
        <w:t>水环境和生态环境</w:t>
      </w:r>
      <w:r>
        <w:rPr>
          <w:rFonts w:hint="default" w:ascii="Times New Roman" w:hAnsi="Times New Roman" w:cs="Times New Roman"/>
          <w:color w:val="auto"/>
          <w:sz w:val="24"/>
          <w:szCs w:val="24"/>
          <w:highlight w:val="none"/>
        </w:rPr>
        <w:t>质量。</w:t>
      </w:r>
    </w:p>
    <w:p w14:paraId="069F9DF1">
      <w:pPr>
        <w:pStyle w:val="4"/>
        <w:keepNext/>
        <w:keepLines/>
        <w:tabs>
          <w:tab w:val="left" w:pos="210"/>
        </w:tabs>
        <w:spacing w:before="200" w:beforeAutospacing="0" w:after="200" w:afterAutospacing="0" w:line="360" w:lineRule="auto"/>
        <w:jc w:val="both"/>
        <w:rPr>
          <w:rFonts w:hint="default" w:ascii="Times New Roman" w:hAnsi="Times New Roman" w:eastAsia="宋体" w:cs="Times New Roman"/>
          <w:color w:val="auto"/>
          <w:kern w:val="2"/>
          <w:sz w:val="24"/>
          <w:szCs w:val="32"/>
          <w:highlight w:val="none"/>
          <w:lang w:val="en-US" w:eastAsia="zh-CN"/>
        </w:rPr>
      </w:pPr>
      <w:bookmarkStart w:id="183" w:name="_Toc4100"/>
      <w:r>
        <w:rPr>
          <w:rFonts w:hint="default" w:ascii="Times New Roman" w:hAnsi="Times New Roman" w:eastAsia="宋体" w:cs="Times New Roman"/>
          <w:color w:val="auto"/>
          <w:kern w:val="2"/>
          <w:sz w:val="24"/>
          <w:szCs w:val="32"/>
          <w:highlight w:val="none"/>
          <w:lang w:val="en-US" w:eastAsia="zh-CN"/>
        </w:rPr>
        <w:t>7.5要求与建议</w:t>
      </w:r>
      <w:bookmarkEnd w:id="183"/>
    </w:p>
    <w:p w14:paraId="6FBB8057">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1、建设单位应严格按照环评报告表的要求，</w:t>
      </w:r>
      <w:r>
        <w:rPr>
          <w:rFonts w:hint="eastAsia" w:cs="Times New Roman"/>
          <w:color w:val="auto"/>
          <w:sz w:val="24"/>
          <w:highlight w:val="none"/>
          <w:lang w:eastAsia="zh-CN"/>
        </w:rPr>
        <w:t>采取针对性环保措施，</w:t>
      </w:r>
      <w:r>
        <w:rPr>
          <w:rFonts w:hint="default" w:ascii="Times New Roman" w:hAnsi="Times New Roman" w:cs="Times New Roman"/>
          <w:color w:val="auto"/>
          <w:sz w:val="24"/>
          <w:highlight w:val="none"/>
        </w:rPr>
        <w:t>使项目建设</w:t>
      </w:r>
      <w:r>
        <w:rPr>
          <w:rFonts w:hint="eastAsia" w:cs="Times New Roman"/>
          <w:color w:val="auto"/>
          <w:sz w:val="24"/>
          <w:highlight w:val="none"/>
          <w:lang w:eastAsia="zh-CN"/>
        </w:rPr>
        <w:t>及运营</w:t>
      </w:r>
      <w:r>
        <w:rPr>
          <w:rFonts w:hint="default" w:ascii="Times New Roman" w:hAnsi="Times New Roman" w:cs="Times New Roman"/>
          <w:color w:val="auto"/>
          <w:sz w:val="24"/>
          <w:highlight w:val="none"/>
        </w:rPr>
        <w:t>对环境的影响降到最低；</w:t>
      </w:r>
    </w:p>
    <w:p w14:paraId="6B930CFD">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2、建设单位应按《排污许可管理办法（试行）》（2019修订）、《排污许可申请与核发技术规范 水处理》（HJ978-2018）、《排污单位自行监测技术指南 水处理（HJ1083-2020）》等要求申请排污许可手续、进行自行监测、完善环境管理台账与排污许可证执行报告等；</w:t>
      </w:r>
    </w:p>
    <w:p w14:paraId="04117B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3、项目环评审批后，应尽快组织验收，验收合格后再运行；</w:t>
      </w:r>
    </w:p>
    <w:p w14:paraId="40842A85">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4、加强环保设施的日常管理工作及设施的维修、保养，建立环保设施运行的工作制度和污染源管理档案，保证处理设施正常运行，杜绝事故排放；</w:t>
      </w:r>
    </w:p>
    <w:p w14:paraId="4EA030A4">
      <w:pPr>
        <w:adjustRightInd w:val="0"/>
        <w:snapToGrid w:val="0"/>
        <w:spacing w:line="360" w:lineRule="auto"/>
        <w:ind w:firstLine="480"/>
        <w:rPr>
          <w:color w:val="auto"/>
          <w:highlight w:val="none"/>
        </w:rPr>
      </w:pPr>
      <w:r>
        <w:rPr>
          <w:rFonts w:hint="default" w:ascii="Times New Roman" w:hAnsi="Times New Roman" w:cs="Times New Roman"/>
          <w:color w:val="auto"/>
          <w:sz w:val="24"/>
          <w:highlight w:val="none"/>
        </w:rPr>
        <w:t>5、加强对处理工艺各单元水质水量的监控和监测，确保系统稳定运行，出水水质达标</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规范污水排放口，完善排污口标志，预留采样位置。</w:t>
      </w:r>
    </w:p>
    <w:bookmarkEnd w:id="184"/>
    <w:sectPr>
      <w:pgSz w:w="11906" w:h="16838"/>
      <w:pgMar w:top="1304" w:right="1701" w:bottom="1304" w:left="1701" w:header="1304" w:footer="1304"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0163160-98F7-46AC-8A96-754E0FCF9C4F}"/>
  </w:font>
  <w:font w:name="黑体">
    <w:panose1 w:val="02010609060101010101"/>
    <w:charset w:val="86"/>
    <w:family w:val="auto"/>
    <w:pitch w:val="default"/>
    <w:sig w:usb0="800002BF" w:usb1="38CF7CFA" w:usb2="00000016" w:usb3="00000000" w:csb0="00040001" w:csb1="00000000"/>
    <w:embedRegular r:id="rId2" w:fontKey="{E958DE36-FDE1-4435-ADC4-71020DB51ED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022964E8-F69D-4FC5-8A8E-356547EDC811}"/>
  </w:font>
  <w:font w:name="Cambria Math">
    <w:panose1 w:val="02040503050406030204"/>
    <w:charset w:val="00"/>
    <w:family w:val="roman"/>
    <w:pitch w:val="default"/>
    <w:sig w:usb0="E00002FF" w:usb1="420024FF" w:usb2="00000000" w:usb3="00000000" w:csb0="2000019F" w:csb1="00000000"/>
    <w:embedRegular r:id="rId4" w:fontKey="{BBFC9086-CB32-47BF-B689-AD4D28EE8151}"/>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5" w:fontKey="{164CDEFB-31B8-4304-A3AF-8829CABE1E31}"/>
  </w:font>
  <w:font w:name="仿宋">
    <w:panose1 w:val="02010609060101010101"/>
    <w:charset w:val="86"/>
    <w:family w:val="modern"/>
    <w:pitch w:val="default"/>
    <w:sig w:usb0="800002BF" w:usb1="38CF7CFA" w:usb2="00000016" w:usb3="00000000" w:csb0="00040001" w:csb1="00000000"/>
    <w:embedRegular r:id="rId6" w:fontKey="{1C7EBA97-CEB0-4C7B-99D2-5750E3F5DC42}"/>
  </w:font>
  <w:font w:name="等线">
    <w:altName w:val="Arial Unicode MS"/>
    <w:panose1 w:val="02010600030101010101"/>
    <w:charset w:val="86"/>
    <w:family w:val="auto"/>
    <w:pitch w:val="default"/>
    <w:sig w:usb0="00000000" w:usb1="00000000" w:usb2="00000016" w:usb3="00000000" w:csb0="0004000F" w:csb1="00000000"/>
    <w:embedRegular r:id="rId7" w:fontKey="{70787ADE-FC62-42D7-8BAC-A8984CA9677D}"/>
  </w:font>
  <w:font w:name="Arial Unicode MS">
    <w:panose1 w:val="020B0604020202020204"/>
    <w:charset w:val="86"/>
    <w:family w:val="auto"/>
    <w:pitch w:val="default"/>
    <w:sig w:usb0="FFFFFFFF" w:usb1="E9FFFFFF" w:usb2="0000003F" w:usb3="00000000" w:csb0="603F01FF" w:csb1="FFFF0000"/>
  </w:font>
  <w:font w:name="time">
    <w:altName w:val="宋体"/>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embedRegular r:id="rId8" w:fontKey="{CD0E995A-D415-4586-A714-FE827EA6EA8A}"/>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9" w:fontKey="{5F56BBB0-8FAB-4188-96FA-8292CCA63766}"/>
  </w:font>
  <w:font w:name="Wingdings 2">
    <w:panose1 w:val="05020102010507070707"/>
    <w:charset w:val="02"/>
    <w:family w:val="roman"/>
    <w:pitch w:val="default"/>
    <w:sig w:usb0="00000000" w:usb1="00000000" w:usb2="00000000" w:usb3="00000000" w:csb0="80000000" w:csb1="00000000"/>
    <w:embedRegular r:id="rId10" w:fontKey="{8902C984-8F6E-4EBC-8550-27BEB5092593}"/>
  </w:font>
  <w:font w:name="新宋体">
    <w:panose1 w:val="02010609030101010101"/>
    <w:charset w:val="86"/>
    <w:family w:val="modern"/>
    <w:pitch w:val="default"/>
    <w:sig w:usb0="00000003" w:usb1="288F0000" w:usb2="00000006" w:usb3="00000000" w:csb0="00040001" w:csb1="00000000"/>
    <w:embedRegular r:id="rId11" w:fontKey="{48C5CFBD-B805-4807-B510-D2734C76A54D}"/>
  </w:font>
  <w:font w:name="微软雅黑">
    <w:panose1 w:val="020B0503020204020204"/>
    <w:charset w:val="86"/>
    <w:family w:val="auto"/>
    <w:pitch w:val="default"/>
    <w:sig w:usb0="80000287" w:usb1="280F3C52" w:usb2="00000016" w:usb3="00000000" w:csb0="0004001F" w:csb1="00000000"/>
    <w:embedRegular r:id="rId12" w:fontKey="{3CC583EF-36EF-488B-91F3-E2867BF2393B}"/>
  </w:font>
  <w:font w:name="TimesNewRomanPSMT">
    <w:altName w:val="宋体"/>
    <w:panose1 w:val="00000000000000000000"/>
    <w:charset w:val="86"/>
    <w:family w:val="auto"/>
    <w:pitch w:val="default"/>
    <w:sig w:usb0="00000000" w:usb1="00000000" w:usb2="00000010" w:usb3="00000000" w:csb0="00060000" w:csb1="00000000"/>
    <w:embedRegular r:id="rId13" w:fontKey="{62A0B72A-0D46-4EE0-98BF-6B175ECEFCBE}"/>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auto"/>
    <w:pitch w:val="default"/>
    <w:sig w:usb0="A00002FF" w:usb1="28CFFCFA" w:usb2="00000016" w:usb3="00000000" w:csb0="00100001" w:csb1="00000000"/>
  </w:font>
  <w:font w:name="等线">
    <w:altName w:val="Arial Unicode MS"/>
    <w:panose1 w:val="00000000000000000000"/>
    <w:charset w:val="00"/>
    <w:family w:val="auto"/>
    <w:pitch w:val="default"/>
    <w:sig w:usb0="00000000" w:usb1="00000000" w:usb2="00000000" w:usb3="00000000" w:csb0="00000000" w:csb1="00000000"/>
    <w:embedRegular r:id="rId14" w:fontKey="{D683B80A-6BD7-43DB-9E91-6C1E43A945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97ADD">
    <w:pPr>
      <w:pStyle w:val="2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0F220">
    <w:pPr>
      <w:pStyle w:val="22"/>
      <w:framePr w:wrap="around" w:vAnchor="text" w:hAnchor="margin" w:xAlign="center" w:y="1"/>
      <w:rPr>
        <w:rStyle w:val="35"/>
      </w:rPr>
    </w:pPr>
    <w:r>
      <w:fldChar w:fldCharType="begin"/>
    </w:r>
    <w:r>
      <w:rPr>
        <w:rStyle w:val="35"/>
      </w:rPr>
      <w:instrText xml:space="preserve">PAGE  </w:instrText>
    </w:r>
    <w:r>
      <w:fldChar w:fldCharType="end"/>
    </w:r>
  </w:p>
  <w:p w14:paraId="1D776788">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5032B">
    <w:pPr>
      <w:pStyle w:val="22"/>
      <w:framePr w:wrap="around" w:vAnchor="text" w:hAnchor="page" w:x="5369" w:y="-599"/>
      <w:rPr>
        <w:rStyle w:val="35"/>
        <w:rFonts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9</w:t>
    </w:r>
    <w:r>
      <w:rPr>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p w14:paraId="4B628D63">
    <w:pPr>
      <w:pStyle w:val="22"/>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9CC87">
    <w:pPr>
      <w:pStyle w:val="22"/>
      <w:framePr w:wrap="around" w:vAnchor="text" w:hAnchor="page" w:x="5331" w:y="-374"/>
      <w:rPr>
        <w:rStyle w:val="35"/>
        <w:rFonts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9</w:t>
    </w:r>
    <w:r>
      <w:rPr>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p w14:paraId="642417AC">
    <w:pPr>
      <w:pStyle w:val="22"/>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33532">
    <w:pPr>
      <w:pStyle w:val="22"/>
      <w:ind w:right="360" w:firstLine="360"/>
      <w:rPr>
        <w:rFonts w:hint="eastAsia" w:eastAsia="宋体"/>
        <w:lang w:val="en-US" w:eastAsia="zh-CN"/>
      </w:rPr>
    </w:pPr>
    <w:r>
      <w:rPr>
        <w:rFonts w:hint="eastAsia"/>
        <w:lang w:val="en-US" w:eastAsia="zh-C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58132">
    <w:pPr>
      <w:pStyle w:val="22"/>
      <w:ind w:right="360" w:firstLine="360"/>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C078">
    <w:pPr>
      <w:pStyle w:val="22"/>
      <w:ind w:right="360" w:firstLine="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14B4F">
    <w:pPr>
      <w:pStyle w:val="22"/>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250E7B">
                          <w:pPr>
                            <w:pStyle w:val="22"/>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00250E7B">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02415">
    <w:pPr>
      <w:pStyle w:val="22"/>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432777">
                          <w:pPr>
                            <w:pStyle w:val="22"/>
                          </w:pPr>
                          <w:r>
                            <w:t xml:space="preserve">— </w:t>
                          </w:r>
                          <w:r>
                            <w:fldChar w:fldCharType="begin"/>
                          </w:r>
                          <w:r>
                            <w:instrText xml:space="preserve"> PAGE  \* MERGEFORMAT </w:instrText>
                          </w:r>
                          <w:r>
                            <w:fldChar w:fldCharType="separate"/>
                          </w:r>
                          <w:r>
                            <w:t>3</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0A432777">
                    <w:pPr>
                      <w:pStyle w:val="22"/>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1657E"/>
    <w:multiLevelType w:val="singleLevel"/>
    <w:tmpl w:val="A681657E"/>
    <w:lvl w:ilvl="0" w:tentative="0">
      <w:start w:val="3"/>
      <w:numFmt w:val="decimal"/>
      <w:suff w:val="nothing"/>
      <w:lvlText w:val="%1、"/>
      <w:lvlJc w:val="left"/>
    </w:lvl>
  </w:abstractNum>
  <w:abstractNum w:abstractNumId="1">
    <w:nsid w:val="D4A902CB"/>
    <w:multiLevelType w:val="singleLevel"/>
    <w:tmpl w:val="D4A902CB"/>
    <w:lvl w:ilvl="0" w:tentative="0">
      <w:start w:val="1"/>
      <w:numFmt w:val="decimal"/>
      <w:suff w:val="nothing"/>
      <w:lvlText w:val="（%1）"/>
      <w:lvlJc w:val="left"/>
    </w:lvl>
  </w:abstractNum>
  <w:abstractNum w:abstractNumId="2">
    <w:nsid w:val="5AEAD295"/>
    <w:multiLevelType w:val="singleLevel"/>
    <w:tmpl w:val="5AEAD295"/>
    <w:lvl w:ilvl="0" w:tentative="0">
      <w:start w:val="2"/>
      <w:numFmt w:val="decimal"/>
      <w:suff w:val="nothing"/>
      <w:lvlText w:val="（%1）"/>
      <w:lvlJc w:val="left"/>
    </w:lvl>
  </w:abstractNum>
  <w:abstractNum w:abstractNumId="3">
    <w:nsid w:val="5DF850DC"/>
    <w:multiLevelType w:val="multilevel"/>
    <w:tmpl w:val="5DF850DC"/>
    <w:lvl w:ilvl="0" w:tentative="0">
      <w:start w:val="1"/>
      <w:numFmt w:val="decimal"/>
      <w:suff w:val="nothing"/>
      <w:lvlText w:val="%1"/>
      <w:lvlJc w:val="left"/>
      <w:pPr>
        <w:tabs>
          <w:tab w:val="left" w:pos="0"/>
        </w:tabs>
        <w:ind w:left="0" w:firstLine="0"/>
      </w:pPr>
      <w:rPr>
        <w:rFonts w:hint="default" w:ascii="Times New Roman" w:hAnsi="Times New Roman" w:eastAsia="宋体" w:cs="Times New Roman"/>
        <w:sz w:val="32"/>
        <w:szCs w:val="32"/>
      </w:rPr>
    </w:lvl>
    <w:lvl w:ilvl="1" w:tentative="0">
      <w:start w:val="1"/>
      <w:numFmt w:val="decimal"/>
      <w:suff w:val="space"/>
      <w:lvlText w:val="%1.%2"/>
      <w:lvlJc w:val="left"/>
      <w:pPr>
        <w:tabs>
          <w:tab w:val="left" w:pos="420"/>
        </w:tabs>
        <w:ind w:left="0" w:firstLine="0"/>
      </w:pPr>
      <w:rPr>
        <w:rFonts w:hint="default" w:ascii="Times New Roman" w:hAnsi="Times New Roman" w:eastAsia="宋体" w:cs="Times New Roman"/>
        <w:sz w:val="28"/>
        <w:szCs w:val="28"/>
      </w:rPr>
    </w:lvl>
    <w:lvl w:ilvl="2" w:tentative="0">
      <w:start w:val="1"/>
      <w:numFmt w:val="decimal"/>
      <w:pStyle w:val="6"/>
      <w:suff w:val="space"/>
      <w:lvlText w:val="%1.%2.%3"/>
      <w:lvlJc w:val="left"/>
      <w:pPr>
        <w:tabs>
          <w:tab w:val="left" w:pos="0"/>
        </w:tabs>
        <w:ind w:left="0" w:firstLine="0"/>
      </w:pPr>
      <w:rPr>
        <w:rFonts w:hint="default" w:ascii="Times New Roman" w:hAnsi="Times New Roman" w:eastAsia="宋体" w:cs="Times New Roman"/>
        <w:szCs w:val="24"/>
      </w:rPr>
    </w:lvl>
    <w:lvl w:ilvl="3" w:tentative="0">
      <w:start w:val="1"/>
      <w:numFmt w:val="none"/>
      <w:suff w:val="space"/>
      <w:lvlText w:val="(1)"/>
      <w:lvlJc w:val="left"/>
      <w:pPr>
        <w:tabs>
          <w:tab w:val="left" w:pos="0"/>
        </w:tabs>
        <w:ind w:left="1857" w:hanging="864"/>
      </w:pPr>
      <w:rPr>
        <w:rFonts w:hint="default" w:ascii="Times New Roman" w:hAnsi="Times New Roman" w:eastAsia="宋体" w:cs="Times New Roman"/>
        <w:sz w:val="24"/>
        <w:szCs w:val="24"/>
      </w:rPr>
    </w:lvl>
    <w:lvl w:ilvl="4" w:tentative="0">
      <w:start w:val="1"/>
      <w:numFmt w:val="decimal"/>
      <w:lvlText w:val="%1.%2.%3.%4.%5"/>
      <w:lvlJc w:val="left"/>
      <w:pPr>
        <w:ind w:left="1008" w:hanging="1008"/>
      </w:pPr>
      <w:rPr>
        <w:rFonts w:hint="default" w:ascii="宋体" w:hAnsi="宋体" w:eastAsia="宋体" w:cs="宋体"/>
      </w:rPr>
    </w:lvl>
    <w:lvl w:ilvl="5" w:tentative="0">
      <w:start w:val="1"/>
      <w:numFmt w:val="decimal"/>
      <w:lvlText w:val="%1.%2.%3.%4.%5.%6"/>
      <w:lvlJc w:val="left"/>
      <w:pPr>
        <w:ind w:left="1151" w:hanging="1151"/>
      </w:pPr>
      <w:rPr>
        <w:rFonts w:hint="default" w:ascii="宋体" w:hAnsi="宋体" w:eastAsia="宋体" w:cs="宋体"/>
      </w:rPr>
    </w:lvl>
    <w:lvl w:ilvl="6" w:tentative="0">
      <w:start w:val="1"/>
      <w:numFmt w:val="decimal"/>
      <w:lvlText w:val="%1.%2.%3.%4.%5.%6.%7"/>
      <w:lvlJc w:val="left"/>
      <w:pPr>
        <w:ind w:left="1296" w:hanging="1296"/>
      </w:pPr>
      <w:rPr>
        <w:rFonts w:hint="default" w:ascii="宋体" w:hAnsi="宋体" w:eastAsia="宋体" w:cs="宋体"/>
      </w:rPr>
    </w:lvl>
    <w:lvl w:ilvl="7" w:tentative="0">
      <w:start w:val="1"/>
      <w:numFmt w:val="decimal"/>
      <w:lvlText w:val="%1.%2.%3.%4.%5.%6.%7.%8"/>
      <w:lvlJc w:val="left"/>
      <w:pPr>
        <w:ind w:left="1440" w:hanging="1440"/>
      </w:pPr>
      <w:rPr>
        <w:rFonts w:hint="default" w:ascii="宋体" w:hAnsi="宋体" w:eastAsia="宋体" w:cs="宋体"/>
      </w:rPr>
    </w:lvl>
    <w:lvl w:ilvl="8" w:tentative="0">
      <w:start w:val="1"/>
      <w:numFmt w:val="decimal"/>
      <w:lvlText w:val="%1.%2.%3.%4.%5.%6.%7.%8.%9."/>
      <w:lvlJc w:val="left"/>
      <w:pPr>
        <w:ind w:left="1583" w:hanging="1583"/>
      </w:pPr>
      <w:rPr>
        <w:rFonts w:hint="default"/>
      </w:rPr>
    </w:lvl>
  </w:abstractNum>
  <w:abstractNum w:abstractNumId="4">
    <w:nsid w:val="5E9F5D38"/>
    <w:multiLevelType w:val="singleLevel"/>
    <w:tmpl w:val="5E9F5D38"/>
    <w:lvl w:ilvl="0" w:tentative="0">
      <w:start w:val="1"/>
      <w:numFmt w:val="decimal"/>
      <w:suff w:val="nothing"/>
      <w:lvlText w:val="（%1）"/>
      <w:lvlJc w:val="left"/>
    </w:lvl>
  </w:abstractNum>
  <w:abstractNum w:abstractNumId="5">
    <w:nsid w:val="6113EDB8"/>
    <w:multiLevelType w:val="singleLevel"/>
    <w:tmpl w:val="6113EDB8"/>
    <w:lvl w:ilvl="0" w:tentative="0">
      <w:start w:val="1"/>
      <w:numFmt w:val="decimal"/>
      <w:suff w:val="nothing"/>
      <w:lvlText w:val="（%1）"/>
      <w:lvlJc w:val="left"/>
      <w:pPr>
        <w:ind w:left="-60"/>
      </w:pPr>
    </w:lvl>
  </w:abstractNum>
  <w:abstractNum w:abstractNumId="6">
    <w:nsid w:val="754B72D3"/>
    <w:multiLevelType w:val="multilevel"/>
    <w:tmpl w:val="754B72D3"/>
    <w:lvl w:ilvl="0" w:tentative="0">
      <w:start w:val="1"/>
      <w:numFmt w:val="decimal"/>
      <w:suff w:val="nothing"/>
      <w:lvlText w:val="%1"/>
      <w:lvlJc w:val="left"/>
      <w:pPr>
        <w:tabs>
          <w:tab w:val="left" w:pos="0"/>
        </w:tabs>
        <w:ind w:left="0" w:firstLine="0"/>
      </w:pPr>
      <w:rPr>
        <w:rFonts w:hint="default" w:ascii="Times New Roman" w:hAnsi="Times New Roman" w:eastAsia="宋体" w:cs="Times New Roman"/>
        <w:sz w:val="32"/>
        <w:szCs w:val="32"/>
      </w:rPr>
    </w:lvl>
    <w:lvl w:ilvl="1" w:tentative="0">
      <w:start w:val="1"/>
      <w:numFmt w:val="decimal"/>
      <w:suff w:val="space"/>
      <w:lvlText w:val="%1.%2"/>
      <w:lvlJc w:val="left"/>
      <w:pPr>
        <w:tabs>
          <w:tab w:val="left" w:pos="420"/>
        </w:tabs>
        <w:ind w:left="0" w:firstLine="0"/>
      </w:pPr>
      <w:rPr>
        <w:rFonts w:hint="default" w:ascii="Times New Roman" w:hAnsi="Times New Roman" w:eastAsia="宋体" w:cs="Times New Roman"/>
        <w:sz w:val="28"/>
        <w:szCs w:val="28"/>
      </w:rPr>
    </w:lvl>
    <w:lvl w:ilvl="2" w:tentative="0">
      <w:start w:val="1"/>
      <w:numFmt w:val="decimal"/>
      <w:suff w:val="space"/>
      <w:lvlText w:val="%1.%2.%3"/>
      <w:lvlJc w:val="left"/>
      <w:pPr>
        <w:tabs>
          <w:tab w:val="left" w:pos="0"/>
        </w:tabs>
        <w:ind w:left="0" w:firstLine="0"/>
      </w:pPr>
      <w:rPr>
        <w:rFonts w:hint="default" w:ascii="Times New Roman" w:hAnsi="Times New Roman" w:eastAsia="宋体" w:cs="Times New Roman"/>
        <w:szCs w:val="24"/>
      </w:rPr>
    </w:lvl>
    <w:lvl w:ilvl="3" w:tentative="0">
      <w:start w:val="1"/>
      <w:numFmt w:val="none"/>
      <w:suff w:val="space"/>
      <w:lvlText w:val="(1)"/>
      <w:lvlJc w:val="left"/>
      <w:pPr>
        <w:tabs>
          <w:tab w:val="left" w:pos="0"/>
        </w:tabs>
        <w:ind w:left="1857" w:hanging="864"/>
      </w:pPr>
      <w:rPr>
        <w:rFonts w:hint="default" w:ascii="Times New Roman" w:hAnsi="Times New Roman" w:eastAsia="宋体" w:cs="Times New Roman"/>
        <w:sz w:val="24"/>
        <w:szCs w:val="24"/>
      </w:rPr>
    </w:lvl>
    <w:lvl w:ilvl="4" w:tentative="0">
      <w:start w:val="1"/>
      <w:numFmt w:val="decimal"/>
      <w:lvlText w:val="%1.%2.%3.%4.%5"/>
      <w:lvlJc w:val="left"/>
      <w:pPr>
        <w:ind w:left="1008" w:hanging="1008"/>
      </w:pPr>
      <w:rPr>
        <w:rFonts w:hint="default" w:ascii="宋体" w:hAnsi="宋体" w:eastAsia="宋体" w:cs="宋体"/>
      </w:rPr>
    </w:lvl>
    <w:lvl w:ilvl="5" w:tentative="0">
      <w:start w:val="1"/>
      <w:numFmt w:val="decimal"/>
      <w:lvlText w:val="%1.%2.%3.%4.%5.%6"/>
      <w:lvlJc w:val="left"/>
      <w:pPr>
        <w:ind w:left="1151" w:hanging="1151"/>
      </w:pPr>
      <w:rPr>
        <w:rFonts w:hint="default" w:ascii="宋体" w:hAnsi="宋体" w:eastAsia="宋体" w:cs="宋体"/>
      </w:rPr>
    </w:lvl>
    <w:lvl w:ilvl="6" w:tentative="0">
      <w:start w:val="1"/>
      <w:numFmt w:val="decimal"/>
      <w:lvlText w:val="%1.%2.%3.%4.%5.%6.%7"/>
      <w:lvlJc w:val="left"/>
      <w:pPr>
        <w:ind w:left="1296" w:hanging="1296"/>
      </w:pPr>
      <w:rPr>
        <w:rFonts w:hint="default" w:ascii="宋体" w:hAnsi="宋体" w:eastAsia="宋体" w:cs="宋体"/>
      </w:rPr>
    </w:lvl>
    <w:lvl w:ilvl="7" w:tentative="0">
      <w:start w:val="1"/>
      <w:numFmt w:val="decimal"/>
      <w:lvlText w:val="%1.%2.%3.%4.%5.%6.%7.%8"/>
      <w:lvlJc w:val="left"/>
      <w:pPr>
        <w:ind w:left="1440" w:hanging="1440"/>
      </w:pPr>
      <w:rPr>
        <w:rFonts w:hint="default" w:ascii="宋体" w:hAnsi="宋体" w:eastAsia="宋体" w:cs="宋体"/>
      </w:rPr>
    </w:lvl>
    <w:lvl w:ilvl="8" w:tentative="0">
      <w:start w:val="1"/>
      <w:numFmt w:val="decimal"/>
      <w:lvlText w:val="%1.%2.%3.%4.%5.%6.%7.%8.%9."/>
      <w:lvlJc w:val="left"/>
      <w:pPr>
        <w:ind w:left="1583" w:hanging="1583"/>
      </w:pPr>
      <w:rPr>
        <w:rFonts w:hint="default"/>
      </w:rPr>
    </w:lvl>
  </w:abstractNum>
  <w:abstractNum w:abstractNumId="7">
    <w:nsid w:val="7D35F0C4"/>
    <w:multiLevelType w:val="singleLevel"/>
    <w:tmpl w:val="7D35F0C4"/>
    <w:lvl w:ilvl="0" w:tentative="0">
      <w:start w:val="1"/>
      <w:numFmt w:val="decimal"/>
      <w:suff w:val="nothing"/>
      <w:lvlText w:val="（%1）"/>
      <w:lvlJc w:val="left"/>
      <w:pPr>
        <w:ind w:left="-60"/>
      </w:pPr>
    </w:lvl>
  </w:abstractNum>
  <w:num w:numId="1">
    <w:abstractNumId w:val="3"/>
  </w:num>
  <w:num w:numId="2">
    <w:abstractNumId w:val="2"/>
  </w:num>
  <w:num w:numId="3">
    <w:abstractNumId w:val="5"/>
  </w:num>
  <w:num w:numId="4">
    <w:abstractNumId w:val="4"/>
  </w:num>
  <w:num w:numId="5">
    <w:abstractNumId w:val="0"/>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MwYzEwOWI2Yjc4NDVkNjk2YzU5M2Q5NzRhZTcxNWEifQ=="/>
  </w:docVars>
  <w:rsids>
    <w:rsidRoot w:val="00A14947"/>
    <w:rsid w:val="00002BE9"/>
    <w:rsid w:val="000042DD"/>
    <w:rsid w:val="00004BD1"/>
    <w:rsid w:val="00005E50"/>
    <w:rsid w:val="000060B3"/>
    <w:rsid w:val="00006BA6"/>
    <w:rsid w:val="000076D1"/>
    <w:rsid w:val="00007D2A"/>
    <w:rsid w:val="0001085F"/>
    <w:rsid w:val="000112DB"/>
    <w:rsid w:val="00011C44"/>
    <w:rsid w:val="00014040"/>
    <w:rsid w:val="000142AE"/>
    <w:rsid w:val="000148DB"/>
    <w:rsid w:val="00022EBD"/>
    <w:rsid w:val="000235D9"/>
    <w:rsid w:val="00023E84"/>
    <w:rsid w:val="000243E0"/>
    <w:rsid w:val="00024F26"/>
    <w:rsid w:val="000256D4"/>
    <w:rsid w:val="0002644D"/>
    <w:rsid w:val="0002701A"/>
    <w:rsid w:val="00027B55"/>
    <w:rsid w:val="00027CEA"/>
    <w:rsid w:val="0003075B"/>
    <w:rsid w:val="00032A5A"/>
    <w:rsid w:val="0003350E"/>
    <w:rsid w:val="00037D0C"/>
    <w:rsid w:val="000416C7"/>
    <w:rsid w:val="00042DED"/>
    <w:rsid w:val="0004364B"/>
    <w:rsid w:val="00043D69"/>
    <w:rsid w:val="0004407D"/>
    <w:rsid w:val="00044660"/>
    <w:rsid w:val="0004509A"/>
    <w:rsid w:val="000459E8"/>
    <w:rsid w:val="00051269"/>
    <w:rsid w:val="00051682"/>
    <w:rsid w:val="00051ADD"/>
    <w:rsid w:val="0005311B"/>
    <w:rsid w:val="00054945"/>
    <w:rsid w:val="000558BB"/>
    <w:rsid w:val="00056C2F"/>
    <w:rsid w:val="0005756E"/>
    <w:rsid w:val="00057BF3"/>
    <w:rsid w:val="00057E81"/>
    <w:rsid w:val="00061423"/>
    <w:rsid w:val="000619E1"/>
    <w:rsid w:val="00061B1F"/>
    <w:rsid w:val="0006296F"/>
    <w:rsid w:val="00063250"/>
    <w:rsid w:val="000643D2"/>
    <w:rsid w:val="000657C0"/>
    <w:rsid w:val="00067827"/>
    <w:rsid w:val="0006798B"/>
    <w:rsid w:val="00067E57"/>
    <w:rsid w:val="000701C2"/>
    <w:rsid w:val="00070FC9"/>
    <w:rsid w:val="00072088"/>
    <w:rsid w:val="00072122"/>
    <w:rsid w:val="00072267"/>
    <w:rsid w:val="00072C34"/>
    <w:rsid w:val="00073168"/>
    <w:rsid w:val="000733C4"/>
    <w:rsid w:val="00074783"/>
    <w:rsid w:val="00074B28"/>
    <w:rsid w:val="00075841"/>
    <w:rsid w:val="0007738A"/>
    <w:rsid w:val="0007782F"/>
    <w:rsid w:val="0008070B"/>
    <w:rsid w:val="000810AC"/>
    <w:rsid w:val="00081892"/>
    <w:rsid w:val="00081A02"/>
    <w:rsid w:val="00082231"/>
    <w:rsid w:val="000832D3"/>
    <w:rsid w:val="00084A01"/>
    <w:rsid w:val="000853E0"/>
    <w:rsid w:val="00086398"/>
    <w:rsid w:val="0008657B"/>
    <w:rsid w:val="00086E7F"/>
    <w:rsid w:val="0009141F"/>
    <w:rsid w:val="00091F75"/>
    <w:rsid w:val="00092D38"/>
    <w:rsid w:val="0009377B"/>
    <w:rsid w:val="000937BA"/>
    <w:rsid w:val="0009499C"/>
    <w:rsid w:val="00095C5D"/>
    <w:rsid w:val="00096581"/>
    <w:rsid w:val="000970F8"/>
    <w:rsid w:val="00097128"/>
    <w:rsid w:val="000A20C9"/>
    <w:rsid w:val="000A27C3"/>
    <w:rsid w:val="000A466A"/>
    <w:rsid w:val="000B058F"/>
    <w:rsid w:val="000B3AAF"/>
    <w:rsid w:val="000B4467"/>
    <w:rsid w:val="000B4DB9"/>
    <w:rsid w:val="000B61BF"/>
    <w:rsid w:val="000B6A94"/>
    <w:rsid w:val="000B7B0A"/>
    <w:rsid w:val="000C02A2"/>
    <w:rsid w:val="000C09AC"/>
    <w:rsid w:val="000C15AC"/>
    <w:rsid w:val="000C160B"/>
    <w:rsid w:val="000C2FF2"/>
    <w:rsid w:val="000C5B66"/>
    <w:rsid w:val="000C6DD4"/>
    <w:rsid w:val="000C767F"/>
    <w:rsid w:val="000C7F41"/>
    <w:rsid w:val="000D002F"/>
    <w:rsid w:val="000D1F58"/>
    <w:rsid w:val="000D33C0"/>
    <w:rsid w:val="000D4FAB"/>
    <w:rsid w:val="000D5A44"/>
    <w:rsid w:val="000D609A"/>
    <w:rsid w:val="000D6486"/>
    <w:rsid w:val="000D6D3C"/>
    <w:rsid w:val="000E0DF0"/>
    <w:rsid w:val="000E1714"/>
    <w:rsid w:val="000E298F"/>
    <w:rsid w:val="000E3ED2"/>
    <w:rsid w:val="000E4116"/>
    <w:rsid w:val="000E4868"/>
    <w:rsid w:val="000E6164"/>
    <w:rsid w:val="000E6C3F"/>
    <w:rsid w:val="000E7EDA"/>
    <w:rsid w:val="000E7FFC"/>
    <w:rsid w:val="000F0DB0"/>
    <w:rsid w:val="000F0E48"/>
    <w:rsid w:val="000F2223"/>
    <w:rsid w:val="000F2ABE"/>
    <w:rsid w:val="000F391E"/>
    <w:rsid w:val="000F685B"/>
    <w:rsid w:val="000F697D"/>
    <w:rsid w:val="00100097"/>
    <w:rsid w:val="001014E6"/>
    <w:rsid w:val="0010164F"/>
    <w:rsid w:val="001016FD"/>
    <w:rsid w:val="00101962"/>
    <w:rsid w:val="00101AF6"/>
    <w:rsid w:val="00103102"/>
    <w:rsid w:val="001045BF"/>
    <w:rsid w:val="00106300"/>
    <w:rsid w:val="001065A5"/>
    <w:rsid w:val="00106746"/>
    <w:rsid w:val="00106A59"/>
    <w:rsid w:val="0010760C"/>
    <w:rsid w:val="00110656"/>
    <w:rsid w:val="00110E67"/>
    <w:rsid w:val="00110EA6"/>
    <w:rsid w:val="00111EC5"/>
    <w:rsid w:val="00112F73"/>
    <w:rsid w:val="0011420B"/>
    <w:rsid w:val="001149EC"/>
    <w:rsid w:val="00115444"/>
    <w:rsid w:val="00116914"/>
    <w:rsid w:val="00117D90"/>
    <w:rsid w:val="001229CD"/>
    <w:rsid w:val="00126456"/>
    <w:rsid w:val="001265A6"/>
    <w:rsid w:val="00131F42"/>
    <w:rsid w:val="001336A5"/>
    <w:rsid w:val="001357F1"/>
    <w:rsid w:val="00137735"/>
    <w:rsid w:val="00137D62"/>
    <w:rsid w:val="00140240"/>
    <w:rsid w:val="00140D3B"/>
    <w:rsid w:val="00140FA8"/>
    <w:rsid w:val="001410C3"/>
    <w:rsid w:val="0014161A"/>
    <w:rsid w:val="00141902"/>
    <w:rsid w:val="00142196"/>
    <w:rsid w:val="00142FEB"/>
    <w:rsid w:val="00143A2D"/>
    <w:rsid w:val="00144938"/>
    <w:rsid w:val="00144D94"/>
    <w:rsid w:val="001459F0"/>
    <w:rsid w:val="00145A41"/>
    <w:rsid w:val="00145EF5"/>
    <w:rsid w:val="00146883"/>
    <w:rsid w:val="00146C5A"/>
    <w:rsid w:val="00151675"/>
    <w:rsid w:val="00151ACA"/>
    <w:rsid w:val="00152055"/>
    <w:rsid w:val="00152C59"/>
    <w:rsid w:val="00152E28"/>
    <w:rsid w:val="0015316E"/>
    <w:rsid w:val="00154132"/>
    <w:rsid w:val="00154F37"/>
    <w:rsid w:val="00156B24"/>
    <w:rsid w:val="00156F3D"/>
    <w:rsid w:val="00157435"/>
    <w:rsid w:val="0015756C"/>
    <w:rsid w:val="00157CCD"/>
    <w:rsid w:val="0016053A"/>
    <w:rsid w:val="0016203F"/>
    <w:rsid w:val="00163C44"/>
    <w:rsid w:val="0016438C"/>
    <w:rsid w:val="001664C5"/>
    <w:rsid w:val="00166F38"/>
    <w:rsid w:val="001670AD"/>
    <w:rsid w:val="00170C62"/>
    <w:rsid w:val="00171EB9"/>
    <w:rsid w:val="00172537"/>
    <w:rsid w:val="0017256A"/>
    <w:rsid w:val="00173408"/>
    <w:rsid w:val="0017504D"/>
    <w:rsid w:val="001758D7"/>
    <w:rsid w:val="001766B1"/>
    <w:rsid w:val="0017671A"/>
    <w:rsid w:val="00177422"/>
    <w:rsid w:val="0018326B"/>
    <w:rsid w:val="00184590"/>
    <w:rsid w:val="001870D1"/>
    <w:rsid w:val="0018781E"/>
    <w:rsid w:val="00190270"/>
    <w:rsid w:val="00191326"/>
    <w:rsid w:val="001916C4"/>
    <w:rsid w:val="0019262D"/>
    <w:rsid w:val="00194453"/>
    <w:rsid w:val="001973CB"/>
    <w:rsid w:val="001A1B35"/>
    <w:rsid w:val="001A1DED"/>
    <w:rsid w:val="001A307F"/>
    <w:rsid w:val="001A30A8"/>
    <w:rsid w:val="001A3244"/>
    <w:rsid w:val="001A4808"/>
    <w:rsid w:val="001A48A2"/>
    <w:rsid w:val="001A60A1"/>
    <w:rsid w:val="001A6C40"/>
    <w:rsid w:val="001A6F61"/>
    <w:rsid w:val="001B0A9B"/>
    <w:rsid w:val="001B2C86"/>
    <w:rsid w:val="001B52BE"/>
    <w:rsid w:val="001B53B8"/>
    <w:rsid w:val="001B611B"/>
    <w:rsid w:val="001B621E"/>
    <w:rsid w:val="001B72B8"/>
    <w:rsid w:val="001C00A6"/>
    <w:rsid w:val="001C068E"/>
    <w:rsid w:val="001C0DFC"/>
    <w:rsid w:val="001C14B2"/>
    <w:rsid w:val="001C1BCC"/>
    <w:rsid w:val="001C2B54"/>
    <w:rsid w:val="001C530E"/>
    <w:rsid w:val="001C5A42"/>
    <w:rsid w:val="001C69B3"/>
    <w:rsid w:val="001C6D99"/>
    <w:rsid w:val="001C6E12"/>
    <w:rsid w:val="001D0059"/>
    <w:rsid w:val="001D048B"/>
    <w:rsid w:val="001D097E"/>
    <w:rsid w:val="001D0E02"/>
    <w:rsid w:val="001D104A"/>
    <w:rsid w:val="001D1BA4"/>
    <w:rsid w:val="001D3E11"/>
    <w:rsid w:val="001D4683"/>
    <w:rsid w:val="001D516A"/>
    <w:rsid w:val="001D5595"/>
    <w:rsid w:val="001D57FA"/>
    <w:rsid w:val="001D5C73"/>
    <w:rsid w:val="001D76F5"/>
    <w:rsid w:val="001D7874"/>
    <w:rsid w:val="001D7F22"/>
    <w:rsid w:val="001E0BA7"/>
    <w:rsid w:val="001E1900"/>
    <w:rsid w:val="001E20AD"/>
    <w:rsid w:val="001E24FF"/>
    <w:rsid w:val="001E52E6"/>
    <w:rsid w:val="001E5E76"/>
    <w:rsid w:val="001E6949"/>
    <w:rsid w:val="001F0F17"/>
    <w:rsid w:val="001F11B5"/>
    <w:rsid w:val="001F1A86"/>
    <w:rsid w:val="001F1A9A"/>
    <w:rsid w:val="001F2885"/>
    <w:rsid w:val="001F3347"/>
    <w:rsid w:val="001F5ACE"/>
    <w:rsid w:val="001F69E4"/>
    <w:rsid w:val="001F72A2"/>
    <w:rsid w:val="001F73DF"/>
    <w:rsid w:val="00200994"/>
    <w:rsid w:val="00200B77"/>
    <w:rsid w:val="00200C06"/>
    <w:rsid w:val="002032B8"/>
    <w:rsid w:val="00203612"/>
    <w:rsid w:val="00203B76"/>
    <w:rsid w:val="00205AFC"/>
    <w:rsid w:val="00206D86"/>
    <w:rsid w:val="00207597"/>
    <w:rsid w:val="00211117"/>
    <w:rsid w:val="002125B4"/>
    <w:rsid w:val="00214B89"/>
    <w:rsid w:val="002155B8"/>
    <w:rsid w:val="00215AAE"/>
    <w:rsid w:val="00215BA5"/>
    <w:rsid w:val="00216F18"/>
    <w:rsid w:val="00216FC5"/>
    <w:rsid w:val="00221823"/>
    <w:rsid w:val="00224839"/>
    <w:rsid w:val="002249B2"/>
    <w:rsid w:val="00224E8A"/>
    <w:rsid w:val="00226526"/>
    <w:rsid w:val="00226574"/>
    <w:rsid w:val="00227397"/>
    <w:rsid w:val="002278EC"/>
    <w:rsid w:val="00227F62"/>
    <w:rsid w:val="00230AF6"/>
    <w:rsid w:val="0023280E"/>
    <w:rsid w:val="00233716"/>
    <w:rsid w:val="00233A0D"/>
    <w:rsid w:val="00233A32"/>
    <w:rsid w:val="00234A63"/>
    <w:rsid w:val="00235FF4"/>
    <w:rsid w:val="002369EA"/>
    <w:rsid w:val="00236D3F"/>
    <w:rsid w:val="002377D1"/>
    <w:rsid w:val="00237F21"/>
    <w:rsid w:val="00240D8C"/>
    <w:rsid w:val="00241667"/>
    <w:rsid w:val="00242D7E"/>
    <w:rsid w:val="00243B42"/>
    <w:rsid w:val="002463D0"/>
    <w:rsid w:val="00246EAC"/>
    <w:rsid w:val="002506BC"/>
    <w:rsid w:val="00252EB2"/>
    <w:rsid w:val="00252F85"/>
    <w:rsid w:val="00253900"/>
    <w:rsid w:val="002539FA"/>
    <w:rsid w:val="00253AFF"/>
    <w:rsid w:val="00254345"/>
    <w:rsid w:val="002551FC"/>
    <w:rsid w:val="002553F8"/>
    <w:rsid w:val="00255F31"/>
    <w:rsid w:val="00256741"/>
    <w:rsid w:val="00256D04"/>
    <w:rsid w:val="002601A9"/>
    <w:rsid w:val="0026067F"/>
    <w:rsid w:val="00264557"/>
    <w:rsid w:val="00266ADC"/>
    <w:rsid w:val="00266F0C"/>
    <w:rsid w:val="00267D44"/>
    <w:rsid w:val="00270A32"/>
    <w:rsid w:val="002721DE"/>
    <w:rsid w:val="002727FE"/>
    <w:rsid w:val="00274DEC"/>
    <w:rsid w:val="00275404"/>
    <w:rsid w:val="002757B0"/>
    <w:rsid w:val="002759B7"/>
    <w:rsid w:val="002768AC"/>
    <w:rsid w:val="00277246"/>
    <w:rsid w:val="00277A84"/>
    <w:rsid w:val="002805AB"/>
    <w:rsid w:val="00280B1D"/>
    <w:rsid w:val="00281DB9"/>
    <w:rsid w:val="00283F44"/>
    <w:rsid w:val="00284001"/>
    <w:rsid w:val="00284204"/>
    <w:rsid w:val="00285910"/>
    <w:rsid w:val="0028774D"/>
    <w:rsid w:val="00287DB0"/>
    <w:rsid w:val="00291773"/>
    <w:rsid w:val="00291D78"/>
    <w:rsid w:val="00292B0E"/>
    <w:rsid w:val="0029333C"/>
    <w:rsid w:val="00294169"/>
    <w:rsid w:val="002943B4"/>
    <w:rsid w:val="00295999"/>
    <w:rsid w:val="00295AE7"/>
    <w:rsid w:val="00296D82"/>
    <w:rsid w:val="002A168C"/>
    <w:rsid w:val="002A23C8"/>
    <w:rsid w:val="002A3175"/>
    <w:rsid w:val="002A3DC7"/>
    <w:rsid w:val="002A4337"/>
    <w:rsid w:val="002A7778"/>
    <w:rsid w:val="002B2C39"/>
    <w:rsid w:val="002B4290"/>
    <w:rsid w:val="002B42B5"/>
    <w:rsid w:val="002B49E2"/>
    <w:rsid w:val="002B4DB1"/>
    <w:rsid w:val="002B6E50"/>
    <w:rsid w:val="002B7B00"/>
    <w:rsid w:val="002B7C44"/>
    <w:rsid w:val="002C0633"/>
    <w:rsid w:val="002C0824"/>
    <w:rsid w:val="002C092E"/>
    <w:rsid w:val="002C2B17"/>
    <w:rsid w:val="002C384B"/>
    <w:rsid w:val="002C39C1"/>
    <w:rsid w:val="002C5CC3"/>
    <w:rsid w:val="002C60F7"/>
    <w:rsid w:val="002C61F7"/>
    <w:rsid w:val="002C73D7"/>
    <w:rsid w:val="002D1342"/>
    <w:rsid w:val="002D1894"/>
    <w:rsid w:val="002D2A59"/>
    <w:rsid w:val="002D3DD0"/>
    <w:rsid w:val="002D59F5"/>
    <w:rsid w:val="002D5FC5"/>
    <w:rsid w:val="002D697F"/>
    <w:rsid w:val="002E1F3A"/>
    <w:rsid w:val="002E21E9"/>
    <w:rsid w:val="002E2714"/>
    <w:rsid w:val="002E298A"/>
    <w:rsid w:val="002E5E95"/>
    <w:rsid w:val="002E6413"/>
    <w:rsid w:val="002E6C4A"/>
    <w:rsid w:val="002E75FB"/>
    <w:rsid w:val="002F12ED"/>
    <w:rsid w:val="002F205A"/>
    <w:rsid w:val="002F27FC"/>
    <w:rsid w:val="002F2AFC"/>
    <w:rsid w:val="002F3A2C"/>
    <w:rsid w:val="002F48C5"/>
    <w:rsid w:val="002F5B62"/>
    <w:rsid w:val="002F6000"/>
    <w:rsid w:val="002F62F6"/>
    <w:rsid w:val="002F6615"/>
    <w:rsid w:val="002F706E"/>
    <w:rsid w:val="002F7FBA"/>
    <w:rsid w:val="00300E69"/>
    <w:rsid w:val="00301004"/>
    <w:rsid w:val="00301978"/>
    <w:rsid w:val="00301CAA"/>
    <w:rsid w:val="00301CB7"/>
    <w:rsid w:val="00302884"/>
    <w:rsid w:val="003028B3"/>
    <w:rsid w:val="0030332C"/>
    <w:rsid w:val="003035AA"/>
    <w:rsid w:val="00303F8A"/>
    <w:rsid w:val="00304A00"/>
    <w:rsid w:val="00304BBE"/>
    <w:rsid w:val="003051C2"/>
    <w:rsid w:val="00305D35"/>
    <w:rsid w:val="0030620F"/>
    <w:rsid w:val="003064C3"/>
    <w:rsid w:val="00306856"/>
    <w:rsid w:val="0030721D"/>
    <w:rsid w:val="00310915"/>
    <w:rsid w:val="00312296"/>
    <w:rsid w:val="0031320F"/>
    <w:rsid w:val="0031380D"/>
    <w:rsid w:val="00314305"/>
    <w:rsid w:val="003149D6"/>
    <w:rsid w:val="00314B8D"/>
    <w:rsid w:val="00314F0E"/>
    <w:rsid w:val="003162AD"/>
    <w:rsid w:val="003166A5"/>
    <w:rsid w:val="00320219"/>
    <w:rsid w:val="00321D8E"/>
    <w:rsid w:val="00322546"/>
    <w:rsid w:val="00322F9A"/>
    <w:rsid w:val="00325928"/>
    <w:rsid w:val="00325C3F"/>
    <w:rsid w:val="00330018"/>
    <w:rsid w:val="00331124"/>
    <w:rsid w:val="003322B6"/>
    <w:rsid w:val="00332326"/>
    <w:rsid w:val="003326EA"/>
    <w:rsid w:val="00332817"/>
    <w:rsid w:val="00332863"/>
    <w:rsid w:val="0033348E"/>
    <w:rsid w:val="00333D64"/>
    <w:rsid w:val="00334FF2"/>
    <w:rsid w:val="00336472"/>
    <w:rsid w:val="003366D5"/>
    <w:rsid w:val="0033684D"/>
    <w:rsid w:val="00337B42"/>
    <w:rsid w:val="00340392"/>
    <w:rsid w:val="003405BF"/>
    <w:rsid w:val="0034067F"/>
    <w:rsid w:val="00340A04"/>
    <w:rsid w:val="00341B42"/>
    <w:rsid w:val="00342130"/>
    <w:rsid w:val="00342AD3"/>
    <w:rsid w:val="0034348F"/>
    <w:rsid w:val="003434F9"/>
    <w:rsid w:val="003446E9"/>
    <w:rsid w:val="003462C0"/>
    <w:rsid w:val="0034774B"/>
    <w:rsid w:val="00350104"/>
    <w:rsid w:val="00351646"/>
    <w:rsid w:val="00353C78"/>
    <w:rsid w:val="003545F4"/>
    <w:rsid w:val="00356653"/>
    <w:rsid w:val="00356D11"/>
    <w:rsid w:val="0035737C"/>
    <w:rsid w:val="0035743F"/>
    <w:rsid w:val="003578A3"/>
    <w:rsid w:val="00357BE2"/>
    <w:rsid w:val="0036170C"/>
    <w:rsid w:val="00363C63"/>
    <w:rsid w:val="00364066"/>
    <w:rsid w:val="00366E0F"/>
    <w:rsid w:val="003675FC"/>
    <w:rsid w:val="003678D7"/>
    <w:rsid w:val="00367972"/>
    <w:rsid w:val="003701E9"/>
    <w:rsid w:val="00370684"/>
    <w:rsid w:val="0037159C"/>
    <w:rsid w:val="00371804"/>
    <w:rsid w:val="003748FB"/>
    <w:rsid w:val="00374E28"/>
    <w:rsid w:val="00375FD7"/>
    <w:rsid w:val="00376FCD"/>
    <w:rsid w:val="00380036"/>
    <w:rsid w:val="00381A72"/>
    <w:rsid w:val="00381BD3"/>
    <w:rsid w:val="003821EC"/>
    <w:rsid w:val="003843B1"/>
    <w:rsid w:val="00384676"/>
    <w:rsid w:val="00386C54"/>
    <w:rsid w:val="0039029A"/>
    <w:rsid w:val="00390857"/>
    <w:rsid w:val="0039146A"/>
    <w:rsid w:val="00392DD0"/>
    <w:rsid w:val="003941D5"/>
    <w:rsid w:val="003946FD"/>
    <w:rsid w:val="00394DAB"/>
    <w:rsid w:val="00395FC6"/>
    <w:rsid w:val="003960C0"/>
    <w:rsid w:val="00396801"/>
    <w:rsid w:val="00396E8E"/>
    <w:rsid w:val="00396EDB"/>
    <w:rsid w:val="003977BD"/>
    <w:rsid w:val="003979D2"/>
    <w:rsid w:val="00397E27"/>
    <w:rsid w:val="003A1125"/>
    <w:rsid w:val="003A173D"/>
    <w:rsid w:val="003A18DB"/>
    <w:rsid w:val="003A2CA6"/>
    <w:rsid w:val="003A4BF3"/>
    <w:rsid w:val="003A6CE2"/>
    <w:rsid w:val="003B02F0"/>
    <w:rsid w:val="003B24B2"/>
    <w:rsid w:val="003B420D"/>
    <w:rsid w:val="003B673D"/>
    <w:rsid w:val="003B7B73"/>
    <w:rsid w:val="003B7BA4"/>
    <w:rsid w:val="003C01EC"/>
    <w:rsid w:val="003C0905"/>
    <w:rsid w:val="003C0E97"/>
    <w:rsid w:val="003C122B"/>
    <w:rsid w:val="003C277E"/>
    <w:rsid w:val="003C6C16"/>
    <w:rsid w:val="003C7207"/>
    <w:rsid w:val="003C7B50"/>
    <w:rsid w:val="003C7E29"/>
    <w:rsid w:val="003D0985"/>
    <w:rsid w:val="003D794D"/>
    <w:rsid w:val="003E0404"/>
    <w:rsid w:val="003E22DE"/>
    <w:rsid w:val="003E2C6C"/>
    <w:rsid w:val="003E3058"/>
    <w:rsid w:val="003E349F"/>
    <w:rsid w:val="003E5129"/>
    <w:rsid w:val="003E57AA"/>
    <w:rsid w:val="003E67E3"/>
    <w:rsid w:val="003E6CB2"/>
    <w:rsid w:val="003E76A9"/>
    <w:rsid w:val="003E7821"/>
    <w:rsid w:val="003E7EF9"/>
    <w:rsid w:val="003F0809"/>
    <w:rsid w:val="003F09CB"/>
    <w:rsid w:val="003F22AC"/>
    <w:rsid w:val="003F2D89"/>
    <w:rsid w:val="003F3598"/>
    <w:rsid w:val="003F38EC"/>
    <w:rsid w:val="003F4236"/>
    <w:rsid w:val="003F4666"/>
    <w:rsid w:val="003F6A8C"/>
    <w:rsid w:val="003F755C"/>
    <w:rsid w:val="003F79D7"/>
    <w:rsid w:val="0040088C"/>
    <w:rsid w:val="00401D97"/>
    <w:rsid w:val="00402992"/>
    <w:rsid w:val="004048BF"/>
    <w:rsid w:val="004058BB"/>
    <w:rsid w:val="00405D4B"/>
    <w:rsid w:val="00406BE1"/>
    <w:rsid w:val="00406F01"/>
    <w:rsid w:val="004074B3"/>
    <w:rsid w:val="004120B1"/>
    <w:rsid w:val="00413187"/>
    <w:rsid w:val="00414E1F"/>
    <w:rsid w:val="00416D50"/>
    <w:rsid w:val="00416DCD"/>
    <w:rsid w:val="00416FD5"/>
    <w:rsid w:val="00417772"/>
    <w:rsid w:val="00420E6A"/>
    <w:rsid w:val="00420EBC"/>
    <w:rsid w:val="00421374"/>
    <w:rsid w:val="004214A9"/>
    <w:rsid w:val="004223CD"/>
    <w:rsid w:val="00425A9E"/>
    <w:rsid w:val="00426D6B"/>
    <w:rsid w:val="004276F7"/>
    <w:rsid w:val="0043015E"/>
    <w:rsid w:val="004307EF"/>
    <w:rsid w:val="004308E9"/>
    <w:rsid w:val="00431E6C"/>
    <w:rsid w:val="0043322F"/>
    <w:rsid w:val="00433CE7"/>
    <w:rsid w:val="004348C6"/>
    <w:rsid w:val="00434BD8"/>
    <w:rsid w:val="00440074"/>
    <w:rsid w:val="004404BC"/>
    <w:rsid w:val="00440CCC"/>
    <w:rsid w:val="00440D12"/>
    <w:rsid w:val="00443CEB"/>
    <w:rsid w:val="00445D13"/>
    <w:rsid w:val="004464CB"/>
    <w:rsid w:val="00447B68"/>
    <w:rsid w:val="00451BA2"/>
    <w:rsid w:val="00451C39"/>
    <w:rsid w:val="00452738"/>
    <w:rsid w:val="00452B15"/>
    <w:rsid w:val="00453755"/>
    <w:rsid w:val="00454946"/>
    <w:rsid w:val="00454E5C"/>
    <w:rsid w:val="00454FAB"/>
    <w:rsid w:val="00455144"/>
    <w:rsid w:val="004556EB"/>
    <w:rsid w:val="00455E07"/>
    <w:rsid w:val="00456091"/>
    <w:rsid w:val="0045763A"/>
    <w:rsid w:val="00461666"/>
    <w:rsid w:val="0046490F"/>
    <w:rsid w:val="0046603D"/>
    <w:rsid w:val="00466321"/>
    <w:rsid w:val="00466B83"/>
    <w:rsid w:val="00470041"/>
    <w:rsid w:val="00471906"/>
    <w:rsid w:val="00471DA0"/>
    <w:rsid w:val="00472567"/>
    <w:rsid w:val="00472833"/>
    <w:rsid w:val="00472E1C"/>
    <w:rsid w:val="00472ED8"/>
    <w:rsid w:val="00473355"/>
    <w:rsid w:val="00477B3D"/>
    <w:rsid w:val="00477E97"/>
    <w:rsid w:val="0048096D"/>
    <w:rsid w:val="004829D5"/>
    <w:rsid w:val="0048330C"/>
    <w:rsid w:val="00483F41"/>
    <w:rsid w:val="00484273"/>
    <w:rsid w:val="00484B9B"/>
    <w:rsid w:val="00484ED0"/>
    <w:rsid w:val="004855F6"/>
    <w:rsid w:val="0048661E"/>
    <w:rsid w:val="00487CBB"/>
    <w:rsid w:val="00490A02"/>
    <w:rsid w:val="00494670"/>
    <w:rsid w:val="004956B8"/>
    <w:rsid w:val="00495E81"/>
    <w:rsid w:val="00496632"/>
    <w:rsid w:val="004A070E"/>
    <w:rsid w:val="004A18B3"/>
    <w:rsid w:val="004A1BF9"/>
    <w:rsid w:val="004A1D77"/>
    <w:rsid w:val="004A2395"/>
    <w:rsid w:val="004A3526"/>
    <w:rsid w:val="004A3823"/>
    <w:rsid w:val="004A3A16"/>
    <w:rsid w:val="004A4B5E"/>
    <w:rsid w:val="004A5318"/>
    <w:rsid w:val="004A5357"/>
    <w:rsid w:val="004A5433"/>
    <w:rsid w:val="004A69D7"/>
    <w:rsid w:val="004A72C0"/>
    <w:rsid w:val="004A7363"/>
    <w:rsid w:val="004B06AC"/>
    <w:rsid w:val="004B108C"/>
    <w:rsid w:val="004B1E8E"/>
    <w:rsid w:val="004B29CE"/>
    <w:rsid w:val="004B430B"/>
    <w:rsid w:val="004B5546"/>
    <w:rsid w:val="004B63E3"/>
    <w:rsid w:val="004B6D35"/>
    <w:rsid w:val="004B7951"/>
    <w:rsid w:val="004C0621"/>
    <w:rsid w:val="004C34D2"/>
    <w:rsid w:val="004C4548"/>
    <w:rsid w:val="004C6692"/>
    <w:rsid w:val="004D034C"/>
    <w:rsid w:val="004D21C1"/>
    <w:rsid w:val="004D419E"/>
    <w:rsid w:val="004D552A"/>
    <w:rsid w:val="004D619A"/>
    <w:rsid w:val="004E098E"/>
    <w:rsid w:val="004E16DD"/>
    <w:rsid w:val="004E237B"/>
    <w:rsid w:val="004E241B"/>
    <w:rsid w:val="004E2970"/>
    <w:rsid w:val="004E2F25"/>
    <w:rsid w:val="004E3D10"/>
    <w:rsid w:val="004E44E5"/>
    <w:rsid w:val="004E47E6"/>
    <w:rsid w:val="004E6946"/>
    <w:rsid w:val="004E768D"/>
    <w:rsid w:val="004F0FFA"/>
    <w:rsid w:val="004F1338"/>
    <w:rsid w:val="004F1AD8"/>
    <w:rsid w:val="004F388E"/>
    <w:rsid w:val="004F5810"/>
    <w:rsid w:val="004F6CBD"/>
    <w:rsid w:val="00500083"/>
    <w:rsid w:val="005004E0"/>
    <w:rsid w:val="00501F15"/>
    <w:rsid w:val="00502F72"/>
    <w:rsid w:val="005039CB"/>
    <w:rsid w:val="00503A2E"/>
    <w:rsid w:val="005041F4"/>
    <w:rsid w:val="00504742"/>
    <w:rsid w:val="0050488A"/>
    <w:rsid w:val="005049E9"/>
    <w:rsid w:val="00504A8B"/>
    <w:rsid w:val="00505421"/>
    <w:rsid w:val="0050558F"/>
    <w:rsid w:val="005058DD"/>
    <w:rsid w:val="00506286"/>
    <w:rsid w:val="0050638A"/>
    <w:rsid w:val="0050690C"/>
    <w:rsid w:val="00506A2F"/>
    <w:rsid w:val="00507573"/>
    <w:rsid w:val="005079D3"/>
    <w:rsid w:val="00507A54"/>
    <w:rsid w:val="00510813"/>
    <w:rsid w:val="00511990"/>
    <w:rsid w:val="00511DE0"/>
    <w:rsid w:val="00513668"/>
    <w:rsid w:val="00514499"/>
    <w:rsid w:val="00514836"/>
    <w:rsid w:val="00514870"/>
    <w:rsid w:val="00514B9B"/>
    <w:rsid w:val="00515A13"/>
    <w:rsid w:val="00517F02"/>
    <w:rsid w:val="0052154C"/>
    <w:rsid w:val="00522FCC"/>
    <w:rsid w:val="00524303"/>
    <w:rsid w:val="005258A2"/>
    <w:rsid w:val="005261B7"/>
    <w:rsid w:val="00526616"/>
    <w:rsid w:val="005301EB"/>
    <w:rsid w:val="00530892"/>
    <w:rsid w:val="005336A3"/>
    <w:rsid w:val="0053473C"/>
    <w:rsid w:val="00535054"/>
    <w:rsid w:val="0053647E"/>
    <w:rsid w:val="00536923"/>
    <w:rsid w:val="005401AE"/>
    <w:rsid w:val="0054230C"/>
    <w:rsid w:val="00542A0A"/>
    <w:rsid w:val="00542E07"/>
    <w:rsid w:val="00543066"/>
    <w:rsid w:val="00543180"/>
    <w:rsid w:val="00545340"/>
    <w:rsid w:val="00545424"/>
    <w:rsid w:val="00545C1D"/>
    <w:rsid w:val="0055041B"/>
    <w:rsid w:val="005509F6"/>
    <w:rsid w:val="00551863"/>
    <w:rsid w:val="00551B19"/>
    <w:rsid w:val="00552C32"/>
    <w:rsid w:val="00554A7B"/>
    <w:rsid w:val="00554AE2"/>
    <w:rsid w:val="0055572C"/>
    <w:rsid w:val="0055574E"/>
    <w:rsid w:val="00560078"/>
    <w:rsid w:val="005600A0"/>
    <w:rsid w:val="00560CD0"/>
    <w:rsid w:val="0056106A"/>
    <w:rsid w:val="005616EA"/>
    <w:rsid w:val="00562475"/>
    <w:rsid w:val="005655AD"/>
    <w:rsid w:val="005660A8"/>
    <w:rsid w:val="005662EC"/>
    <w:rsid w:val="00566CC4"/>
    <w:rsid w:val="00566EB7"/>
    <w:rsid w:val="0057005D"/>
    <w:rsid w:val="00570A93"/>
    <w:rsid w:val="005718BB"/>
    <w:rsid w:val="00571A7D"/>
    <w:rsid w:val="005720AE"/>
    <w:rsid w:val="00574E2D"/>
    <w:rsid w:val="00580BEB"/>
    <w:rsid w:val="00580F44"/>
    <w:rsid w:val="00582810"/>
    <w:rsid w:val="00582DF7"/>
    <w:rsid w:val="00582ED9"/>
    <w:rsid w:val="0058371B"/>
    <w:rsid w:val="005848CE"/>
    <w:rsid w:val="00584A27"/>
    <w:rsid w:val="0058583F"/>
    <w:rsid w:val="005866A0"/>
    <w:rsid w:val="005871FC"/>
    <w:rsid w:val="0058787D"/>
    <w:rsid w:val="00587EC2"/>
    <w:rsid w:val="00587EFC"/>
    <w:rsid w:val="00587FBD"/>
    <w:rsid w:val="00590A28"/>
    <w:rsid w:val="00592912"/>
    <w:rsid w:val="00592FF9"/>
    <w:rsid w:val="005940CB"/>
    <w:rsid w:val="0059421B"/>
    <w:rsid w:val="005949D8"/>
    <w:rsid w:val="00594D77"/>
    <w:rsid w:val="00595509"/>
    <w:rsid w:val="00596466"/>
    <w:rsid w:val="005966C3"/>
    <w:rsid w:val="00596728"/>
    <w:rsid w:val="00596956"/>
    <w:rsid w:val="005969E4"/>
    <w:rsid w:val="00596D09"/>
    <w:rsid w:val="00597841"/>
    <w:rsid w:val="005978DB"/>
    <w:rsid w:val="005A06B7"/>
    <w:rsid w:val="005A0C61"/>
    <w:rsid w:val="005A0DFD"/>
    <w:rsid w:val="005A1759"/>
    <w:rsid w:val="005A68A7"/>
    <w:rsid w:val="005B24EE"/>
    <w:rsid w:val="005B2BF5"/>
    <w:rsid w:val="005B3202"/>
    <w:rsid w:val="005B3E7A"/>
    <w:rsid w:val="005B460F"/>
    <w:rsid w:val="005B4C25"/>
    <w:rsid w:val="005B5BA4"/>
    <w:rsid w:val="005B5BEA"/>
    <w:rsid w:val="005B5EAA"/>
    <w:rsid w:val="005B77D2"/>
    <w:rsid w:val="005C08E1"/>
    <w:rsid w:val="005C0EDD"/>
    <w:rsid w:val="005C2B0F"/>
    <w:rsid w:val="005C2C4F"/>
    <w:rsid w:val="005C4EFA"/>
    <w:rsid w:val="005C5EC3"/>
    <w:rsid w:val="005C6CA1"/>
    <w:rsid w:val="005C6D17"/>
    <w:rsid w:val="005C75AF"/>
    <w:rsid w:val="005D0D55"/>
    <w:rsid w:val="005D2558"/>
    <w:rsid w:val="005D2840"/>
    <w:rsid w:val="005D365C"/>
    <w:rsid w:val="005D36AB"/>
    <w:rsid w:val="005D4079"/>
    <w:rsid w:val="005D57C6"/>
    <w:rsid w:val="005E04DB"/>
    <w:rsid w:val="005E0664"/>
    <w:rsid w:val="005E2E5A"/>
    <w:rsid w:val="005E4023"/>
    <w:rsid w:val="005E443C"/>
    <w:rsid w:val="005E4FDE"/>
    <w:rsid w:val="005E76B8"/>
    <w:rsid w:val="005E792F"/>
    <w:rsid w:val="005F4D5B"/>
    <w:rsid w:val="005F6446"/>
    <w:rsid w:val="005F6DC2"/>
    <w:rsid w:val="005F7651"/>
    <w:rsid w:val="005F78C6"/>
    <w:rsid w:val="00601EB1"/>
    <w:rsid w:val="00603143"/>
    <w:rsid w:val="00603B2C"/>
    <w:rsid w:val="0060546A"/>
    <w:rsid w:val="00606F53"/>
    <w:rsid w:val="00607C7A"/>
    <w:rsid w:val="00612866"/>
    <w:rsid w:val="00612B94"/>
    <w:rsid w:val="00613718"/>
    <w:rsid w:val="00614048"/>
    <w:rsid w:val="0061540C"/>
    <w:rsid w:val="00617CC3"/>
    <w:rsid w:val="00617ED0"/>
    <w:rsid w:val="00622B21"/>
    <w:rsid w:val="00622FD1"/>
    <w:rsid w:val="00624C69"/>
    <w:rsid w:val="00627F22"/>
    <w:rsid w:val="006325EF"/>
    <w:rsid w:val="00632E93"/>
    <w:rsid w:val="00633B86"/>
    <w:rsid w:val="00633C35"/>
    <w:rsid w:val="00634513"/>
    <w:rsid w:val="006345C0"/>
    <w:rsid w:val="0063538A"/>
    <w:rsid w:val="0063572F"/>
    <w:rsid w:val="0063656D"/>
    <w:rsid w:val="00637362"/>
    <w:rsid w:val="006377A6"/>
    <w:rsid w:val="00637A3D"/>
    <w:rsid w:val="00637F7B"/>
    <w:rsid w:val="00640378"/>
    <w:rsid w:val="00640BB8"/>
    <w:rsid w:val="006411EF"/>
    <w:rsid w:val="00642EBE"/>
    <w:rsid w:val="006430DF"/>
    <w:rsid w:val="006455D2"/>
    <w:rsid w:val="006456E6"/>
    <w:rsid w:val="006462A2"/>
    <w:rsid w:val="00646929"/>
    <w:rsid w:val="00647636"/>
    <w:rsid w:val="00651616"/>
    <w:rsid w:val="0065351E"/>
    <w:rsid w:val="006546BC"/>
    <w:rsid w:val="00654ECD"/>
    <w:rsid w:val="00655421"/>
    <w:rsid w:val="00656B65"/>
    <w:rsid w:val="00657A48"/>
    <w:rsid w:val="00660565"/>
    <w:rsid w:val="00660D41"/>
    <w:rsid w:val="00661C06"/>
    <w:rsid w:val="00662933"/>
    <w:rsid w:val="006637FC"/>
    <w:rsid w:val="00663B2A"/>
    <w:rsid w:val="00663DAA"/>
    <w:rsid w:val="00664343"/>
    <w:rsid w:val="00664692"/>
    <w:rsid w:val="00664EC6"/>
    <w:rsid w:val="00665921"/>
    <w:rsid w:val="00665DF8"/>
    <w:rsid w:val="006673A0"/>
    <w:rsid w:val="00667626"/>
    <w:rsid w:val="00667DFD"/>
    <w:rsid w:val="00670299"/>
    <w:rsid w:val="00670C8E"/>
    <w:rsid w:val="006710CD"/>
    <w:rsid w:val="00671C11"/>
    <w:rsid w:val="00671EEE"/>
    <w:rsid w:val="006721C6"/>
    <w:rsid w:val="006725C0"/>
    <w:rsid w:val="00673174"/>
    <w:rsid w:val="00673EC9"/>
    <w:rsid w:val="0067451C"/>
    <w:rsid w:val="006748B8"/>
    <w:rsid w:val="0067533B"/>
    <w:rsid w:val="0067545C"/>
    <w:rsid w:val="00676B19"/>
    <w:rsid w:val="006775C3"/>
    <w:rsid w:val="00677F28"/>
    <w:rsid w:val="006817E9"/>
    <w:rsid w:val="0068448E"/>
    <w:rsid w:val="00684A83"/>
    <w:rsid w:val="00684B9E"/>
    <w:rsid w:val="00684BA8"/>
    <w:rsid w:val="00684D1A"/>
    <w:rsid w:val="00685556"/>
    <w:rsid w:val="00687C54"/>
    <w:rsid w:val="0069015D"/>
    <w:rsid w:val="00690605"/>
    <w:rsid w:val="0069290A"/>
    <w:rsid w:val="00692D20"/>
    <w:rsid w:val="00694181"/>
    <w:rsid w:val="0069432F"/>
    <w:rsid w:val="00694B54"/>
    <w:rsid w:val="00694EE4"/>
    <w:rsid w:val="00696019"/>
    <w:rsid w:val="0069627A"/>
    <w:rsid w:val="006974AA"/>
    <w:rsid w:val="0069775A"/>
    <w:rsid w:val="00697813"/>
    <w:rsid w:val="006A15E0"/>
    <w:rsid w:val="006A16A6"/>
    <w:rsid w:val="006A3EE8"/>
    <w:rsid w:val="006A5C02"/>
    <w:rsid w:val="006A5FCA"/>
    <w:rsid w:val="006A6694"/>
    <w:rsid w:val="006A678E"/>
    <w:rsid w:val="006A6CA5"/>
    <w:rsid w:val="006A6FD3"/>
    <w:rsid w:val="006A72BF"/>
    <w:rsid w:val="006A738E"/>
    <w:rsid w:val="006B03AE"/>
    <w:rsid w:val="006B03F1"/>
    <w:rsid w:val="006B03F2"/>
    <w:rsid w:val="006B16AB"/>
    <w:rsid w:val="006B17BD"/>
    <w:rsid w:val="006B2088"/>
    <w:rsid w:val="006B21B6"/>
    <w:rsid w:val="006B37DC"/>
    <w:rsid w:val="006B4B75"/>
    <w:rsid w:val="006B4F68"/>
    <w:rsid w:val="006B5EAC"/>
    <w:rsid w:val="006C0592"/>
    <w:rsid w:val="006C0DCF"/>
    <w:rsid w:val="006C272E"/>
    <w:rsid w:val="006C2752"/>
    <w:rsid w:val="006C2ED3"/>
    <w:rsid w:val="006C40D2"/>
    <w:rsid w:val="006C48D3"/>
    <w:rsid w:val="006C5462"/>
    <w:rsid w:val="006C5479"/>
    <w:rsid w:val="006C574A"/>
    <w:rsid w:val="006C576A"/>
    <w:rsid w:val="006C5E36"/>
    <w:rsid w:val="006C6992"/>
    <w:rsid w:val="006D13B5"/>
    <w:rsid w:val="006D2237"/>
    <w:rsid w:val="006D3831"/>
    <w:rsid w:val="006D39EF"/>
    <w:rsid w:val="006D4664"/>
    <w:rsid w:val="006D55F9"/>
    <w:rsid w:val="006D5D68"/>
    <w:rsid w:val="006D7495"/>
    <w:rsid w:val="006D779D"/>
    <w:rsid w:val="006E12FF"/>
    <w:rsid w:val="006E1FA4"/>
    <w:rsid w:val="006E2D7C"/>
    <w:rsid w:val="006E5147"/>
    <w:rsid w:val="006E5C42"/>
    <w:rsid w:val="006E607E"/>
    <w:rsid w:val="006E76A8"/>
    <w:rsid w:val="006F123C"/>
    <w:rsid w:val="006F14CA"/>
    <w:rsid w:val="006F162B"/>
    <w:rsid w:val="006F30A4"/>
    <w:rsid w:val="006F324D"/>
    <w:rsid w:val="006F57EA"/>
    <w:rsid w:val="006F6FCC"/>
    <w:rsid w:val="00700B41"/>
    <w:rsid w:val="00703F0E"/>
    <w:rsid w:val="00704A46"/>
    <w:rsid w:val="00706594"/>
    <w:rsid w:val="00706C5D"/>
    <w:rsid w:val="00710B31"/>
    <w:rsid w:val="00711C8C"/>
    <w:rsid w:val="00713F82"/>
    <w:rsid w:val="007153DD"/>
    <w:rsid w:val="0071656D"/>
    <w:rsid w:val="007178BB"/>
    <w:rsid w:val="00717E92"/>
    <w:rsid w:val="00722DEB"/>
    <w:rsid w:val="007238DD"/>
    <w:rsid w:val="00723BFB"/>
    <w:rsid w:val="007249F5"/>
    <w:rsid w:val="00727554"/>
    <w:rsid w:val="007308AD"/>
    <w:rsid w:val="00730D6D"/>
    <w:rsid w:val="00731424"/>
    <w:rsid w:val="00731526"/>
    <w:rsid w:val="00732164"/>
    <w:rsid w:val="00732922"/>
    <w:rsid w:val="00733731"/>
    <w:rsid w:val="00733C40"/>
    <w:rsid w:val="00733CC9"/>
    <w:rsid w:val="00733D62"/>
    <w:rsid w:val="00734634"/>
    <w:rsid w:val="0073523F"/>
    <w:rsid w:val="00735365"/>
    <w:rsid w:val="00736357"/>
    <w:rsid w:val="0073680E"/>
    <w:rsid w:val="00736C1D"/>
    <w:rsid w:val="007370E4"/>
    <w:rsid w:val="0073719A"/>
    <w:rsid w:val="00737329"/>
    <w:rsid w:val="00737BC8"/>
    <w:rsid w:val="00740504"/>
    <w:rsid w:val="00741D4B"/>
    <w:rsid w:val="00742FEF"/>
    <w:rsid w:val="00746920"/>
    <w:rsid w:val="00747ADF"/>
    <w:rsid w:val="00750DFE"/>
    <w:rsid w:val="0075100F"/>
    <w:rsid w:val="0075162E"/>
    <w:rsid w:val="0075264F"/>
    <w:rsid w:val="00753D98"/>
    <w:rsid w:val="00754034"/>
    <w:rsid w:val="007556F2"/>
    <w:rsid w:val="00755724"/>
    <w:rsid w:val="00756556"/>
    <w:rsid w:val="00756979"/>
    <w:rsid w:val="0076182A"/>
    <w:rsid w:val="007618C4"/>
    <w:rsid w:val="00762645"/>
    <w:rsid w:val="00763E26"/>
    <w:rsid w:val="007640F1"/>
    <w:rsid w:val="00764914"/>
    <w:rsid w:val="007656BB"/>
    <w:rsid w:val="00766B38"/>
    <w:rsid w:val="00767980"/>
    <w:rsid w:val="00770B19"/>
    <w:rsid w:val="00771B3C"/>
    <w:rsid w:val="007722E4"/>
    <w:rsid w:val="0077246E"/>
    <w:rsid w:val="0077463F"/>
    <w:rsid w:val="00774F8C"/>
    <w:rsid w:val="007765A8"/>
    <w:rsid w:val="007779FA"/>
    <w:rsid w:val="00777C0F"/>
    <w:rsid w:val="007806EF"/>
    <w:rsid w:val="00781399"/>
    <w:rsid w:val="0078286D"/>
    <w:rsid w:val="007832C4"/>
    <w:rsid w:val="007836EA"/>
    <w:rsid w:val="00784944"/>
    <w:rsid w:val="00784CDA"/>
    <w:rsid w:val="00784FE3"/>
    <w:rsid w:val="00785434"/>
    <w:rsid w:val="0078781B"/>
    <w:rsid w:val="007906C4"/>
    <w:rsid w:val="007940EA"/>
    <w:rsid w:val="00794CF8"/>
    <w:rsid w:val="007967E8"/>
    <w:rsid w:val="007A0B87"/>
    <w:rsid w:val="007A1CAC"/>
    <w:rsid w:val="007A1F1A"/>
    <w:rsid w:val="007A200F"/>
    <w:rsid w:val="007A2170"/>
    <w:rsid w:val="007A22BF"/>
    <w:rsid w:val="007A3028"/>
    <w:rsid w:val="007A3323"/>
    <w:rsid w:val="007A3C33"/>
    <w:rsid w:val="007A63CD"/>
    <w:rsid w:val="007A675D"/>
    <w:rsid w:val="007A7337"/>
    <w:rsid w:val="007A7E80"/>
    <w:rsid w:val="007B010E"/>
    <w:rsid w:val="007B11C0"/>
    <w:rsid w:val="007B260F"/>
    <w:rsid w:val="007B392F"/>
    <w:rsid w:val="007B4258"/>
    <w:rsid w:val="007B5FFF"/>
    <w:rsid w:val="007B72B8"/>
    <w:rsid w:val="007B72E6"/>
    <w:rsid w:val="007B73A4"/>
    <w:rsid w:val="007B7A58"/>
    <w:rsid w:val="007B7DFF"/>
    <w:rsid w:val="007C0898"/>
    <w:rsid w:val="007C21B5"/>
    <w:rsid w:val="007C3095"/>
    <w:rsid w:val="007C382F"/>
    <w:rsid w:val="007C3B21"/>
    <w:rsid w:val="007C42AF"/>
    <w:rsid w:val="007C4F43"/>
    <w:rsid w:val="007C5A52"/>
    <w:rsid w:val="007C61FD"/>
    <w:rsid w:val="007C666F"/>
    <w:rsid w:val="007D022C"/>
    <w:rsid w:val="007D0804"/>
    <w:rsid w:val="007D0C92"/>
    <w:rsid w:val="007D4165"/>
    <w:rsid w:val="007D4AF6"/>
    <w:rsid w:val="007D622A"/>
    <w:rsid w:val="007D630B"/>
    <w:rsid w:val="007D7450"/>
    <w:rsid w:val="007D7987"/>
    <w:rsid w:val="007E38A5"/>
    <w:rsid w:val="007E3B30"/>
    <w:rsid w:val="007E4ADA"/>
    <w:rsid w:val="007E4BD2"/>
    <w:rsid w:val="007E552B"/>
    <w:rsid w:val="007E6FA4"/>
    <w:rsid w:val="007E73DE"/>
    <w:rsid w:val="007E787F"/>
    <w:rsid w:val="007F1260"/>
    <w:rsid w:val="007F1915"/>
    <w:rsid w:val="007F436F"/>
    <w:rsid w:val="007F45FB"/>
    <w:rsid w:val="007F4717"/>
    <w:rsid w:val="007F4AEF"/>
    <w:rsid w:val="007F5334"/>
    <w:rsid w:val="007F594F"/>
    <w:rsid w:val="007F68C8"/>
    <w:rsid w:val="007F7289"/>
    <w:rsid w:val="007F794E"/>
    <w:rsid w:val="00801393"/>
    <w:rsid w:val="008017D1"/>
    <w:rsid w:val="008022A4"/>
    <w:rsid w:val="00802A96"/>
    <w:rsid w:val="00802C05"/>
    <w:rsid w:val="00802E14"/>
    <w:rsid w:val="00802F88"/>
    <w:rsid w:val="00803B66"/>
    <w:rsid w:val="0080568C"/>
    <w:rsid w:val="00805AAC"/>
    <w:rsid w:val="00805CA3"/>
    <w:rsid w:val="0080756B"/>
    <w:rsid w:val="0081094A"/>
    <w:rsid w:val="0081112A"/>
    <w:rsid w:val="00812194"/>
    <w:rsid w:val="00812755"/>
    <w:rsid w:val="0081293E"/>
    <w:rsid w:val="00812B48"/>
    <w:rsid w:val="008130F1"/>
    <w:rsid w:val="0081364F"/>
    <w:rsid w:val="00813941"/>
    <w:rsid w:val="00813B43"/>
    <w:rsid w:val="00813C04"/>
    <w:rsid w:val="00814465"/>
    <w:rsid w:val="0081490B"/>
    <w:rsid w:val="00815465"/>
    <w:rsid w:val="008157E1"/>
    <w:rsid w:val="00817E9A"/>
    <w:rsid w:val="008205DD"/>
    <w:rsid w:val="008240F5"/>
    <w:rsid w:val="00824D80"/>
    <w:rsid w:val="00825537"/>
    <w:rsid w:val="00825DDD"/>
    <w:rsid w:val="0082665E"/>
    <w:rsid w:val="0082698F"/>
    <w:rsid w:val="00830286"/>
    <w:rsid w:val="008306BD"/>
    <w:rsid w:val="00831231"/>
    <w:rsid w:val="00831A71"/>
    <w:rsid w:val="00831A80"/>
    <w:rsid w:val="00832653"/>
    <w:rsid w:val="00833743"/>
    <w:rsid w:val="008340A4"/>
    <w:rsid w:val="008376E6"/>
    <w:rsid w:val="00840510"/>
    <w:rsid w:val="008406A9"/>
    <w:rsid w:val="00841B3F"/>
    <w:rsid w:val="00842714"/>
    <w:rsid w:val="00845299"/>
    <w:rsid w:val="008456B8"/>
    <w:rsid w:val="008467E2"/>
    <w:rsid w:val="00850A62"/>
    <w:rsid w:val="00852EB1"/>
    <w:rsid w:val="00853A29"/>
    <w:rsid w:val="008544D6"/>
    <w:rsid w:val="008547C7"/>
    <w:rsid w:val="00854D7B"/>
    <w:rsid w:val="008559E5"/>
    <w:rsid w:val="00856BE3"/>
    <w:rsid w:val="008609B9"/>
    <w:rsid w:val="00862E56"/>
    <w:rsid w:val="0086311F"/>
    <w:rsid w:val="00863E8E"/>
    <w:rsid w:val="008644D0"/>
    <w:rsid w:val="008652A5"/>
    <w:rsid w:val="0086719D"/>
    <w:rsid w:val="00867330"/>
    <w:rsid w:val="00867EA8"/>
    <w:rsid w:val="0087079D"/>
    <w:rsid w:val="00870A01"/>
    <w:rsid w:val="0087135F"/>
    <w:rsid w:val="00871FE9"/>
    <w:rsid w:val="00872380"/>
    <w:rsid w:val="00872D94"/>
    <w:rsid w:val="00874C20"/>
    <w:rsid w:val="00874F13"/>
    <w:rsid w:val="00875EAD"/>
    <w:rsid w:val="00880364"/>
    <w:rsid w:val="008807E6"/>
    <w:rsid w:val="00880ACF"/>
    <w:rsid w:val="008812EB"/>
    <w:rsid w:val="00881399"/>
    <w:rsid w:val="00881464"/>
    <w:rsid w:val="00884B53"/>
    <w:rsid w:val="008856EF"/>
    <w:rsid w:val="008879B4"/>
    <w:rsid w:val="00887C26"/>
    <w:rsid w:val="00887FEB"/>
    <w:rsid w:val="0089150F"/>
    <w:rsid w:val="00891592"/>
    <w:rsid w:val="00891E9E"/>
    <w:rsid w:val="00892E0D"/>
    <w:rsid w:val="0089300C"/>
    <w:rsid w:val="00893329"/>
    <w:rsid w:val="00893528"/>
    <w:rsid w:val="00895A7E"/>
    <w:rsid w:val="00895CF5"/>
    <w:rsid w:val="00895D81"/>
    <w:rsid w:val="00897F06"/>
    <w:rsid w:val="008A28DC"/>
    <w:rsid w:val="008A2B28"/>
    <w:rsid w:val="008A2F68"/>
    <w:rsid w:val="008A32F3"/>
    <w:rsid w:val="008A3B18"/>
    <w:rsid w:val="008A40A0"/>
    <w:rsid w:val="008A44EE"/>
    <w:rsid w:val="008A498E"/>
    <w:rsid w:val="008A4B24"/>
    <w:rsid w:val="008A4E92"/>
    <w:rsid w:val="008A51C0"/>
    <w:rsid w:val="008A68FE"/>
    <w:rsid w:val="008A7A5A"/>
    <w:rsid w:val="008B1CA8"/>
    <w:rsid w:val="008B297E"/>
    <w:rsid w:val="008B49BD"/>
    <w:rsid w:val="008B4FA6"/>
    <w:rsid w:val="008B5282"/>
    <w:rsid w:val="008B7C17"/>
    <w:rsid w:val="008C0461"/>
    <w:rsid w:val="008C0638"/>
    <w:rsid w:val="008C0CD7"/>
    <w:rsid w:val="008C1237"/>
    <w:rsid w:val="008C19F5"/>
    <w:rsid w:val="008C2389"/>
    <w:rsid w:val="008C2D01"/>
    <w:rsid w:val="008C4019"/>
    <w:rsid w:val="008C40E6"/>
    <w:rsid w:val="008C7558"/>
    <w:rsid w:val="008D0787"/>
    <w:rsid w:val="008D0B08"/>
    <w:rsid w:val="008D0F7A"/>
    <w:rsid w:val="008D1F73"/>
    <w:rsid w:val="008D3B1F"/>
    <w:rsid w:val="008D3E1A"/>
    <w:rsid w:val="008D4363"/>
    <w:rsid w:val="008D470C"/>
    <w:rsid w:val="008D68E4"/>
    <w:rsid w:val="008D70A8"/>
    <w:rsid w:val="008E0506"/>
    <w:rsid w:val="008E0CFF"/>
    <w:rsid w:val="008E3353"/>
    <w:rsid w:val="008E3EF6"/>
    <w:rsid w:val="008E56B2"/>
    <w:rsid w:val="008E5D6B"/>
    <w:rsid w:val="008E7191"/>
    <w:rsid w:val="008E76F0"/>
    <w:rsid w:val="008E7B3A"/>
    <w:rsid w:val="008F08EF"/>
    <w:rsid w:val="008F0A2F"/>
    <w:rsid w:val="008F15FE"/>
    <w:rsid w:val="008F2699"/>
    <w:rsid w:val="008F2D29"/>
    <w:rsid w:val="008F3B15"/>
    <w:rsid w:val="008F4C4F"/>
    <w:rsid w:val="008F5187"/>
    <w:rsid w:val="008F60D8"/>
    <w:rsid w:val="008F7A10"/>
    <w:rsid w:val="008F7FEC"/>
    <w:rsid w:val="00900190"/>
    <w:rsid w:val="009005BF"/>
    <w:rsid w:val="00901458"/>
    <w:rsid w:val="00902727"/>
    <w:rsid w:val="0090312B"/>
    <w:rsid w:val="00903712"/>
    <w:rsid w:val="00903CBA"/>
    <w:rsid w:val="009050C7"/>
    <w:rsid w:val="00905C21"/>
    <w:rsid w:val="00906A14"/>
    <w:rsid w:val="009072C5"/>
    <w:rsid w:val="00907389"/>
    <w:rsid w:val="00911DD7"/>
    <w:rsid w:val="009136E6"/>
    <w:rsid w:val="00913A4C"/>
    <w:rsid w:val="009151A7"/>
    <w:rsid w:val="00915DC9"/>
    <w:rsid w:val="0091736D"/>
    <w:rsid w:val="00917E0E"/>
    <w:rsid w:val="0092160E"/>
    <w:rsid w:val="00921D3E"/>
    <w:rsid w:val="00922997"/>
    <w:rsid w:val="00923688"/>
    <w:rsid w:val="00923B0B"/>
    <w:rsid w:val="009250D2"/>
    <w:rsid w:val="0093037A"/>
    <w:rsid w:val="00930B94"/>
    <w:rsid w:val="00931950"/>
    <w:rsid w:val="009328AB"/>
    <w:rsid w:val="009334AA"/>
    <w:rsid w:val="00933706"/>
    <w:rsid w:val="00933BE1"/>
    <w:rsid w:val="00933CAA"/>
    <w:rsid w:val="009347FD"/>
    <w:rsid w:val="00934DD9"/>
    <w:rsid w:val="00935BDC"/>
    <w:rsid w:val="0094041B"/>
    <w:rsid w:val="0094154D"/>
    <w:rsid w:val="00942427"/>
    <w:rsid w:val="00942960"/>
    <w:rsid w:val="00942C59"/>
    <w:rsid w:val="009440BD"/>
    <w:rsid w:val="0094464E"/>
    <w:rsid w:val="00944FFE"/>
    <w:rsid w:val="009450B1"/>
    <w:rsid w:val="00946DB3"/>
    <w:rsid w:val="00946F16"/>
    <w:rsid w:val="00947971"/>
    <w:rsid w:val="0095155F"/>
    <w:rsid w:val="00951E8A"/>
    <w:rsid w:val="009538CE"/>
    <w:rsid w:val="00953990"/>
    <w:rsid w:val="0095420F"/>
    <w:rsid w:val="00954429"/>
    <w:rsid w:val="009546D7"/>
    <w:rsid w:val="009563CE"/>
    <w:rsid w:val="009565C4"/>
    <w:rsid w:val="00956C3A"/>
    <w:rsid w:val="00961082"/>
    <w:rsid w:val="0096158A"/>
    <w:rsid w:val="009620B5"/>
    <w:rsid w:val="009620B8"/>
    <w:rsid w:val="009634C1"/>
    <w:rsid w:val="00964230"/>
    <w:rsid w:val="009703D8"/>
    <w:rsid w:val="00972713"/>
    <w:rsid w:val="00973761"/>
    <w:rsid w:val="00973F84"/>
    <w:rsid w:val="00976328"/>
    <w:rsid w:val="0097680D"/>
    <w:rsid w:val="00977C5D"/>
    <w:rsid w:val="00981420"/>
    <w:rsid w:val="009815AB"/>
    <w:rsid w:val="009821C8"/>
    <w:rsid w:val="0098226A"/>
    <w:rsid w:val="00982438"/>
    <w:rsid w:val="009825E6"/>
    <w:rsid w:val="00982AF2"/>
    <w:rsid w:val="00983786"/>
    <w:rsid w:val="009838D5"/>
    <w:rsid w:val="00983A4C"/>
    <w:rsid w:val="00983AC9"/>
    <w:rsid w:val="0098404C"/>
    <w:rsid w:val="00984443"/>
    <w:rsid w:val="00985283"/>
    <w:rsid w:val="0098680E"/>
    <w:rsid w:val="009869D8"/>
    <w:rsid w:val="009919BF"/>
    <w:rsid w:val="00991A8C"/>
    <w:rsid w:val="00991D11"/>
    <w:rsid w:val="00992410"/>
    <w:rsid w:val="00992EA2"/>
    <w:rsid w:val="00993F27"/>
    <w:rsid w:val="009942D5"/>
    <w:rsid w:val="00994DD3"/>
    <w:rsid w:val="00995992"/>
    <w:rsid w:val="00995CE7"/>
    <w:rsid w:val="009965AF"/>
    <w:rsid w:val="00997494"/>
    <w:rsid w:val="00997A0C"/>
    <w:rsid w:val="009A03E5"/>
    <w:rsid w:val="009A04E7"/>
    <w:rsid w:val="009A0A64"/>
    <w:rsid w:val="009A0F3B"/>
    <w:rsid w:val="009A19A5"/>
    <w:rsid w:val="009A1BB4"/>
    <w:rsid w:val="009A2628"/>
    <w:rsid w:val="009A2D11"/>
    <w:rsid w:val="009A3200"/>
    <w:rsid w:val="009A3484"/>
    <w:rsid w:val="009A3BDC"/>
    <w:rsid w:val="009A4D96"/>
    <w:rsid w:val="009A59EB"/>
    <w:rsid w:val="009B053B"/>
    <w:rsid w:val="009B0897"/>
    <w:rsid w:val="009B0A9B"/>
    <w:rsid w:val="009B0D81"/>
    <w:rsid w:val="009B167E"/>
    <w:rsid w:val="009B1B2C"/>
    <w:rsid w:val="009B238E"/>
    <w:rsid w:val="009B3FA2"/>
    <w:rsid w:val="009B49A5"/>
    <w:rsid w:val="009B4BC5"/>
    <w:rsid w:val="009B6C9D"/>
    <w:rsid w:val="009B7BA5"/>
    <w:rsid w:val="009B7BD9"/>
    <w:rsid w:val="009C0BB1"/>
    <w:rsid w:val="009C15C7"/>
    <w:rsid w:val="009C2377"/>
    <w:rsid w:val="009C2459"/>
    <w:rsid w:val="009C36F7"/>
    <w:rsid w:val="009C3961"/>
    <w:rsid w:val="009C3B28"/>
    <w:rsid w:val="009C3DC5"/>
    <w:rsid w:val="009C4EC2"/>
    <w:rsid w:val="009C516F"/>
    <w:rsid w:val="009C5989"/>
    <w:rsid w:val="009C7B5B"/>
    <w:rsid w:val="009C7DD5"/>
    <w:rsid w:val="009D0C09"/>
    <w:rsid w:val="009D196A"/>
    <w:rsid w:val="009D2A66"/>
    <w:rsid w:val="009D2B47"/>
    <w:rsid w:val="009D2BD5"/>
    <w:rsid w:val="009D379A"/>
    <w:rsid w:val="009D3A8C"/>
    <w:rsid w:val="009D5AC5"/>
    <w:rsid w:val="009D6FE9"/>
    <w:rsid w:val="009D7030"/>
    <w:rsid w:val="009D771E"/>
    <w:rsid w:val="009D7F5C"/>
    <w:rsid w:val="009E1CDF"/>
    <w:rsid w:val="009E227D"/>
    <w:rsid w:val="009E25C5"/>
    <w:rsid w:val="009E3725"/>
    <w:rsid w:val="009E5019"/>
    <w:rsid w:val="009E5A6C"/>
    <w:rsid w:val="009E5E52"/>
    <w:rsid w:val="009E70C5"/>
    <w:rsid w:val="009E7CCF"/>
    <w:rsid w:val="009F1CBA"/>
    <w:rsid w:val="009F32FD"/>
    <w:rsid w:val="009F3507"/>
    <w:rsid w:val="009F4650"/>
    <w:rsid w:val="009F6BBE"/>
    <w:rsid w:val="009F6FE8"/>
    <w:rsid w:val="009F778F"/>
    <w:rsid w:val="00A03FB6"/>
    <w:rsid w:val="00A04F1B"/>
    <w:rsid w:val="00A0501B"/>
    <w:rsid w:val="00A05501"/>
    <w:rsid w:val="00A06EEF"/>
    <w:rsid w:val="00A07F0D"/>
    <w:rsid w:val="00A105A5"/>
    <w:rsid w:val="00A1168E"/>
    <w:rsid w:val="00A12124"/>
    <w:rsid w:val="00A12139"/>
    <w:rsid w:val="00A12674"/>
    <w:rsid w:val="00A13991"/>
    <w:rsid w:val="00A1465E"/>
    <w:rsid w:val="00A14947"/>
    <w:rsid w:val="00A14FF3"/>
    <w:rsid w:val="00A1529D"/>
    <w:rsid w:val="00A16401"/>
    <w:rsid w:val="00A1758F"/>
    <w:rsid w:val="00A21964"/>
    <w:rsid w:val="00A22845"/>
    <w:rsid w:val="00A22CF7"/>
    <w:rsid w:val="00A22DAB"/>
    <w:rsid w:val="00A230CA"/>
    <w:rsid w:val="00A2446D"/>
    <w:rsid w:val="00A24924"/>
    <w:rsid w:val="00A2558A"/>
    <w:rsid w:val="00A259F2"/>
    <w:rsid w:val="00A26434"/>
    <w:rsid w:val="00A2693E"/>
    <w:rsid w:val="00A322D5"/>
    <w:rsid w:val="00A3289D"/>
    <w:rsid w:val="00A32A83"/>
    <w:rsid w:val="00A32FC3"/>
    <w:rsid w:val="00A346F2"/>
    <w:rsid w:val="00A3650B"/>
    <w:rsid w:val="00A368D5"/>
    <w:rsid w:val="00A368DB"/>
    <w:rsid w:val="00A3722C"/>
    <w:rsid w:val="00A4133E"/>
    <w:rsid w:val="00A41885"/>
    <w:rsid w:val="00A423AA"/>
    <w:rsid w:val="00A432F0"/>
    <w:rsid w:val="00A43D63"/>
    <w:rsid w:val="00A447C9"/>
    <w:rsid w:val="00A5002E"/>
    <w:rsid w:val="00A503B8"/>
    <w:rsid w:val="00A53EC6"/>
    <w:rsid w:val="00A55B90"/>
    <w:rsid w:val="00A55C0F"/>
    <w:rsid w:val="00A56160"/>
    <w:rsid w:val="00A62953"/>
    <w:rsid w:val="00A62DB6"/>
    <w:rsid w:val="00A650D7"/>
    <w:rsid w:val="00A666DA"/>
    <w:rsid w:val="00A6785C"/>
    <w:rsid w:val="00A70290"/>
    <w:rsid w:val="00A7133B"/>
    <w:rsid w:val="00A7231B"/>
    <w:rsid w:val="00A734D2"/>
    <w:rsid w:val="00A746D7"/>
    <w:rsid w:val="00A77A26"/>
    <w:rsid w:val="00A80750"/>
    <w:rsid w:val="00A837EF"/>
    <w:rsid w:val="00A83F0F"/>
    <w:rsid w:val="00A8518E"/>
    <w:rsid w:val="00A8713F"/>
    <w:rsid w:val="00A90BA1"/>
    <w:rsid w:val="00A935E5"/>
    <w:rsid w:val="00A97A9A"/>
    <w:rsid w:val="00AA0671"/>
    <w:rsid w:val="00AA1B07"/>
    <w:rsid w:val="00AA21C3"/>
    <w:rsid w:val="00AA2531"/>
    <w:rsid w:val="00AA39D0"/>
    <w:rsid w:val="00AA4E62"/>
    <w:rsid w:val="00AA5291"/>
    <w:rsid w:val="00AA57A4"/>
    <w:rsid w:val="00AA5A4F"/>
    <w:rsid w:val="00AA79E9"/>
    <w:rsid w:val="00AB01A9"/>
    <w:rsid w:val="00AB0B05"/>
    <w:rsid w:val="00AB10AD"/>
    <w:rsid w:val="00AB1E09"/>
    <w:rsid w:val="00AB3A9E"/>
    <w:rsid w:val="00AB5330"/>
    <w:rsid w:val="00AB5B99"/>
    <w:rsid w:val="00AB6C00"/>
    <w:rsid w:val="00AB7747"/>
    <w:rsid w:val="00AC001E"/>
    <w:rsid w:val="00AC09EA"/>
    <w:rsid w:val="00AC14CE"/>
    <w:rsid w:val="00AC2239"/>
    <w:rsid w:val="00AC2A56"/>
    <w:rsid w:val="00AC538E"/>
    <w:rsid w:val="00AC644C"/>
    <w:rsid w:val="00AC733C"/>
    <w:rsid w:val="00AC743B"/>
    <w:rsid w:val="00AD055E"/>
    <w:rsid w:val="00AD0BC0"/>
    <w:rsid w:val="00AD1A53"/>
    <w:rsid w:val="00AD1C48"/>
    <w:rsid w:val="00AD449B"/>
    <w:rsid w:val="00AD47A7"/>
    <w:rsid w:val="00AD47E1"/>
    <w:rsid w:val="00AD61E0"/>
    <w:rsid w:val="00AD75CF"/>
    <w:rsid w:val="00AE0052"/>
    <w:rsid w:val="00AE05FE"/>
    <w:rsid w:val="00AE0698"/>
    <w:rsid w:val="00AE11BE"/>
    <w:rsid w:val="00AE2448"/>
    <w:rsid w:val="00AE5FC5"/>
    <w:rsid w:val="00AE718F"/>
    <w:rsid w:val="00AE7B53"/>
    <w:rsid w:val="00AE7EDB"/>
    <w:rsid w:val="00AF08A7"/>
    <w:rsid w:val="00AF0ADC"/>
    <w:rsid w:val="00AF0CBF"/>
    <w:rsid w:val="00AF257F"/>
    <w:rsid w:val="00AF2D30"/>
    <w:rsid w:val="00AF32A7"/>
    <w:rsid w:val="00AF33CF"/>
    <w:rsid w:val="00AF4D50"/>
    <w:rsid w:val="00AF6179"/>
    <w:rsid w:val="00AF6EFD"/>
    <w:rsid w:val="00B0042A"/>
    <w:rsid w:val="00B0087B"/>
    <w:rsid w:val="00B017DE"/>
    <w:rsid w:val="00B056EC"/>
    <w:rsid w:val="00B072B4"/>
    <w:rsid w:val="00B072C4"/>
    <w:rsid w:val="00B12077"/>
    <w:rsid w:val="00B1295A"/>
    <w:rsid w:val="00B13967"/>
    <w:rsid w:val="00B13D16"/>
    <w:rsid w:val="00B14023"/>
    <w:rsid w:val="00B14397"/>
    <w:rsid w:val="00B150FD"/>
    <w:rsid w:val="00B167BA"/>
    <w:rsid w:val="00B20205"/>
    <w:rsid w:val="00B20A45"/>
    <w:rsid w:val="00B22C5C"/>
    <w:rsid w:val="00B23AB3"/>
    <w:rsid w:val="00B24F30"/>
    <w:rsid w:val="00B25414"/>
    <w:rsid w:val="00B26259"/>
    <w:rsid w:val="00B262F9"/>
    <w:rsid w:val="00B2797C"/>
    <w:rsid w:val="00B31627"/>
    <w:rsid w:val="00B31ABF"/>
    <w:rsid w:val="00B31D12"/>
    <w:rsid w:val="00B31F12"/>
    <w:rsid w:val="00B32895"/>
    <w:rsid w:val="00B33401"/>
    <w:rsid w:val="00B33BE3"/>
    <w:rsid w:val="00B33DF0"/>
    <w:rsid w:val="00B344F7"/>
    <w:rsid w:val="00B34F34"/>
    <w:rsid w:val="00B35403"/>
    <w:rsid w:val="00B42578"/>
    <w:rsid w:val="00B42DB3"/>
    <w:rsid w:val="00B43286"/>
    <w:rsid w:val="00B452AC"/>
    <w:rsid w:val="00B4729B"/>
    <w:rsid w:val="00B47FAE"/>
    <w:rsid w:val="00B52B02"/>
    <w:rsid w:val="00B533C8"/>
    <w:rsid w:val="00B53A19"/>
    <w:rsid w:val="00B53B5D"/>
    <w:rsid w:val="00B545EA"/>
    <w:rsid w:val="00B55245"/>
    <w:rsid w:val="00B5531E"/>
    <w:rsid w:val="00B5531F"/>
    <w:rsid w:val="00B55EBC"/>
    <w:rsid w:val="00B57E7A"/>
    <w:rsid w:val="00B6055E"/>
    <w:rsid w:val="00B60799"/>
    <w:rsid w:val="00B63163"/>
    <w:rsid w:val="00B6317D"/>
    <w:rsid w:val="00B63864"/>
    <w:rsid w:val="00B67C18"/>
    <w:rsid w:val="00B70A30"/>
    <w:rsid w:val="00B70B49"/>
    <w:rsid w:val="00B710A5"/>
    <w:rsid w:val="00B71F24"/>
    <w:rsid w:val="00B741B4"/>
    <w:rsid w:val="00B7519E"/>
    <w:rsid w:val="00B7654E"/>
    <w:rsid w:val="00B7723F"/>
    <w:rsid w:val="00B80534"/>
    <w:rsid w:val="00B82E8E"/>
    <w:rsid w:val="00B8433C"/>
    <w:rsid w:val="00B84715"/>
    <w:rsid w:val="00B8480B"/>
    <w:rsid w:val="00B84DC5"/>
    <w:rsid w:val="00B85272"/>
    <w:rsid w:val="00B87491"/>
    <w:rsid w:val="00B87A58"/>
    <w:rsid w:val="00B9110D"/>
    <w:rsid w:val="00B94391"/>
    <w:rsid w:val="00B950F6"/>
    <w:rsid w:val="00B962E1"/>
    <w:rsid w:val="00B96402"/>
    <w:rsid w:val="00B971AB"/>
    <w:rsid w:val="00BA0523"/>
    <w:rsid w:val="00BA29E9"/>
    <w:rsid w:val="00BA3ECF"/>
    <w:rsid w:val="00BA435F"/>
    <w:rsid w:val="00BA501B"/>
    <w:rsid w:val="00BA5807"/>
    <w:rsid w:val="00BA654C"/>
    <w:rsid w:val="00BA6793"/>
    <w:rsid w:val="00BA6815"/>
    <w:rsid w:val="00BA7142"/>
    <w:rsid w:val="00BA767B"/>
    <w:rsid w:val="00BA7CDF"/>
    <w:rsid w:val="00BB0385"/>
    <w:rsid w:val="00BB0A95"/>
    <w:rsid w:val="00BB10A6"/>
    <w:rsid w:val="00BB1464"/>
    <w:rsid w:val="00BB237C"/>
    <w:rsid w:val="00BB3A75"/>
    <w:rsid w:val="00BB41A3"/>
    <w:rsid w:val="00BB4B1E"/>
    <w:rsid w:val="00BB5053"/>
    <w:rsid w:val="00BC02E3"/>
    <w:rsid w:val="00BC32DC"/>
    <w:rsid w:val="00BC35B6"/>
    <w:rsid w:val="00BC368F"/>
    <w:rsid w:val="00BC72D8"/>
    <w:rsid w:val="00BC7BC9"/>
    <w:rsid w:val="00BD003B"/>
    <w:rsid w:val="00BD046F"/>
    <w:rsid w:val="00BD115E"/>
    <w:rsid w:val="00BD1B51"/>
    <w:rsid w:val="00BD2C44"/>
    <w:rsid w:val="00BD2F20"/>
    <w:rsid w:val="00BD3FC9"/>
    <w:rsid w:val="00BD4449"/>
    <w:rsid w:val="00BD4596"/>
    <w:rsid w:val="00BD678D"/>
    <w:rsid w:val="00BD7902"/>
    <w:rsid w:val="00BD7930"/>
    <w:rsid w:val="00BE0895"/>
    <w:rsid w:val="00BE1292"/>
    <w:rsid w:val="00BE1405"/>
    <w:rsid w:val="00BE1B3B"/>
    <w:rsid w:val="00BE312D"/>
    <w:rsid w:val="00BE3343"/>
    <w:rsid w:val="00BE388F"/>
    <w:rsid w:val="00BE3DC7"/>
    <w:rsid w:val="00BE5617"/>
    <w:rsid w:val="00BF1C20"/>
    <w:rsid w:val="00BF24C3"/>
    <w:rsid w:val="00BF2EED"/>
    <w:rsid w:val="00BF2F61"/>
    <w:rsid w:val="00BF4D5E"/>
    <w:rsid w:val="00BF5824"/>
    <w:rsid w:val="00BF771B"/>
    <w:rsid w:val="00BF7E4E"/>
    <w:rsid w:val="00C00323"/>
    <w:rsid w:val="00C00C64"/>
    <w:rsid w:val="00C00CC4"/>
    <w:rsid w:val="00C03BBD"/>
    <w:rsid w:val="00C041FD"/>
    <w:rsid w:val="00C04F57"/>
    <w:rsid w:val="00C10578"/>
    <w:rsid w:val="00C120DE"/>
    <w:rsid w:val="00C12A00"/>
    <w:rsid w:val="00C1345C"/>
    <w:rsid w:val="00C135BC"/>
    <w:rsid w:val="00C13616"/>
    <w:rsid w:val="00C143E9"/>
    <w:rsid w:val="00C143F5"/>
    <w:rsid w:val="00C158AA"/>
    <w:rsid w:val="00C15C95"/>
    <w:rsid w:val="00C167D4"/>
    <w:rsid w:val="00C176CF"/>
    <w:rsid w:val="00C206B2"/>
    <w:rsid w:val="00C2247B"/>
    <w:rsid w:val="00C22686"/>
    <w:rsid w:val="00C2596A"/>
    <w:rsid w:val="00C26099"/>
    <w:rsid w:val="00C265F4"/>
    <w:rsid w:val="00C269E6"/>
    <w:rsid w:val="00C26EFF"/>
    <w:rsid w:val="00C27466"/>
    <w:rsid w:val="00C27537"/>
    <w:rsid w:val="00C3007F"/>
    <w:rsid w:val="00C31C30"/>
    <w:rsid w:val="00C328FE"/>
    <w:rsid w:val="00C33507"/>
    <w:rsid w:val="00C33F74"/>
    <w:rsid w:val="00C3464E"/>
    <w:rsid w:val="00C3573F"/>
    <w:rsid w:val="00C35AFC"/>
    <w:rsid w:val="00C3611E"/>
    <w:rsid w:val="00C406DB"/>
    <w:rsid w:val="00C414D5"/>
    <w:rsid w:val="00C44091"/>
    <w:rsid w:val="00C4409D"/>
    <w:rsid w:val="00C44211"/>
    <w:rsid w:val="00C44D2C"/>
    <w:rsid w:val="00C44E72"/>
    <w:rsid w:val="00C45A06"/>
    <w:rsid w:val="00C46FE5"/>
    <w:rsid w:val="00C473AC"/>
    <w:rsid w:val="00C47E23"/>
    <w:rsid w:val="00C47E5B"/>
    <w:rsid w:val="00C50157"/>
    <w:rsid w:val="00C50F01"/>
    <w:rsid w:val="00C52332"/>
    <w:rsid w:val="00C52D6E"/>
    <w:rsid w:val="00C545E2"/>
    <w:rsid w:val="00C54CF0"/>
    <w:rsid w:val="00C56830"/>
    <w:rsid w:val="00C57874"/>
    <w:rsid w:val="00C57E5F"/>
    <w:rsid w:val="00C610B6"/>
    <w:rsid w:val="00C61619"/>
    <w:rsid w:val="00C61815"/>
    <w:rsid w:val="00C61E4B"/>
    <w:rsid w:val="00C6227B"/>
    <w:rsid w:val="00C63955"/>
    <w:rsid w:val="00C64BFF"/>
    <w:rsid w:val="00C64FEE"/>
    <w:rsid w:val="00C67C08"/>
    <w:rsid w:val="00C704E9"/>
    <w:rsid w:val="00C71596"/>
    <w:rsid w:val="00C71E0E"/>
    <w:rsid w:val="00C722F3"/>
    <w:rsid w:val="00C73E29"/>
    <w:rsid w:val="00C7436F"/>
    <w:rsid w:val="00C7537F"/>
    <w:rsid w:val="00C763C9"/>
    <w:rsid w:val="00C80057"/>
    <w:rsid w:val="00C80453"/>
    <w:rsid w:val="00C82232"/>
    <w:rsid w:val="00C82735"/>
    <w:rsid w:val="00C82913"/>
    <w:rsid w:val="00C834A5"/>
    <w:rsid w:val="00C85655"/>
    <w:rsid w:val="00C8570C"/>
    <w:rsid w:val="00C91877"/>
    <w:rsid w:val="00C925DC"/>
    <w:rsid w:val="00C927CF"/>
    <w:rsid w:val="00C94B06"/>
    <w:rsid w:val="00C95829"/>
    <w:rsid w:val="00C95DAE"/>
    <w:rsid w:val="00C972B1"/>
    <w:rsid w:val="00CA0554"/>
    <w:rsid w:val="00CA06F7"/>
    <w:rsid w:val="00CA11E7"/>
    <w:rsid w:val="00CA2CCE"/>
    <w:rsid w:val="00CA3DC0"/>
    <w:rsid w:val="00CA43FD"/>
    <w:rsid w:val="00CA4421"/>
    <w:rsid w:val="00CA5B30"/>
    <w:rsid w:val="00CA5BF0"/>
    <w:rsid w:val="00CA7EF8"/>
    <w:rsid w:val="00CB1452"/>
    <w:rsid w:val="00CB29C4"/>
    <w:rsid w:val="00CB3EF7"/>
    <w:rsid w:val="00CB417B"/>
    <w:rsid w:val="00CB5590"/>
    <w:rsid w:val="00CB56EB"/>
    <w:rsid w:val="00CB5A70"/>
    <w:rsid w:val="00CB5EF9"/>
    <w:rsid w:val="00CB6321"/>
    <w:rsid w:val="00CB71DC"/>
    <w:rsid w:val="00CB72D6"/>
    <w:rsid w:val="00CC2FE0"/>
    <w:rsid w:val="00CC384B"/>
    <w:rsid w:val="00CC3D9E"/>
    <w:rsid w:val="00CC3FB8"/>
    <w:rsid w:val="00CC489B"/>
    <w:rsid w:val="00CC5635"/>
    <w:rsid w:val="00CC6BDD"/>
    <w:rsid w:val="00CC7029"/>
    <w:rsid w:val="00CC7104"/>
    <w:rsid w:val="00CC7578"/>
    <w:rsid w:val="00CD02C0"/>
    <w:rsid w:val="00CD03D1"/>
    <w:rsid w:val="00CD1618"/>
    <w:rsid w:val="00CD1628"/>
    <w:rsid w:val="00CD1EE0"/>
    <w:rsid w:val="00CD2BCD"/>
    <w:rsid w:val="00CD3A4C"/>
    <w:rsid w:val="00CD4D66"/>
    <w:rsid w:val="00CD61E7"/>
    <w:rsid w:val="00CD771E"/>
    <w:rsid w:val="00CE0AD5"/>
    <w:rsid w:val="00CE10E9"/>
    <w:rsid w:val="00CE2910"/>
    <w:rsid w:val="00CE46B5"/>
    <w:rsid w:val="00CE5033"/>
    <w:rsid w:val="00CE5393"/>
    <w:rsid w:val="00CE597D"/>
    <w:rsid w:val="00CE5E54"/>
    <w:rsid w:val="00CE633A"/>
    <w:rsid w:val="00CE69F3"/>
    <w:rsid w:val="00CF0C7A"/>
    <w:rsid w:val="00CF22DB"/>
    <w:rsid w:val="00CF246A"/>
    <w:rsid w:val="00CF2E71"/>
    <w:rsid w:val="00CF3651"/>
    <w:rsid w:val="00CF36BE"/>
    <w:rsid w:val="00CF375D"/>
    <w:rsid w:val="00CF3C0C"/>
    <w:rsid w:val="00CF40CF"/>
    <w:rsid w:val="00CF6000"/>
    <w:rsid w:val="00CF6414"/>
    <w:rsid w:val="00D003F3"/>
    <w:rsid w:val="00D021BF"/>
    <w:rsid w:val="00D027B9"/>
    <w:rsid w:val="00D0364F"/>
    <w:rsid w:val="00D03B09"/>
    <w:rsid w:val="00D04353"/>
    <w:rsid w:val="00D05E79"/>
    <w:rsid w:val="00D062BE"/>
    <w:rsid w:val="00D06834"/>
    <w:rsid w:val="00D06C24"/>
    <w:rsid w:val="00D0760F"/>
    <w:rsid w:val="00D12168"/>
    <w:rsid w:val="00D127B7"/>
    <w:rsid w:val="00D12A64"/>
    <w:rsid w:val="00D13796"/>
    <w:rsid w:val="00D14081"/>
    <w:rsid w:val="00D144B4"/>
    <w:rsid w:val="00D15230"/>
    <w:rsid w:val="00D1698B"/>
    <w:rsid w:val="00D2090B"/>
    <w:rsid w:val="00D20C2D"/>
    <w:rsid w:val="00D21A70"/>
    <w:rsid w:val="00D2277C"/>
    <w:rsid w:val="00D2350A"/>
    <w:rsid w:val="00D2449F"/>
    <w:rsid w:val="00D256B7"/>
    <w:rsid w:val="00D25A36"/>
    <w:rsid w:val="00D26740"/>
    <w:rsid w:val="00D308ED"/>
    <w:rsid w:val="00D30FBB"/>
    <w:rsid w:val="00D311BD"/>
    <w:rsid w:val="00D325FB"/>
    <w:rsid w:val="00D33712"/>
    <w:rsid w:val="00D36D86"/>
    <w:rsid w:val="00D40A17"/>
    <w:rsid w:val="00D4181D"/>
    <w:rsid w:val="00D41AF1"/>
    <w:rsid w:val="00D4243F"/>
    <w:rsid w:val="00D428AA"/>
    <w:rsid w:val="00D45E9B"/>
    <w:rsid w:val="00D46234"/>
    <w:rsid w:val="00D47E31"/>
    <w:rsid w:val="00D50A34"/>
    <w:rsid w:val="00D50DC6"/>
    <w:rsid w:val="00D51E42"/>
    <w:rsid w:val="00D52764"/>
    <w:rsid w:val="00D534A7"/>
    <w:rsid w:val="00D53EFA"/>
    <w:rsid w:val="00D53F56"/>
    <w:rsid w:val="00D55ABC"/>
    <w:rsid w:val="00D55E18"/>
    <w:rsid w:val="00D576FD"/>
    <w:rsid w:val="00D607C0"/>
    <w:rsid w:val="00D63840"/>
    <w:rsid w:val="00D63905"/>
    <w:rsid w:val="00D63D0E"/>
    <w:rsid w:val="00D642F2"/>
    <w:rsid w:val="00D64B90"/>
    <w:rsid w:val="00D65217"/>
    <w:rsid w:val="00D676CE"/>
    <w:rsid w:val="00D67C20"/>
    <w:rsid w:val="00D70FF1"/>
    <w:rsid w:val="00D71D1C"/>
    <w:rsid w:val="00D777E8"/>
    <w:rsid w:val="00D81036"/>
    <w:rsid w:val="00D819AB"/>
    <w:rsid w:val="00D81B86"/>
    <w:rsid w:val="00D81FDC"/>
    <w:rsid w:val="00D8328C"/>
    <w:rsid w:val="00D83321"/>
    <w:rsid w:val="00D837A3"/>
    <w:rsid w:val="00D8549D"/>
    <w:rsid w:val="00D869C8"/>
    <w:rsid w:val="00D91357"/>
    <w:rsid w:val="00D91760"/>
    <w:rsid w:val="00D92DAB"/>
    <w:rsid w:val="00D94A7C"/>
    <w:rsid w:val="00D94D8C"/>
    <w:rsid w:val="00D95896"/>
    <w:rsid w:val="00D962E5"/>
    <w:rsid w:val="00DA0327"/>
    <w:rsid w:val="00DA05E2"/>
    <w:rsid w:val="00DA232E"/>
    <w:rsid w:val="00DA49C6"/>
    <w:rsid w:val="00DA4A89"/>
    <w:rsid w:val="00DA5DA3"/>
    <w:rsid w:val="00DB1470"/>
    <w:rsid w:val="00DB27DE"/>
    <w:rsid w:val="00DB2983"/>
    <w:rsid w:val="00DB2FF0"/>
    <w:rsid w:val="00DB3D2E"/>
    <w:rsid w:val="00DB40A2"/>
    <w:rsid w:val="00DB5C10"/>
    <w:rsid w:val="00DB6196"/>
    <w:rsid w:val="00DB61A7"/>
    <w:rsid w:val="00DB69B8"/>
    <w:rsid w:val="00DB7AED"/>
    <w:rsid w:val="00DB7E20"/>
    <w:rsid w:val="00DC0A61"/>
    <w:rsid w:val="00DC0C48"/>
    <w:rsid w:val="00DC1257"/>
    <w:rsid w:val="00DC23C5"/>
    <w:rsid w:val="00DC3DC0"/>
    <w:rsid w:val="00DC51E2"/>
    <w:rsid w:val="00DC5806"/>
    <w:rsid w:val="00DC5B2B"/>
    <w:rsid w:val="00DC6233"/>
    <w:rsid w:val="00DC66FE"/>
    <w:rsid w:val="00DC6CD5"/>
    <w:rsid w:val="00DD06FE"/>
    <w:rsid w:val="00DD090B"/>
    <w:rsid w:val="00DD0918"/>
    <w:rsid w:val="00DD098C"/>
    <w:rsid w:val="00DD1DA4"/>
    <w:rsid w:val="00DD318D"/>
    <w:rsid w:val="00DD3DBA"/>
    <w:rsid w:val="00DD4EF6"/>
    <w:rsid w:val="00DD512F"/>
    <w:rsid w:val="00DD69D6"/>
    <w:rsid w:val="00DD702F"/>
    <w:rsid w:val="00DD779D"/>
    <w:rsid w:val="00DE03A2"/>
    <w:rsid w:val="00DE24E5"/>
    <w:rsid w:val="00DE3C68"/>
    <w:rsid w:val="00DE4AE1"/>
    <w:rsid w:val="00DE4CBE"/>
    <w:rsid w:val="00DE4D41"/>
    <w:rsid w:val="00DE5000"/>
    <w:rsid w:val="00DE5A47"/>
    <w:rsid w:val="00DE5BBC"/>
    <w:rsid w:val="00DE669A"/>
    <w:rsid w:val="00DE6F33"/>
    <w:rsid w:val="00DE7642"/>
    <w:rsid w:val="00DF2E12"/>
    <w:rsid w:val="00DF42D4"/>
    <w:rsid w:val="00DF514A"/>
    <w:rsid w:val="00DF6690"/>
    <w:rsid w:val="00DF6804"/>
    <w:rsid w:val="00DF6845"/>
    <w:rsid w:val="00DF7F5B"/>
    <w:rsid w:val="00DF7FA3"/>
    <w:rsid w:val="00E0057B"/>
    <w:rsid w:val="00E00B03"/>
    <w:rsid w:val="00E015D1"/>
    <w:rsid w:val="00E01AF3"/>
    <w:rsid w:val="00E024BD"/>
    <w:rsid w:val="00E028C3"/>
    <w:rsid w:val="00E0358D"/>
    <w:rsid w:val="00E04323"/>
    <w:rsid w:val="00E0450A"/>
    <w:rsid w:val="00E046C9"/>
    <w:rsid w:val="00E04C9C"/>
    <w:rsid w:val="00E0647A"/>
    <w:rsid w:val="00E070A2"/>
    <w:rsid w:val="00E07E85"/>
    <w:rsid w:val="00E107ED"/>
    <w:rsid w:val="00E11D51"/>
    <w:rsid w:val="00E11DAD"/>
    <w:rsid w:val="00E11E8E"/>
    <w:rsid w:val="00E130B7"/>
    <w:rsid w:val="00E13E47"/>
    <w:rsid w:val="00E14103"/>
    <w:rsid w:val="00E14295"/>
    <w:rsid w:val="00E15F34"/>
    <w:rsid w:val="00E170D0"/>
    <w:rsid w:val="00E174BC"/>
    <w:rsid w:val="00E20CC4"/>
    <w:rsid w:val="00E20F52"/>
    <w:rsid w:val="00E216CA"/>
    <w:rsid w:val="00E23C09"/>
    <w:rsid w:val="00E23F84"/>
    <w:rsid w:val="00E24149"/>
    <w:rsid w:val="00E247AA"/>
    <w:rsid w:val="00E261A3"/>
    <w:rsid w:val="00E26499"/>
    <w:rsid w:val="00E2656A"/>
    <w:rsid w:val="00E27D6D"/>
    <w:rsid w:val="00E31FBA"/>
    <w:rsid w:val="00E32764"/>
    <w:rsid w:val="00E32BAA"/>
    <w:rsid w:val="00E32F9D"/>
    <w:rsid w:val="00E33211"/>
    <w:rsid w:val="00E33D0C"/>
    <w:rsid w:val="00E33E97"/>
    <w:rsid w:val="00E36D08"/>
    <w:rsid w:val="00E36D25"/>
    <w:rsid w:val="00E36F8D"/>
    <w:rsid w:val="00E374C7"/>
    <w:rsid w:val="00E37545"/>
    <w:rsid w:val="00E37D45"/>
    <w:rsid w:val="00E40858"/>
    <w:rsid w:val="00E40B92"/>
    <w:rsid w:val="00E412D0"/>
    <w:rsid w:val="00E414CA"/>
    <w:rsid w:val="00E416EF"/>
    <w:rsid w:val="00E42E68"/>
    <w:rsid w:val="00E42F4B"/>
    <w:rsid w:val="00E443A1"/>
    <w:rsid w:val="00E46606"/>
    <w:rsid w:val="00E46D32"/>
    <w:rsid w:val="00E46E1D"/>
    <w:rsid w:val="00E5114D"/>
    <w:rsid w:val="00E51691"/>
    <w:rsid w:val="00E51B86"/>
    <w:rsid w:val="00E5321F"/>
    <w:rsid w:val="00E559E6"/>
    <w:rsid w:val="00E56322"/>
    <w:rsid w:val="00E56CB8"/>
    <w:rsid w:val="00E60334"/>
    <w:rsid w:val="00E60982"/>
    <w:rsid w:val="00E62C62"/>
    <w:rsid w:val="00E63F20"/>
    <w:rsid w:val="00E654C1"/>
    <w:rsid w:val="00E65D97"/>
    <w:rsid w:val="00E661D2"/>
    <w:rsid w:val="00E669BB"/>
    <w:rsid w:val="00E710E4"/>
    <w:rsid w:val="00E72A5A"/>
    <w:rsid w:val="00E72BB3"/>
    <w:rsid w:val="00E72F44"/>
    <w:rsid w:val="00E73354"/>
    <w:rsid w:val="00E751F5"/>
    <w:rsid w:val="00E75CF4"/>
    <w:rsid w:val="00E768BC"/>
    <w:rsid w:val="00E76B0A"/>
    <w:rsid w:val="00E7790A"/>
    <w:rsid w:val="00E77E1C"/>
    <w:rsid w:val="00E82C32"/>
    <w:rsid w:val="00E82D75"/>
    <w:rsid w:val="00E90D07"/>
    <w:rsid w:val="00E91A89"/>
    <w:rsid w:val="00E9242D"/>
    <w:rsid w:val="00E942F9"/>
    <w:rsid w:val="00E95093"/>
    <w:rsid w:val="00E96B73"/>
    <w:rsid w:val="00E97DA3"/>
    <w:rsid w:val="00EA0646"/>
    <w:rsid w:val="00EA0662"/>
    <w:rsid w:val="00EA4A5B"/>
    <w:rsid w:val="00EA4AA2"/>
    <w:rsid w:val="00EB1242"/>
    <w:rsid w:val="00EB366A"/>
    <w:rsid w:val="00EB382C"/>
    <w:rsid w:val="00EB496C"/>
    <w:rsid w:val="00EB5255"/>
    <w:rsid w:val="00EB5C47"/>
    <w:rsid w:val="00EB5E9C"/>
    <w:rsid w:val="00EB5F1B"/>
    <w:rsid w:val="00EB61C2"/>
    <w:rsid w:val="00EB74D3"/>
    <w:rsid w:val="00EC0170"/>
    <w:rsid w:val="00EC0A3D"/>
    <w:rsid w:val="00EC172D"/>
    <w:rsid w:val="00EC22E4"/>
    <w:rsid w:val="00EC2570"/>
    <w:rsid w:val="00EC2963"/>
    <w:rsid w:val="00EC2DBD"/>
    <w:rsid w:val="00EC3599"/>
    <w:rsid w:val="00EC3DB6"/>
    <w:rsid w:val="00EC57BA"/>
    <w:rsid w:val="00EC6739"/>
    <w:rsid w:val="00EC71E3"/>
    <w:rsid w:val="00ED00BD"/>
    <w:rsid w:val="00ED0639"/>
    <w:rsid w:val="00ED130A"/>
    <w:rsid w:val="00ED1B85"/>
    <w:rsid w:val="00ED419B"/>
    <w:rsid w:val="00ED4619"/>
    <w:rsid w:val="00ED5F17"/>
    <w:rsid w:val="00ED67C4"/>
    <w:rsid w:val="00ED7192"/>
    <w:rsid w:val="00ED748D"/>
    <w:rsid w:val="00ED77A1"/>
    <w:rsid w:val="00EE1467"/>
    <w:rsid w:val="00EE194E"/>
    <w:rsid w:val="00EE3B27"/>
    <w:rsid w:val="00EE4837"/>
    <w:rsid w:val="00EE7609"/>
    <w:rsid w:val="00EF071C"/>
    <w:rsid w:val="00EF0AED"/>
    <w:rsid w:val="00EF0D65"/>
    <w:rsid w:val="00EF11C2"/>
    <w:rsid w:val="00EF243F"/>
    <w:rsid w:val="00EF25E6"/>
    <w:rsid w:val="00EF4755"/>
    <w:rsid w:val="00EF552E"/>
    <w:rsid w:val="00EF7135"/>
    <w:rsid w:val="00F013D7"/>
    <w:rsid w:val="00F0188A"/>
    <w:rsid w:val="00F0204D"/>
    <w:rsid w:val="00F02307"/>
    <w:rsid w:val="00F027BB"/>
    <w:rsid w:val="00F027DB"/>
    <w:rsid w:val="00F072C0"/>
    <w:rsid w:val="00F07498"/>
    <w:rsid w:val="00F12454"/>
    <w:rsid w:val="00F12CA6"/>
    <w:rsid w:val="00F13CFC"/>
    <w:rsid w:val="00F14A7A"/>
    <w:rsid w:val="00F16330"/>
    <w:rsid w:val="00F169E9"/>
    <w:rsid w:val="00F17B36"/>
    <w:rsid w:val="00F17FC3"/>
    <w:rsid w:val="00F22590"/>
    <w:rsid w:val="00F22985"/>
    <w:rsid w:val="00F22D5B"/>
    <w:rsid w:val="00F24649"/>
    <w:rsid w:val="00F24D1D"/>
    <w:rsid w:val="00F2539D"/>
    <w:rsid w:val="00F261AD"/>
    <w:rsid w:val="00F32FA6"/>
    <w:rsid w:val="00F3383E"/>
    <w:rsid w:val="00F33F04"/>
    <w:rsid w:val="00F356E0"/>
    <w:rsid w:val="00F35D99"/>
    <w:rsid w:val="00F36576"/>
    <w:rsid w:val="00F40246"/>
    <w:rsid w:val="00F403CA"/>
    <w:rsid w:val="00F40822"/>
    <w:rsid w:val="00F4256E"/>
    <w:rsid w:val="00F43CF2"/>
    <w:rsid w:val="00F44E5A"/>
    <w:rsid w:val="00F45428"/>
    <w:rsid w:val="00F465A7"/>
    <w:rsid w:val="00F47EEE"/>
    <w:rsid w:val="00F50B7C"/>
    <w:rsid w:val="00F515C6"/>
    <w:rsid w:val="00F5219F"/>
    <w:rsid w:val="00F5247E"/>
    <w:rsid w:val="00F550E6"/>
    <w:rsid w:val="00F55AEE"/>
    <w:rsid w:val="00F57C0E"/>
    <w:rsid w:val="00F602EC"/>
    <w:rsid w:val="00F620D0"/>
    <w:rsid w:val="00F62E12"/>
    <w:rsid w:val="00F653F4"/>
    <w:rsid w:val="00F6564D"/>
    <w:rsid w:val="00F65BDF"/>
    <w:rsid w:val="00F65FB3"/>
    <w:rsid w:val="00F703C9"/>
    <w:rsid w:val="00F74345"/>
    <w:rsid w:val="00F762C9"/>
    <w:rsid w:val="00F763C7"/>
    <w:rsid w:val="00F76823"/>
    <w:rsid w:val="00F77C09"/>
    <w:rsid w:val="00F77E17"/>
    <w:rsid w:val="00F800D7"/>
    <w:rsid w:val="00F80A0A"/>
    <w:rsid w:val="00F80B94"/>
    <w:rsid w:val="00F80DBA"/>
    <w:rsid w:val="00F81204"/>
    <w:rsid w:val="00F816A4"/>
    <w:rsid w:val="00F81809"/>
    <w:rsid w:val="00F8237C"/>
    <w:rsid w:val="00F82B19"/>
    <w:rsid w:val="00F82EB5"/>
    <w:rsid w:val="00F83935"/>
    <w:rsid w:val="00F83E77"/>
    <w:rsid w:val="00F842F5"/>
    <w:rsid w:val="00F8562C"/>
    <w:rsid w:val="00F861C1"/>
    <w:rsid w:val="00F9212D"/>
    <w:rsid w:val="00F9251F"/>
    <w:rsid w:val="00F92542"/>
    <w:rsid w:val="00F9286D"/>
    <w:rsid w:val="00F93119"/>
    <w:rsid w:val="00F93423"/>
    <w:rsid w:val="00F9349C"/>
    <w:rsid w:val="00F965DA"/>
    <w:rsid w:val="00F96848"/>
    <w:rsid w:val="00FA15A5"/>
    <w:rsid w:val="00FA175C"/>
    <w:rsid w:val="00FA1E94"/>
    <w:rsid w:val="00FA2E20"/>
    <w:rsid w:val="00FA406A"/>
    <w:rsid w:val="00FA5DF3"/>
    <w:rsid w:val="00FA68F7"/>
    <w:rsid w:val="00FA76FD"/>
    <w:rsid w:val="00FB023E"/>
    <w:rsid w:val="00FB12B0"/>
    <w:rsid w:val="00FB2CF9"/>
    <w:rsid w:val="00FB3D2B"/>
    <w:rsid w:val="00FB503A"/>
    <w:rsid w:val="00FB516C"/>
    <w:rsid w:val="00FB520B"/>
    <w:rsid w:val="00FB5762"/>
    <w:rsid w:val="00FB5A1D"/>
    <w:rsid w:val="00FB7825"/>
    <w:rsid w:val="00FB7B89"/>
    <w:rsid w:val="00FC08AE"/>
    <w:rsid w:val="00FC1B21"/>
    <w:rsid w:val="00FC2754"/>
    <w:rsid w:val="00FC472B"/>
    <w:rsid w:val="00FC6038"/>
    <w:rsid w:val="00FC6569"/>
    <w:rsid w:val="00FC701F"/>
    <w:rsid w:val="00FC7B0D"/>
    <w:rsid w:val="00FD0236"/>
    <w:rsid w:val="00FD0CC9"/>
    <w:rsid w:val="00FD18F4"/>
    <w:rsid w:val="00FD20F0"/>
    <w:rsid w:val="00FD2C72"/>
    <w:rsid w:val="00FD3EBC"/>
    <w:rsid w:val="00FD45DB"/>
    <w:rsid w:val="00FD4B3A"/>
    <w:rsid w:val="00FD4DC0"/>
    <w:rsid w:val="00FD54DB"/>
    <w:rsid w:val="00FD619F"/>
    <w:rsid w:val="00FD642F"/>
    <w:rsid w:val="00FE0720"/>
    <w:rsid w:val="00FE6CF5"/>
    <w:rsid w:val="00FE729D"/>
    <w:rsid w:val="00FF186B"/>
    <w:rsid w:val="00FF61B4"/>
    <w:rsid w:val="00FF6BA8"/>
    <w:rsid w:val="010114D2"/>
    <w:rsid w:val="0119677B"/>
    <w:rsid w:val="012713F4"/>
    <w:rsid w:val="01290F7E"/>
    <w:rsid w:val="012F7E63"/>
    <w:rsid w:val="01323CE1"/>
    <w:rsid w:val="01350AD8"/>
    <w:rsid w:val="013C3578"/>
    <w:rsid w:val="013C6795"/>
    <w:rsid w:val="014632E9"/>
    <w:rsid w:val="015123B9"/>
    <w:rsid w:val="015D1E09"/>
    <w:rsid w:val="016043AA"/>
    <w:rsid w:val="016B5865"/>
    <w:rsid w:val="018F4C90"/>
    <w:rsid w:val="018F5C45"/>
    <w:rsid w:val="01946542"/>
    <w:rsid w:val="019C5F0B"/>
    <w:rsid w:val="01B46088"/>
    <w:rsid w:val="01B6221C"/>
    <w:rsid w:val="01C56D5D"/>
    <w:rsid w:val="01D34B7C"/>
    <w:rsid w:val="01DB1C83"/>
    <w:rsid w:val="01EE5E5A"/>
    <w:rsid w:val="01EE7AE9"/>
    <w:rsid w:val="01F36DF7"/>
    <w:rsid w:val="01FA0A91"/>
    <w:rsid w:val="01FA1688"/>
    <w:rsid w:val="020341E5"/>
    <w:rsid w:val="022673D3"/>
    <w:rsid w:val="0227311A"/>
    <w:rsid w:val="022C24DE"/>
    <w:rsid w:val="022D1D83"/>
    <w:rsid w:val="02301FCF"/>
    <w:rsid w:val="023D0B8F"/>
    <w:rsid w:val="02690B0A"/>
    <w:rsid w:val="02697903"/>
    <w:rsid w:val="027C3466"/>
    <w:rsid w:val="027F6AB2"/>
    <w:rsid w:val="02867E41"/>
    <w:rsid w:val="028A3F48"/>
    <w:rsid w:val="029D33DC"/>
    <w:rsid w:val="02A25161"/>
    <w:rsid w:val="02AD0D0C"/>
    <w:rsid w:val="02B40E52"/>
    <w:rsid w:val="02CC4F2C"/>
    <w:rsid w:val="02D52B76"/>
    <w:rsid w:val="02DC59B0"/>
    <w:rsid w:val="02E43D80"/>
    <w:rsid w:val="02E440B2"/>
    <w:rsid w:val="02E5725D"/>
    <w:rsid w:val="02F96569"/>
    <w:rsid w:val="02FA7332"/>
    <w:rsid w:val="03007789"/>
    <w:rsid w:val="03157404"/>
    <w:rsid w:val="031833FF"/>
    <w:rsid w:val="03312504"/>
    <w:rsid w:val="03325A9B"/>
    <w:rsid w:val="033C4AA5"/>
    <w:rsid w:val="03414F5C"/>
    <w:rsid w:val="03465822"/>
    <w:rsid w:val="0371064C"/>
    <w:rsid w:val="03743662"/>
    <w:rsid w:val="0374413D"/>
    <w:rsid w:val="037511B2"/>
    <w:rsid w:val="03770417"/>
    <w:rsid w:val="03A42ADF"/>
    <w:rsid w:val="03AD5EEC"/>
    <w:rsid w:val="03AF31FD"/>
    <w:rsid w:val="03B60BF9"/>
    <w:rsid w:val="03BC30E5"/>
    <w:rsid w:val="03C10264"/>
    <w:rsid w:val="03C2134C"/>
    <w:rsid w:val="03D177E1"/>
    <w:rsid w:val="03D60954"/>
    <w:rsid w:val="03D84308"/>
    <w:rsid w:val="03DB06E3"/>
    <w:rsid w:val="03EA7B21"/>
    <w:rsid w:val="03EC1006"/>
    <w:rsid w:val="03F67248"/>
    <w:rsid w:val="03F90004"/>
    <w:rsid w:val="040C4D76"/>
    <w:rsid w:val="041B0E47"/>
    <w:rsid w:val="04237050"/>
    <w:rsid w:val="042711AF"/>
    <w:rsid w:val="0442248D"/>
    <w:rsid w:val="044C330C"/>
    <w:rsid w:val="04631B86"/>
    <w:rsid w:val="046C5CCE"/>
    <w:rsid w:val="047422FE"/>
    <w:rsid w:val="0480245F"/>
    <w:rsid w:val="04826D2E"/>
    <w:rsid w:val="04A71B2E"/>
    <w:rsid w:val="04B421F2"/>
    <w:rsid w:val="04BC0AE9"/>
    <w:rsid w:val="04BC223F"/>
    <w:rsid w:val="04BD1B14"/>
    <w:rsid w:val="04D2096B"/>
    <w:rsid w:val="04D8694E"/>
    <w:rsid w:val="04E62EC6"/>
    <w:rsid w:val="04F05A45"/>
    <w:rsid w:val="04F17DE4"/>
    <w:rsid w:val="04FC2660"/>
    <w:rsid w:val="05034E4B"/>
    <w:rsid w:val="05145BD8"/>
    <w:rsid w:val="052F2A11"/>
    <w:rsid w:val="05365D3C"/>
    <w:rsid w:val="05374D51"/>
    <w:rsid w:val="053A4F12"/>
    <w:rsid w:val="053D3D00"/>
    <w:rsid w:val="05422435"/>
    <w:rsid w:val="055A53F6"/>
    <w:rsid w:val="05634469"/>
    <w:rsid w:val="05696BF0"/>
    <w:rsid w:val="057378BD"/>
    <w:rsid w:val="05743D3C"/>
    <w:rsid w:val="05772978"/>
    <w:rsid w:val="05834B0B"/>
    <w:rsid w:val="058B39C0"/>
    <w:rsid w:val="05924D4E"/>
    <w:rsid w:val="059D432A"/>
    <w:rsid w:val="05A42CC7"/>
    <w:rsid w:val="05AA02E8"/>
    <w:rsid w:val="05B42F17"/>
    <w:rsid w:val="05B44CC5"/>
    <w:rsid w:val="05BE63F8"/>
    <w:rsid w:val="05C00EC7"/>
    <w:rsid w:val="05C5193F"/>
    <w:rsid w:val="05C91EF9"/>
    <w:rsid w:val="05D90BCF"/>
    <w:rsid w:val="05DB04A3"/>
    <w:rsid w:val="05EA66C6"/>
    <w:rsid w:val="05EC26B0"/>
    <w:rsid w:val="05F83EAE"/>
    <w:rsid w:val="06023C82"/>
    <w:rsid w:val="060F45F1"/>
    <w:rsid w:val="061816F7"/>
    <w:rsid w:val="061B33BB"/>
    <w:rsid w:val="06255BC2"/>
    <w:rsid w:val="062A142B"/>
    <w:rsid w:val="062E067F"/>
    <w:rsid w:val="063E7D85"/>
    <w:rsid w:val="06533545"/>
    <w:rsid w:val="06647E92"/>
    <w:rsid w:val="06701ABF"/>
    <w:rsid w:val="06823121"/>
    <w:rsid w:val="069C232F"/>
    <w:rsid w:val="069C40D7"/>
    <w:rsid w:val="069D1BFD"/>
    <w:rsid w:val="06A50AB1"/>
    <w:rsid w:val="06AB58E5"/>
    <w:rsid w:val="06C4362D"/>
    <w:rsid w:val="06E748BA"/>
    <w:rsid w:val="06F253D7"/>
    <w:rsid w:val="07075CEE"/>
    <w:rsid w:val="07082B4F"/>
    <w:rsid w:val="07097292"/>
    <w:rsid w:val="070B6C38"/>
    <w:rsid w:val="07293586"/>
    <w:rsid w:val="07295285"/>
    <w:rsid w:val="073C7ECE"/>
    <w:rsid w:val="07487EF1"/>
    <w:rsid w:val="07536457"/>
    <w:rsid w:val="075E75DE"/>
    <w:rsid w:val="07625C22"/>
    <w:rsid w:val="07636392"/>
    <w:rsid w:val="07691ADF"/>
    <w:rsid w:val="076D3374"/>
    <w:rsid w:val="07770C56"/>
    <w:rsid w:val="07860F6D"/>
    <w:rsid w:val="078D797E"/>
    <w:rsid w:val="079B438E"/>
    <w:rsid w:val="07B23486"/>
    <w:rsid w:val="07C528C3"/>
    <w:rsid w:val="07D478A0"/>
    <w:rsid w:val="07F25F78"/>
    <w:rsid w:val="07F36615"/>
    <w:rsid w:val="08191C97"/>
    <w:rsid w:val="083640B7"/>
    <w:rsid w:val="083D3697"/>
    <w:rsid w:val="08420CAE"/>
    <w:rsid w:val="084F566D"/>
    <w:rsid w:val="08693972"/>
    <w:rsid w:val="0869448C"/>
    <w:rsid w:val="086F5286"/>
    <w:rsid w:val="08752E31"/>
    <w:rsid w:val="087A449E"/>
    <w:rsid w:val="08844E22"/>
    <w:rsid w:val="08950582"/>
    <w:rsid w:val="08970374"/>
    <w:rsid w:val="08AA4C4F"/>
    <w:rsid w:val="08C73856"/>
    <w:rsid w:val="08CC426E"/>
    <w:rsid w:val="08D35DAA"/>
    <w:rsid w:val="08D9705A"/>
    <w:rsid w:val="08DB07BA"/>
    <w:rsid w:val="08DD29D1"/>
    <w:rsid w:val="08E25FED"/>
    <w:rsid w:val="08E30F28"/>
    <w:rsid w:val="08EA7E68"/>
    <w:rsid w:val="08EB4D82"/>
    <w:rsid w:val="08F5187C"/>
    <w:rsid w:val="09067F2D"/>
    <w:rsid w:val="091A191E"/>
    <w:rsid w:val="092177DB"/>
    <w:rsid w:val="092217DD"/>
    <w:rsid w:val="092278B6"/>
    <w:rsid w:val="093A7294"/>
    <w:rsid w:val="093F343F"/>
    <w:rsid w:val="094531C6"/>
    <w:rsid w:val="09532A47"/>
    <w:rsid w:val="09560D5F"/>
    <w:rsid w:val="09644C54"/>
    <w:rsid w:val="09824B3E"/>
    <w:rsid w:val="098B3F8E"/>
    <w:rsid w:val="098D7D07"/>
    <w:rsid w:val="09B84C5E"/>
    <w:rsid w:val="09C556F2"/>
    <w:rsid w:val="09D05FD4"/>
    <w:rsid w:val="09D516AE"/>
    <w:rsid w:val="09DD72C1"/>
    <w:rsid w:val="09EA111B"/>
    <w:rsid w:val="09EB2B51"/>
    <w:rsid w:val="09EE027B"/>
    <w:rsid w:val="0A0007EE"/>
    <w:rsid w:val="0A002BCE"/>
    <w:rsid w:val="0A0855DF"/>
    <w:rsid w:val="0A24003A"/>
    <w:rsid w:val="0A263993"/>
    <w:rsid w:val="0A2D3AC2"/>
    <w:rsid w:val="0A434869"/>
    <w:rsid w:val="0A461D12"/>
    <w:rsid w:val="0A481406"/>
    <w:rsid w:val="0A4C5E14"/>
    <w:rsid w:val="0A4F2E9A"/>
    <w:rsid w:val="0A546A76"/>
    <w:rsid w:val="0A59408D"/>
    <w:rsid w:val="0A8455AD"/>
    <w:rsid w:val="0A8605FC"/>
    <w:rsid w:val="0A8D7D88"/>
    <w:rsid w:val="0AA755DF"/>
    <w:rsid w:val="0AAC04B8"/>
    <w:rsid w:val="0AAD5F69"/>
    <w:rsid w:val="0AB87D27"/>
    <w:rsid w:val="0AC72B50"/>
    <w:rsid w:val="0ACB616E"/>
    <w:rsid w:val="0ACE6829"/>
    <w:rsid w:val="0AD258C5"/>
    <w:rsid w:val="0AE0655C"/>
    <w:rsid w:val="0AE73CDE"/>
    <w:rsid w:val="0AED6EE1"/>
    <w:rsid w:val="0B120D44"/>
    <w:rsid w:val="0B15047F"/>
    <w:rsid w:val="0B21104E"/>
    <w:rsid w:val="0B266665"/>
    <w:rsid w:val="0B3643CE"/>
    <w:rsid w:val="0B372620"/>
    <w:rsid w:val="0B5D2E60"/>
    <w:rsid w:val="0B6131F9"/>
    <w:rsid w:val="0B634C20"/>
    <w:rsid w:val="0B662F05"/>
    <w:rsid w:val="0B6B051B"/>
    <w:rsid w:val="0B785B6B"/>
    <w:rsid w:val="0B7C1837"/>
    <w:rsid w:val="0B81389B"/>
    <w:rsid w:val="0B8D0492"/>
    <w:rsid w:val="0B8E5FB8"/>
    <w:rsid w:val="0B9E56BA"/>
    <w:rsid w:val="0BB62502"/>
    <w:rsid w:val="0BCB2D68"/>
    <w:rsid w:val="0BCE4606"/>
    <w:rsid w:val="0BD27BF6"/>
    <w:rsid w:val="0BEC08D9"/>
    <w:rsid w:val="0BF978D5"/>
    <w:rsid w:val="0BFA53FB"/>
    <w:rsid w:val="0C063DA0"/>
    <w:rsid w:val="0C0A1AE2"/>
    <w:rsid w:val="0C0E7282"/>
    <w:rsid w:val="0C1666D9"/>
    <w:rsid w:val="0C275F3F"/>
    <w:rsid w:val="0C2A074F"/>
    <w:rsid w:val="0C3B3C7D"/>
    <w:rsid w:val="0C601CEC"/>
    <w:rsid w:val="0C695551"/>
    <w:rsid w:val="0C72398F"/>
    <w:rsid w:val="0C807CE3"/>
    <w:rsid w:val="0C917B0E"/>
    <w:rsid w:val="0C9E3D6D"/>
    <w:rsid w:val="0CAB2EAE"/>
    <w:rsid w:val="0CB05E38"/>
    <w:rsid w:val="0CB76C8A"/>
    <w:rsid w:val="0CBE1BE2"/>
    <w:rsid w:val="0CBE4CE3"/>
    <w:rsid w:val="0CC669E8"/>
    <w:rsid w:val="0CC954FA"/>
    <w:rsid w:val="0CE27DCE"/>
    <w:rsid w:val="0CF05EAA"/>
    <w:rsid w:val="0CFF716D"/>
    <w:rsid w:val="0D097FEC"/>
    <w:rsid w:val="0D0C0E0E"/>
    <w:rsid w:val="0D1349C7"/>
    <w:rsid w:val="0D166366"/>
    <w:rsid w:val="0D1A1E7F"/>
    <w:rsid w:val="0D1A5D55"/>
    <w:rsid w:val="0D1D4725"/>
    <w:rsid w:val="0D237F01"/>
    <w:rsid w:val="0D2C7836"/>
    <w:rsid w:val="0D3D1F3C"/>
    <w:rsid w:val="0D501777"/>
    <w:rsid w:val="0D511353"/>
    <w:rsid w:val="0D5D665A"/>
    <w:rsid w:val="0D605732"/>
    <w:rsid w:val="0D621C7D"/>
    <w:rsid w:val="0D660F9A"/>
    <w:rsid w:val="0D6715AA"/>
    <w:rsid w:val="0DA177C1"/>
    <w:rsid w:val="0DA61A49"/>
    <w:rsid w:val="0DD26630"/>
    <w:rsid w:val="0DDA1988"/>
    <w:rsid w:val="0DE3083D"/>
    <w:rsid w:val="0DEB14A0"/>
    <w:rsid w:val="0DF465A6"/>
    <w:rsid w:val="0DFC36AD"/>
    <w:rsid w:val="0E0013EF"/>
    <w:rsid w:val="0E0B1B42"/>
    <w:rsid w:val="0E17700C"/>
    <w:rsid w:val="0E1B7674"/>
    <w:rsid w:val="0E1E49A1"/>
    <w:rsid w:val="0E3C6626"/>
    <w:rsid w:val="0E4806A0"/>
    <w:rsid w:val="0E57501E"/>
    <w:rsid w:val="0E636264"/>
    <w:rsid w:val="0E6A69E2"/>
    <w:rsid w:val="0E73034D"/>
    <w:rsid w:val="0E7476AF"/>
    <w:rsid w:val="0E81124B"/>
    <w:rsid w:val="0E8F4FB9"/>
    <w:rsid w:val="0E903DF5"/>
    <w:rsid w:val="0E990274"/>
    <w:rsid w:val="0E9D59AD"/>
    <w:rsid w:val="0E9E654C"/>
    <w:rsid w:val="0EA63619"/>
    <w:rsid w:val="0EA729A8"/>
    <w:rsid w:val="0EAC0C2F"/>
    <w:rsid w:val="0EB330EC"/>
    <w:rsid w:val="0EC32BDE"/>
    <w:rsid w:val="0EC96E9E"/>
    <w:rsid w:val="0ECD5125"/>
    <w:rsid w:val="0ED23353"/>
    <w:rsid w:val="0EEF1FAA"/>
    <w:rsid w:val="0EF32D02"/>
    <w:rsid w:val="0EF565BB"/>
    <w:rsid w:val="0EF61BA5"/>
    <w:rsid w:val="0EFB1BB6"/>
    <w:rsid w:val="0F0D5F2C"/>
    <w:rsid w:val="0F0E18EA"/>
    <w:rsid w:val="0F0E27C6"/>
    <w:rsid w:val="0F101237"/>
    <w:rsid w:val="0F13775A"/>
    <w:rsid w:val="0F2C0ADA"/>
    <w:rsid w:val="0F2E0864"/>
    <w:rsid w:val="0F3A448D"/>
    <w:rsid w:val="0F3C3B4D"/>
    <w:rsid w:val="0F4C5F6E"/>
    <w:rsid w:val="0F551DFA"/>
    <w:rsid w:val="0F554CE2"/>
    <w:rsid w:val="0F5F45FE"/>
    <w:rsid w:val="0F641B30"/>
    <w:rsid w:val="0F6A33B3"/>
    <w:rsid w:val="0F790AE0"/>
    <w:rsid w:val="0F7A4902"/>
    <w:rsid w:val="0F7B0D6D"/>
    <w:rsid w:val="0F8D6F1D"/>
    <w:rsid w:val="0F9A112B"/>
    <w:rsid w:val="0F9E1CC2"/>
    <w:rsid w:val="0FA22032"/>
    <w:rsid w:val="0FAE4E7B"/>
    <w:rsid w:val="0FB55FEF"/>
    <w:rsid w:val="0FD20B69"/>
    <w:rsid w:val="0FD3668F"/>
    <w:rsid w:val="0FE812B5"/>
    <w:rsid w:val="0FFB6244"/>
    <w:rsid w:val="1008205A"/>
    <w:rsid w:val="102E4A79"/>
    <w:rsid w:val="103003AE"/>
    <w:rsid w:val="10371669"/>
    <w:rsid w:val="10394744"/>
    <w:rsid w:val="103A1707"/>
    <w:rsid w:val="10457A5A"/>
    <w:rsid w:val="106043C7"/>
    <w:rsid w:val="106A6FF4"/>
    <w:rsid w:val="106D2F64"/>
    <w:rsid w:val="10727C56"/>
    <w:rsid w:val="10A5461D"/>
    <w:rsid w:val="10B63710"/>
    <w:rsid w:val="10C86EED"/>
    <w:rsid w:val="10CD7582"/>
    <w:rsid w:val="10D131B9"/>
    <w:rsid w:val="10E433A4"/>
    <w:rsid w:val="10F0334D"/>
    <w:rsid w:val="10F10820"/>
    <w:rsid w:val="10FF1EB7"/>
    <w:rsid w:val="110802EA"/>
    <w:rsid w:val="110C3C07"/>
    <w:rsid w:val="111C2F7A"/>
    <w:rsid w:val="111F404A"/>
    <w:rsid w:val="11213093"/>
    <w:rsid w:val="11290C5D"/>
    <w:rsid w:val="114C35CD"/>
    <w:rsid w:val="114C66F9"/>
    <w:rsid w:val="115135FC"/>
    <w:rsid w:val="11513D10"/>
    <w:rsid w:val="11665CA1"/>
    <w:rsid w:val="1170063A"/>
    <w:rsid w:val="118714DF"/>
    <w:rsid w:val="11902A8A"/>
    <w:rsid w:val="119320E5"/>
    <w:rsid w:val="119360D6"/>
    <w:rsid w:val="11965BC6"/>
    <w:rsid w:val="11A3229A"/>
    <w:rsid w:val="11A6559D"/>
    <w:rsid w:val="11A93B4C"/>
    <w:rsid w:val="11AB188E"/>
    <w:rsid w:val="11B322D4"/>
    <w:rsid w:val="11C60597"/>
    <w:rsid w:val="11D230A2"/>
    <w:rsid w:val="11DD7EA8"/>
    <w:rsid w:val="11DF3D09"/>
    <w:rsid w:val="11EF5AD4"/>
    <w:rsid w:val="11FE4972"/>
    <w:rsid w:val="120767A9"/>
    <w:rsid w:val="1213245A"/>
    <w:rsid w:val="121645D8"/>
    <w:rsid w:val="122F22A3"/>
    <w:rsid w:val="123478B9"/>
    <w:rsid w:val="1246182B"/>
    <w:rsid w:val="12557E06"/>
    <w:rsid w:val="12582E7C"/>
    <w:rsid w:val="125F10CD"/>
    <w:rsid w:val="12606879"/>
    <w:rsid w:val="12633CFA"/>
    <w:rsid w:val="12921662"/>
    <w:rsid w:val="1293292D"/>
    <w:rsid w:val="12942106"/>
    <w:rsid w:val="129B6365"/>
    <w:rsid w:val="12AF6F40"/>
    <w:rsid w:val="12B82391"/>
    <w:rsid w:val="12CD386A"/>
    <w:rsid w:val="12D616CB"/>
    <w:rsid w:val="12DA27A8"/>
    <w:rsid w:val="12E24D72"/>
    <w:rsid w:val="12EA23A7"/>
    <w:rsid w:val="1302106C"/>
    <w:rsid w:val="130F3E82"/>
    <w:rsid w:val="13113D52"/>
    <w:rsid w:val="133D570B"/>
    <w:rsid w:val="133D5C9F"/>
    <w:rsid w:val="13400715"/>
    <w:rsid w:val="134C0C32"/>
    <w:rsid w:val="134E49AB"/>
    <w:rsid w:val="135728AD"/>
    <w:rsid w:val="13693592"/>
    <w:rsid w:val="1371707A"/>
    <w:rsid w:val="13806B2E"/>
    <w:rsid w:val="138A3509"/>
    <w:rsid w:val="138C0FC0"/>
    <w:rsid w:val="138F0F48"/>
    <w:rsid w:val="13904FC3"/>
    <w:rsid w:val="13951726"/>
    <w:rsid w:val="13A31E5B"/>
    <w:rsid w:val="13A66595"/>
    <w:rsid w:val="13BB2616"/>
    <w:rsid w:val="13BD38DE"/>
    <w:rsid w:val="13BE434A"/>
    <w:rsid w:val="13C7650B"/>
    <w:rsid w:val="13CB6F85"/>
    <w:rsid w:val="13CF716E"/>
    <w:rsid w:val="13EB49A6"/>
    <w:rsid w:val="13F53078"/>
    <w:rsid w:val="140105ED"/>
    <w:rsid w:val="1420103F"/>
    <w:rsid w:val="142C50A8"/>
    <w:rsid w:val="1433594E"/>
    <w:rsid w:val="14396509"/>
    <w:rsid w:val="1447138F"/>
    <w:rsid w:val="14492CFB"/>
    <w:rsid w:val="146927B7"/>
    <w:rsid w:val="14735965"/>
    <w:rsid w:val="14844766"/>
    <w:rsid w:val="14951980"/>
    <w:rsid w:val="14970673"/>
    <w:rsid w:val="14B21CA8"/>
    <w:rsid w:val="14C11377"/>
    <w:rsid w:val="14C91E0F"/>
    <w:rsid w:val="14D0319D"/>
    <w:rsid w:val="14D74763"/>
    <w:rsid w:val="14D96044"/>
    <w:rsid w:val="14DD2C3C"/>
    <w:rsid w:val="14E8498B"/>
    <w:rsid w:val="14EA656D"/>
    <w:rsid w:val="14EC447B"/>
    <w:rsid w:val="14F450DE"/>
    <w:rsid w:val="14F652AD"/>
    <w:rsid w:val="14F72A26"/>
    <w:rsid w:val="14F72E20"/>
    <w:rsid w:val="150A488B"/>
    <w:rsid w:val="150D2643"/>
    <w:rsid w:val="151829DD"/>
    <w:rsid w:val="151915EB"/>
    <w:rsid w:val="1528122B"/>
    <w:rsid w:val="152D239E"/>
    <w:rsid w:val="15396F94"/>
    <w:rsid w:val="15437E13"/>
    <w:rsid w:val="154F6401"/>
    <w:rsid w:val="155757D9"/>
    <w:rsid w:val="155E4C4D"/>
    <w:rsid w:val="156F266A"/>
    <w:rsid w:val="156F6E5A"/>
    <w:rsid w:val="157601E9"/>
    <w:rsid w:val="158C1D3F"/>
    <w:rsid w:val="15962639"/>
    <w:rsid w:val="15A05265"/>
    <w:rsid w:val="15AE6F6D"/>
    <w:rsid w:val="15B14D7D"/>
    <w:rsid w:val="15B50D11"/>
    <w:rsid w:val="15B64A89"/>
    <w:rsid w:val="15BA6327"/>
    <w:rsid w:val="15BB7172"/>
    <w:rsid w:val="15BF56ED"/>
    <w:rsid w:val="15C46ECC"/>
    <w:rsid w:val="15DE2CF4"/>
    <w:rsid w:val="15E72E94"/>
    <w:rsid w:val="15EC15D1"/>
    <w:rsid w:val="15F15AC1"/>
    <w:rsid w:val="15F555B1"/>
    <w:rsid w:val="15FF01DE"/>
    <w:rsid w:val="160550C9"/>
    <w:rsid w:val="1606331B"/>
    <w:rsid w:val="16077763"/>
    <w:rsid w:val="16087E1D"/>
    <w:rsid w:val="161377E5"/>
    <w:rsid w:val="162B3FB1"/>
    <w:rsid w:val="16315EBE"/>
    <w:rsid w:val="164B6AF4"/>
    <w:rsid w:val="165B2F3A"/>
    <w:rsid w:val="165F6ECF"/>
    <w:rsid w:val="1683496B"/>
    <w:rsid w:val="16A26AEA"/>
    <w:rsid w:val="16A62408"/>
    <w:rsid w:val="16A74423"/>
    <w:rsid w:val="16A9130C"/>
    <w:rsid w:val="16AA7506"/>
    <w:rsid w:val="16AB2114"/>
    <w:rsid w:val="16B50F1F"/>
    <w:rsid w:val="16BC1C2B"/>
    <w:rsid w:val="16BD3139"/>
    <w:rsid w:val="16C46D32"/>
    <w:rsid w:val="16DA7BC2"/>
    <w:rsid w:val="170C39AB"/>
    <w:rsid w:val="170C69FC"/>
    <w:rsid w:val="17141626"/>
    <w:rsid w:val="171D0CC1"/>
    <w:rsid w:val="1753326C"/>
    <w:rsid w:val="17604F93"/>
    <w:rsid w:val="1768590F"/>
    <w:rsid w:val="176B037C"/>
    <w:rsid w:val="176D73C9"/>
    <w:rsid w:val="17701D14"/>
    <w:rsid w:val="17735226"/>
    <w:rsid w:val="17752C9A"/>
    <w:rsid w:val="17836BED"/>
    <w:rsid w:val="17981E36"/>
    <w:rsid w:val="17A27073"/>
    <w:rsid w:val="17A54DB5"/>
    <w:rsid w:val="17A56B63"/>
    <w:rsid w:val="17B27317"/>
    <w:rsid w:val="17B374D2"/>
    <w:rsid w:val="17CD1C16"/>
    <w:rsid w:val="17FD699F"/>
    <w:rsid w:val="180F417F"/>
    <w:rsid w:val="1822771A"/>
    <w:rsid w:val="18267CA4"/>
    <w:rsid w:val="182E6B59"/>
    <w:rsid w:val="1840688C"/>
    <w:rsid w:val="184F1D3B"/>
    <w:rsid w:val="185A1AE7"/>
    <w:rsid w:val="186A0C9A"/>
    <w:rsid w:val="187023B0"/>
    <w:rsid w:val="18773C95"/>
    <w:rsid w:val="18781125"/>
    <w:rsid w:val="1888774F"/>
    <w:rsid w:val="189F624C"/>
    <w:rsid w:val="18AA04D2"/>
    <w:rsid w:val="18AB271E"/>
    <w:rsid w:val="18AE7C99"/>
    <w:rsid w:val="18B17D9A"/>
    <w:rsid w:val="18DD1382"/>
    <w:rsid w:val="18E5585C"/>
    <w:rsid w:val="18EE538B"/>
    <w:rsid w:val="18F34BBA"/>
    <w:rsid w:val="1917583F"/>
    <w:rsid w:val="191915B7"/>
    <w:rsid w:val="19223474"/>
    <w:rsid w:val="193C52A5"/>
    <w:rsid w:val="19495328"/>
    <w:rsid w:val="194D1260"/>
    <w:rsid w:val="197762DD"/>
    <w:rsid w:val="197C6DE2"/>
    <w:rsid w:val="197E4A81"/>
    <w:rsid w:val="19884BF3"/>
    <w:rsid w:val="19925EF3"/>
    <w:rsid w:val="19A223C6"/>
    <w:rsid w:val="19A67A47"/>
    <w:rsid w:val="19BD5921"/>
    <w:rsid w:val="19BF3903"/>
    <w:rsid w:val="19C534ED"/>
    <w:rsid w:val="19C77265"/>
    <w:rsid w:val="19CB6670"/>
    <w:rsid w:val="19DD2996"/>
    <w:rsid w:val="19E2459B"/>
    <w:rsid w:val="19EA2F53"/>
    <w:rsid w:val="19F142E2"/>
    <w:rsid w:val="1A0D279E"/>
    <w:rsid w:val="1A0E737A"/>
    <w:rsid w:val="1A1C66C0"/>
    <w:rsid w:val="1A1D2863"/>
    <w:rsid w:val="1A42393B"/>
    <w:rsid w:val="1A432C1F"/>
    <w:rsid w:val="1A53493F"/>
    <w:rsid w:val="1A647E13"/>
    <w:rsid w:val="1A6920CA"/>
    <w:rsid w:val="1A744F4F"/>
    <w:rsid w:val="1A89276C"/>
    <w:rsid w:val="1A93600A"/>
    <w:rsid w:val="1A9609E5"/>
    <w:rsid w:val="1A9710B2"/>
    <w:rsid w:val="1A991744"/>
    <w:rsid w:val="1AAD45DE"/>
    <w:rsid w:val="1AB53561"/>
    <w:rsid w:val="1ACE4623"/>
    <w:rsid w:val="1AD3073C"/>
    <w:rsid w:val="1AED51B6"/>
    <w:rsid w:val="1AEE0821"/>
    <w:rsid w:val="1AF76A37"/>
    <w:rsid w:val="1AFD4371"/>
    <w:rsid w:val="1B046F80"/>
    <w:rsid w:val="1B0856EB"/>
    <w:rsid w:val="1B0D742F"/>
    <w:rsid w:val="1B0E7502"/>
    <w:rsid w:val="1B252495"/>
    <w:rsid w:val="1B3267B5"/>
    <w:rsid w:val="1B331B12"/>
    <w:rsid w:val="1B391A9C"/>
    <w:rsid w:val="1B40146E"/>
    <w:rsid w:val="1B40161D"/>
    <w:rsid w:val="1B423DEB"/>
    <w:rsid w:val="1B4301D2"/>
    <w:rsid w:val="1B441859"/>
    <w:rsid w:val="1B5865B3"/>
    <w:rsid w:val="1B5B3389"/>
    <w:rsid w:val="1B6606B1"/>
    <w:rsid w:val="1B7449F1"/>
    <w:rsid w:val="1B7E7DF7"/>
    <w:rsid w:val="1B8B42C2"/>
    <w:rsid w:val="1B8D63E4"/>
    <w:rsid w:val="1B9269F1"/>
    <w:rsid w:val="1BAE5BB8"/>
    <w:rsid w:val="1BD5680B"/>
    <w:rsid w:val="1BE0016A"/>
    <w:rsid w:val="1C037C7B"/>
    <w:rsid w:val="1C1A7AD2"/>
    <w:rsid w:val="1C32142D"/>
    <w:rsid w:val="1C437CB3"/>
    <w:rsid w:val="1C5059CF"/>
    <w:rsid w:val="1C5E7925"/>
    <w:rsid w:val="1C6934FB"/>
    <w:rsid w:val="1C6963B1"/>
    <w:rsid w:val="1C73174E"/>
    <w:rsid w:val="1C7C5803"/>
    <w:rsid w:val="1C80194D"/>
    <w:rsid w:val="1C8123AE"/>
    <w:rsid w:val="1C8C4877"/>
    <w:rsid w:val="1C8C6544"/>
    <w:rsid w:val="1C914DAE"/>
    <w:rsid w:val="1C986C96"/>
    <w:rsid w:val="1C99656B"/>
    <w:rsid w:val="1CA27617"/>
    <w:rsid w:val="1CA27B15"/>
    <w:rsid w:val="1CAD0994"/>
    <w:rsid w:val="1CD9396A"/>
    <w:rsid w:val="1CDB6B83"/>
    <w:rsid w:val="1CE8562F"/>
    <w:rsid w:val="1CEE2D5A"/>
    <w:rsid w:val="1CF759EA"/>
    <w:rsid w:val="1CFD070F"/>
    <w:rsid w:val="1CFE1CD3"/>
    <w:rsid w:val="1D0258BC"/>
    <w:rsid w:val="1D0F4673"/>
    <w:rsid w:val="1D13456F"/>
    <w:rsid w:val="1D1B676C"/>
    <w:rsid w:val="1D1C7967"/>
    <w:rsid w:val="1D5F6196"/>
    <w:rsid w:val="1D6132A5"/>
    <w:rsid w:val="1D6E17A5"/>
    <w:rsid w:val="1D72719A"/>
    <w:rsid w:val="1D8D2573"/>
    <w:rsid w:val="1D8E56D5"/>
    <w:rsid w:val="1D9060FA"/>
    <w:rsid w:val="1D927B8A"/>
    <w:rsid w:val="1D945808"/>
    <w:rsid w:val="1D992CC6"/>
    <w:rsid w:val="1D9C0C1F"/>
    <w:rsid w:val="1DA44536"/>
    <w:rsid w:val="1DAA0FFD"/>
    <w:rsid w:val="1DB47B00"/>
    <w:rsid w:val="1DB65BE6"/>
    <w:rsid w:val="1DC046F7"/>
    <w:rsid w:val="1DC8750C"/>
    <w:rsid w:val="1DC97EE6"/>
    <w:rsid w:val="1DDA43AF"/>
    <w:rsid w:val="1DE57CB9"/>
    <w:rsid w:val="1E026ABD"/>
    <w:rsid w:val="1E0D5462"/>
    <w:rsid w:val="1E1257C2"/>
    <w:rsid w:val="1E1862E1"/>
    <w:rsid w:val="1E19315B"/>
    <w:rsid w:val="1E1E141D"/>
    <w:rsid w:val="1E205570"/>
    <w:rsid w:val="1E2F7187"/>
    <w:rsid w:val="1E421268"/>
    <w:rsid w:val="1E58312C"/>
    <w:rsid w:val="1E5C1522"/>
    <w:rsid w:val="1E65704C"/>
    <w:rsid w:val="1E6E02FD"/>
    <w:rsid w:val="1E731769"/>
    <w:rsid w:val="1E7A43DA"/>
    <w:rsid w:val="1E8526FE"/>
    <w:rsid w:val="1E896032"/>
    <w:rsid w:val="1E9811D0"/>
    <w:rsid w:val="1EB11053"/>
    <w:rsid w:val="1ECB732C"/>
    <w:rsid w:val="1ED33FB6"/>
    <w:rsid w:val="1EDE6770"/>
    <w:rsid w:val="1EED27F8"/>
    <w:rsid w:val="1EFF2FFD"/>
    <w:rsid w:val="1F0979D8"/>
    <w:rsid w:val="1F244811"/>
    <w:rsid w:val="1F332069"/>
    <w:rsid w:val="1F3A5DE3"/>
    <w:rsid w:val="1F4C3A56"/>
    <w:rsid w:val="1F532E8D"/>
    <w:rsid w:val="1F5B0CEE"/>
    <w:rsid w:val="1F7C1719"/>
    <w:rsid w:val="1F8D23B7"/>
    <w:rsid w:val="1F913A2F"/>
    <w:rsid w:val="1F9C084C"/>
    <w:rsid w:val="1FA42A3D"/>
    <w:rsid w:val="1FAE74BE"/>
    <w:rsid w:val="1FB35F68"/>
    <w:rsid w:val="1FB45F3F"/>
    <w:rsid w:val="1FC30D51"/>
    <w:rsid w:val="1FC3402A"/>
    <w:rsid w:val="1FCD4EA9"/>
    <w:rsid w:val="1FCD6267"/>
    <w:rsid w:val="1FD46237"/>
    <w:rsid w:val="1FE67D19"/>
    <w:rsid w:val="1FE7539E"/>
    <w:rsid w:val="20027643"/>
    <w:rsid w:val="200D66B1"/>
    <w:rsid w:val="2027280B"/>
    <w:rsid w:val="202820DF"/>
    <w:rsid w:val="202B3535"/>
    <w:rsid w:val="202D3B9A"/>
    <w:rsid w:val="202F346E"/>
    <w:rsid w:val="20326142"/>
    <w:rsid w:val="20354F75"/>
    <w:rsid w:val="20362A4E"/>
    <w:rsid w:val="204D5FEA"/>
    <w:rsid w:val="205E1FA5"/>
    <w:rsid w:val="205E3D53"/>
    <w:rsid w:val="20671BE0"/>
    <w:rsid w:val="20692E24"/>
    <w:rsid w:val="20694BCD"/>
    <w:rsid w:val="207D242B"/>
    <w:rsid w:val="208319DF"/>
    <w:rsid w:val="208E716B"/>
    <w:rsid w:val="209459C7"/>
    <w:rsid w:val="20963CB8"/>
    <w:rsid w:val="20982281"/>
    <w:rsid w:val="20A16C4C"/>
    <w:rsid w:val="20A81A1B"/>
    <w:rsid w:val="20B07FB6"/>
    <w:rsid w:val="20B646FB"/>
    <w:rsid w:val="20BC0284"/>
    <w:rsid w:val="20BC0E53"/>
    <w:rsid w:val="20BE3D75"/>
    <w:rsid w:val="20CD7E55"/>
    <w:rsid w:val="20D125B8"/>
    <w:rsid w:val="20D64231"/>
    <w:rsid w:val="20D97ED6"/>
    <w:rsid w:val="20E92B59"/>
    <w:rsid w:val="20EE157B"/>
    <w:rsid w:val="20EE50D7"/>
    <w:rsid w:val="20F070A1"/>
    <w:rsid w:val="20F3093F"/>
    <w:rsid w:val="20F326ED"/>
    <w:rsid w:val="20FC159E"/>
    <w:rsid w:val="21037966"/>
    <w:rsid w:val="21256EE7"/>
    <w:rsid w:val="21350F58"/>
    <w:rsid w:val="213B74B1"/>
    <w:rsid w:val="213C22E6"/>
    <w:rsid w:val="213D685E"/>
    <w:rsid w:val="21430308"/>
    <w:rsid w:val="214D40AF"/>
    <w:rsid w:val="215238B8"/>
    <w:rsid w:val="215A2310"/>
    <w:rsid w:val="215F29B7"/>
    <w:rsid w:val="215F709E"/>
    <w:rsid w:val="216C787B"/>
    <w:rsid w:val="217A0F75"/>
    <w:rsid w:val="21843C8D"/>
    <w:rsid w:val="21873EC1"/>
    <w:rsid w:val="219E708B"/>
    <w:rsid w:val="21A02012"/>
    <w:rsid w:val="21A06152"/>
    <w:rsid w:val="21A32365"/>
    <w:rsid w:val="21AB121A"/>
    <w:rsid w:val="21B300CF"/>
    <w:rsid w:val="21B72A0C"/>
    <w:rsid w:val="21B75E11"/>
    <w:rsid w:val="21BB2D5A"/>
    <w:rsid w:val="21C1390C"/>
    <w:rsid w:val="21CF5E82"/>
    <w:rsid w:val="21D95741"/>
    <w:rsid w:val="21DE318A"/>
    <w:rsid w:val="21DE6DAE"/>
    <w:rsid w:val="21ED5F41"/>
    <w:rsid w:val="21EF5B80"/>
    <w:rsid w:val="220152DE"/>
    <w:rsid w:val="220B3557"/>
    <w:rsid w:val="221943D6"/>
    <w:rsid w:val="221F7512"/>
    <w:rsid w:val="22250FCC"/>
    <w:rsid w:val="223119FD"/>
    <w:rsid w:val="22365CE8"/>
    <w:rsid w:val="223C139D"/>
    <w:rsid w:val="22460F43"/>
    <w:rsid w:val="22576990"/>
    <w:rsid w:val="22682C67"/>
    <w:rsid w:val="226D4721"/>
    <w:rsid w:val="227635D6"/>
    <w:rsid w:val="229D1326"/>
    <w:rsid w:val="22A002EE"/>
    <w:rsid w:val="22A44C92"/>
    <w:rsid w:val="22A60E5A"/>
    <w:rsid w:val="22B800E0"/>
    <w:rsid w:val="22C70C2F"/>
    <w:rsid w:val="22CD592C"/>
    <w:rsid w:val="22E06CA1"/>
    <w:rsid w:val="22F47480"/>
    <w:rsid w:val="23030452"/>
    <w:rsid w:val="23076924"/>
    <w:rsid w:val="23164DB9"/>
    <w:rsid w:val="231F1C62"/>
    <w:rsid w:val="23224D40"/>
    <w:rsid w:val="23305E7B"/>
    <w:rsid w:val="23307C29"/>
    <w:rsid w:val="2339343A"/>
    <w:rsid w:val="233E5B27"/>
    <w:rsid w:val="234057AC"/>
    <w:rsid w:val="234348B2"/>
    <w:rsid w:val="23476D20"/>
    <w:rsid w:val="234D33B5"/>
    <w:rsid w:val="235002CB"/>
    <w:rsid w:val="23502079"/>
    <w:rsid w:val="23571659"/>
    <w:rsid w:val="236F45FA"/>
    <w:rsid w:val="23814990"/>
    <w:rsid w:val="23840A75"/>
    <w:rsid w:val="239075D5"/>
    <w:rsid w:val="239C3C27"/>
    <w:rsid w:val="23B00D6A"/>
    <w:rsid w:val="23B4085A"/>
    <w:rsid w:val="23B76226"/>
    <w:rsid w:val="23BA5744"/>
    <w:rsid w:val="23BD6FE3"/>
    <w:rsid w:val="23DE1C48"/>
    <w:rsid w:val="23DF233A"/>
    <w:rsid w:val="23F26A01"/>
    <w:rsid w:val="23F2725B"/>
    <w:rsid w:val="23FC3FAF"/>
    <w:rsid w:val="240210CD"/>
    <w:rsid w:val="24030E99"/>
    <w:rsid w:val="24062738"/>
    <w:rsid w:val="240C3DB8"/>
    <w:rsid w:val="241430A6"/>
    <w:rsid w:val="241906BD"/>
    <w:rsid w:val="24283E98"/>
    <w:rsid w:val="242A0B1C"/>
    <w:rsid w:val="243746A8"/>
    <w:rsid w:val="24442EA8"/>
    <w:rsid w:val="245D30A8"/>
    <w:rsid w:val="24800C56"/>
    <w:rsid w:val="24855D52"/>
    <w:rsid w:val="248D5FC1"/>
    <w:rsid w:val="248F4E23"/>
    <w:rsid w:val="249059E1"/>
    <w:rsid w:val="249441E7"/>
    <w:rsid w:val="249E5066"/>
    <w:rsid w:val="24B81EA4"/>
    <w:rsid w:val="24BF09F7"/>
    <w:rsid w:val="24CE1659"/>
    <w:rsid w:val="24D6035C"/>
    <w:rsid w:val="24DA29FA"/>
    <w:rsid w:val="24E26893"/>
    <w:rsid w:val="24F12462"/>
    <w:rsid w:val="24F56C2F"/>
    <w:rsid w:val="250E4686"/>
    <w:rsid w:val="25164BFC"/>
    <w:rsid w:val="25262ADE"/>
    <w:rsid w:val="252B5A3C"/>
    <w:rsid w:val="252D53FE"/>
    <w:rsid w:val="252E0198"/>
    <w:rsid w:val="252E63EA"/>
    <w:rsid w:val="25354B21"/>
    <w:rsid w:val="253A637A"/>
    <w:rsid w:val="25401C79"/>
    <w:rsid w:val="25487995"/>
    <w:rsid w:val="25492822"/>
    <w:rsid w:val="255167C8"/>
    <w:rsid w:val="25553977"/>
    <w:rsid w:val="2560231B"/>
    <w:rsid w:val="2561056D"/>
    <w:rsid w:val="25643BBA"/>
    <w:rsid w:val="256911D0"/>
    <w:rsid w:val="256A4D56"/>
    <w:rsid w:val="256F3DB1"/>
    <w:rsid w:val="257A162F"/>
    <w:rsid w:val="259011F8"/>
    <w:rsid w:val="25911156"/>
    <w:rsid w:val="259113A8"/>
    <w:rsid w:val="25A16BBC"/>
    <w:rsid w:val="25BC1C48"/>
    <w:rsid w:val="25BD1FE8"/>
    <w:rsid w:val="25CD1E0C"/>
    <w:rsid w:val="25DD0280"/>
    <w:rsid w:val="25DD571A"/>
    <w:rsid w:val="25EC2D81"/>
    <w:rsid w:val="260B672B"/>
    <w:rsid w:val="26263565"/>
    <w:rsid w:val="26396995"/>
    <w:rsid w:val="263A491A"/>
    <w:rsid w:val="264439EB"/>
    <w:rsid w:val="26520498"/>
    <w:rsid w:val="266509BF"/>
    <w:rsid w:val="26655897"/>
    <w:rsid w:val="26681488"/>
    <w:rsid w:val="266D4CF0"/>
    <w:rsid w:val="26702B03"/>
    <w:rsid w:val="2679746A"/>
    <w:rsid w:val="267B55A6"/>
    <w:rsid w:val="2685203A"/>
    <w:rsid w:val="26865DB2"/>
    <w:rsid w:val="26920BFA"/>
    <w:rsid w:val="26A0003F"/>
    <w:rsid w:val="26A06E73"/>
    <w:rsid w:val="26BA0BD4"/>
    <w:rsid w:val="26C8461C"/>
    <w:rsid w:val="26D11723"/>
    <w:rsid w:val="26E434F5"/>
    <w:rsid w:val="26EF5616"/>
    <w:rsid w:val="26EF7DFB"/>
    <w:rsid w:val="26FC4863"/>
    <w:rsid w:val="27084A19"/>
    <w:rsid w:val="270D6407"/>
    <w:rsid w:val="27142FF6"/>
    <w:rsid w:val="271E248E"/>
    <w:rsid w:val="27335F39"/>
    <w:rsid w:val="27466BCE"/>
    <w:rsid w:val="274A6239"/>
    <w:rsid w:val="274B41BB"/>
    <w:rsid w:val="274C0E87"/>
    <w:rsid w:val="274C1CCB"/>
    <w:rsid w:val="274E2C58"/>
    <w:rsid w:val="275D1F11"/>
    <w:rsid w:val="275F5CDC"/>
    <w:rsid w:val="276460F3"/>
    <w:rsid w:val="276E2ACE"/>
    <w:rsid w:val="277057A2"/>
    <w:rsid w:val="278F67EF"/>
    <w:rsid w:val="27915427"/>
    <w:rsid w:val="2799071E"/>
    <w:rsid w:val="279D33B3"/>
    <w:rsid w:val="27AC35F6"/>
    <w:rsid w:val="27BF77CD"/>
    <w:rsid w:val="27C46B92"/>
    <w:rsid w:val="27C923FA"/>
    <w:rsid w:val="27D112AE"/>
    <w:rsid w:val="27D42639"/>
    <w:rsid w:val="27E94829"/>
    <w:rsid w:val="27F00B47"/>
    <w:rsid w:val="280434AE"/>
    <w:rsid w:val="281C077C"/>
    <w:rsid w:val="283E1F23"/>
    <w:rsid w:val="286E4D4F"/>
    <w:rsid w:val="287853A6"/>
    <w:rsid w:val="287E4F92"/>
    <w:rsid w:val="289B5D70"/>
    <w:rsid w:val="28A03867"/>
    <w:rsid w:val="28B06D37"/>
    <w:rsid w:val="28BC18CA"/>
    <w:rsid w:val="28BD1CAD"/>
    <w:rsid w:val="28BE1833"/>
    <w:rsid w:val="28BE4866"/>
    <w:rsid w:val="28C61EFC"/>
    <w:rsid w:val="28CC7870"/>
    <w:rsid w:val="28D177B8"/>
    <w:rsid w:val="28D2534E"/>
    <w:rsid w:val="28D9208C"/>
    <w:rsid w:val="28DB7F14"/>
    <w:rsid w:val="28E13773"/>
    <w:rsid w:val="28E769BA"/>
    <w:rsid w:val="28F61252"/>
    <w:rsid w:val="29057462"/>
    <w:rsid w:val="29206EB8"/>
    <w:rsid w:val="292D0766"/>
    <w:rsid w:val="29327D3A"/>
    <w:rsid w:val="29360025"/>
    <w:rsid w:val="29397559"/>
    <w:rsid w:val="293B7327"/>
    <w:rsid w:val="293F78EA"/>
    <w:rsid w:val="29420625"/>
    <w:rsid w:val="294361DC"/>
    <w:rsid w:val="29595666"/>
    <w:rsid w:val="296248B4"/>
    <w:rsid w:val="297E6DDE"/>
    <w:rsid w:val="29874881"/>
    <w:rsid w:val="29897765"/>
    <w:rsid w:val="29925FC3"/>
    <w:rsid w:val="299A404E"/>
    <w:rsid w:val="29A529F3"/>
    <w:rsid w:val="29BF3AB4"/>
    <w:rsid w:val="29D36DD3"/>
    <w:rsid w:val="29D8769C"/>
    <w:rsid w:val="29D96B86"/>
    <w:rsid w:val="29E325E0"/>
    <w:rsid w:val="2A0B4F4C"/>
    <w:rsid w:val="2A0D0CC4"/>
    <w:rsid w:val="2A0E6DF7"/>
    <w:rsid w:val="2A1060BE"/>
    <w:rsid w:val="2A14198E"/>
    <w:rsid w:val="2A141C7C"/>
    <w:rsid w:val="2A2A36FF"/>
    <w:rsid w:val="2A327284"/>
    <w:rsid w:val="2A452503"/>
    <w:rsid w:val="2A845E7D"/>
    <w:rsid w:val="2A8E3487"/>
    <w:rsid w:val="2A996104"/>
    <w:rsid w:val="2A9D65E3"/>
    <w:rsid w:val="2AA42CAA"/>
    <w:rsid w:val="2ABC1ECE"/>
    <w:rsid w:val="2AD96CF7"/>
    <w:rsid w:val="2AE5754B"/>
    <w:rsid w:val="2AEA0821"/>
    <w:rsid w:val="2AFC661B"/>
    <w:rsid w:val="2B0042DA"/>
    <w:rsid w:val="2B15463E"/>
    <w:rsid w:val="2B1B1697"/>
    <w:rsid w:val="2B20072F"/>
    <w:rsid w:val="2B201DCB"/>
    <w:rsid w:val="2B2636BF"/>
    <w:rsid w:val="2B27585F"/>
    <w:rsid w:val="2B3117D4"/>
    <w:rsid w:val="2B33475A"/>
    <w:rsid w:val="2B54647E"/>
    <w:rsid w:val="2B5826F8"/>
    <w:rsid w:val="2B5F5F83"/>
    <w:rsid w:val="2B60559F"/>
    <w:rsid w:val="2B6E4F01"/>
    <w:rsid w:val="2B940F71"/>
    <w:rsid w:val="2B943E0D"/>
    <w:rsid w:val="2BA7612C"/>
    <w:rsid w:val="2BA936A8"/>
    <w:rsid w:val="2BAF5BC0"/>
    <w:rsid w:val="2BB138D1"/>
    <w:rsid w:val="2BC25ADE"/>
    <w:rsid w:val="2BC64D25"/>
    <w:rsid w:val="2BDF75EF"/>
    <w:rsid w:val="2BFA66A9"/>
    <w:rsid w:val="2C054667"/>
    <w:rsid w:val="2C062724"/>
    <w:rsid w:val="2C0734F1"/>
    <w:rsid w:val="2C0B2FE1"/>
    <w:rsid w:val="2C1F4CDE"/>
    <w:rsid w:val="2C2A7F9E"/>
    <w:rsid w:val="2C2D5B23"/>
    <w:rsid w:val="2C315A5A"/>
    <w:rsid w:val="2C332DE9"/>
    <w:rsid w:val="2C3B319A"/>
    <w:rsid w:val="2C4B1C25"/>
    <w:rsid w:val="2C532973"/>
    <w:rsid w:val="2C770676"/>
    <w:rsid w:val="2C7A1F15"/>
    <w:rsid w:val="2C7C7A3B"/>
    <w:rsid w:val="2C892158"/>
    <w:rsid w:val="2C8A10D2"/>
    <w:rsid w:val="2CE06C79"/>
    <w:rsid w:val="2CEA499B"/>
    <w:rsid w:val="2CF57589"/>
    <w:rsid w:val="2CFB18D4"/>
    <w:rsid w:val="2CFF066C"/>
    <w:rsid w:val="2D007EFF"/>
    <w:rsid w:val="2D0668E8"/>
    <w:rsid w:val="2D0F4C2F"/>
    <w:rsid w:val="2D285F31"/>
    <w:rsid w:val="2D3011A1"/>
    <w:rsid w:val="2D3677C6"/>
    <w:rsid w:val="2D390414"/>
    <w:rsid w:val="2D3F5021"/>
    <w:rsid w:val="2D564730"/>
    <w:rsid w:val="2D621327"/>
    <w:rsid w:val="2D656721"/>
    <w:rsid w:val="2D7D4451"/>
    <w:rsid w:val="2D83304B"/>
    <w:rsid w:val="2D841C49"/>
    <w:rsid w:val="2D841E05"/>
    <w:rsid w:val="2D8F35A3"/>
    <w:rsid w:val="2D9E56F5"/>
    <w:rsid w:val="2DA92CED"/>
    <w:rsid w:val="2DBC4548"/>
    <w:rsid w:val="2DBF048A"/>
    <w:rsid w:val="2DBF44A4"/>
    <w:rsid w:val="2DC10716"/>
    <w:rsid w:val="2DC518B5"/>
    <w:rsid w:val="2DCB765C"/>
    <w:rsid w:val="2DCD32AD"/>
    <w:rsid w:val="2DCE076A"/>
    <w:rsid w:val="2DCF4E03"/>
    <w:rsid w:val="2DDA56F2"/>
    <w:rsid w:val="2DDF0A87"/>
    <w:rsid w:val="2DDF5C3D"/>
    <w:rsid w:val="2DE818AD"/>
    <w:rsid w:val="2DEF79AE"/>
    <w:rsid w:val="2DFE3618"/>
    <w:rsid w:val="2E057F04"/>
    <w:rsid w:val="2E0834DB"/>
    <w:rsid w:val="2E0C0E14"/>
    <w:rsid w:val="2E132621"/>
    <w:rsid w:val="2E156399"/>
    <w:rsid w:val="2E183592"/>
    <w:rsid w:val="2E31032F"/>
    <w:rsid w:val="2E3877F2"/>
    <w:rsid w:val="2E415DA3"/>
    <w:rsid w:val="2E57216D"/>
    <w:rsid w:val="2E6567B7"/>
    <w:rsid w:val="2E666BF4"/>
    <w:rsid w:val="2E667F96"/>
    <w:rsid w:val="2E6C7C3A"/>
    <w:rsid w:val="2E8226AB"/>
    <w:rsid w:val="2E9550BA"/>
    <w:rsid w:val="2EA119DB"/>
    <w:rsid w:val="2EB05E62"/>
    <w:rsid w:val="2EBE07DF"/>
    <w:rsid w:val="2EC0476E"/>
    <w:rsid w:val="2EC76F67"/>
    <w:rsid w:val="2ECA2844"/>
    <w:rsid w:val="2ECB2EFB"/>
    <w:rsid w:val="2EED4891"/>
    <w:rsid w:val="2EFC0022"/>
    <w:rsid w:val="2F0116F1"/>
    <w:rsid w:val="2F0D2315"/>
    <w:rsid w:val="2F1A40B6"/>
    <w:rsid w:val="2F3F2368"/>
    <w:rsid w:val="2F436F36"/>
    <w:rsid w:val="2F494C31"/>
    <w:rsid w:val="2F4B5DEA"/>
    <w:rsid w:val="2F6E3407"/>
    <w:rsid w:val="2F7401D4"/>
    <w:rsid w:val="2F874C33"/>
    <w:rsid w:val="2F9E416C"/>
    <w:rsid w:val="2FA32702"/>
    <w:rsid w:val="2FBB4D1E"/>
    <w:rsid w:val="2FC07BC7"/>
    <w:rsid w:val="2FC21CDF"/>
    <w:rsid w:val="2FCF7117"/>
    <w:rsid w:val="2FD065E6"/>
    <w:rsid w:val="2FD96870"/>
    <w:rsid w:val="2FE31AD2"/>
    <w:rsid w:val="2FE70FA2"/>
    <w:rsid w:val="2FEE6EA1"/>
    <w:rsid w:val="2FF048EF"/>
    <w:rsid w:val="2FF9238E"/>
    <w:rsid w:val="30047496"/>
    <w:rsid w:val="30156CB5"/>
    <w:rsid w:val="301F409E"/>
    <w:rsid w:val="302E11EA"/>
    <w:rsid w:val="302F3016"/>
    <w:rsid w:val="30317324"/>
    <w:rsid w:val="30344E34"/>
    <w:rsid w:val="303808D1"/>
    <w:rsid w:val="303A1E7B"/>
    <w:rsid w:val="30406FD1"/>
    <w:rsid w:val="30473040"/>
    <w:rsid w:val="304C5976"/>
    <w:rsid w:val="30580BC9"/>
    <w:rsid w:val="305B3E0B"/>
    <w:rsid w:val="306422DD"/>
    <w:rsid w:val="30692324"/>
    <w:rsid w:val="309061AB"/>
    <w:rsid w:val="30907F59"/>
    <w:rsid w:val="30A567B5"/>
    <w:rsid w:val="30B023A9"/>
    <w:rsid w:val="30CF789D"/>
    <w:rsid w:val="30DD7CA4"/>
    <w:rsid w:val="30E414CE"/>
    <w:rsid w:val="30E450F8"/>
    <w:rsid w:val="30EB0745"/>
    <w:rsid w:val="30F77FD8"/>
    <w:rsid w:val="30F83C67"/>
    <w:rsid w:val="30FF6E8C"/>
    <w:rsid w:val="31124D53"/>
    <w:rsid w:val="311A62C0"/>
    <w:rsid w:val="311E2ED7"/>
    <w:rsid w:val="312156E4"/>
    <w:rsid w:val="31222DDE"/>
    <w:rsid w:val="31265C52"/>
    <w:rsid w:val="312F5FAA"/>
    <w:rsid w:val="31376626"/>
    <w:rsid w:val="313A1C72"/>
    <w:rsid w:val="31444CA9"/>
    <w:rsid w:val="31492F71"/>
    <w:rsid w:val="315619EE"/>
    <w:rsid w:val="315C31DF"/>
    <w:rsid w:val="315C449C"/>
    <w:rsid w:val="3160503C"/>
    <w:rsid w:val="316546A8"/>
    <w:rsid w:val="31750EFD"/>
    <w:rsid w:val="31794E91"/>
    <w:rsid w:val="3187717E"/>
    <w:rsid w:val="31902471"/>
    <w:rsid w:val="31932A9B"/>
    <w:rsid w:val="319E6EDA"/>
    <w:rsid w:val="31A04D91"/>
    <w:rsid w:val="31A0546B"/>
    <w:rsid w:val="31A87524"/>
    <w:rsid w:val="31AB00BC"/>
    <w:rsid w:val="31AD6A0A"/>
    <w:rsid w:val="31B82709"/>
    <w:rsid w:val="31C756D3"/>
    <w:rsid w:val="31D015AE"/>
    <w:rsid w:val="31D05482"/>
    <w:rsid w:val="31F449E0"/>
    <w:rsid w:val="31FA7E55"/>
    <w:rsid w:val="321C6473"/>
    <w:rsid w:val="32400B34"/>
    <w:rsid w:val="3240775C"/>
    <w:rsid w:val="324B7C8E"/>
    <w:rsid w:val="324F1498"/>
    <w:rsid w:val="325356E2"/>
    <w:rsid w:val="32584AA6"/>
    <w:rsid w:val="328044C4"/>
    <w:rsid w:val="328B113D"/>
    <w:rsid w:val="329E6876"/>
    <w:rsid w:val="329F4483"/>
    <w:rsid w:val="32B44047"/>
    <w:rsid w:val="32BF0681"/>
    <w:rsid w:val="32C26397"/>
    <w:rsid w:val="32C30D18"/>
    <w:rsid w:val="32CC7242"/>
    <w:rsid w:val="32DC3FA7"/>
    <w:rsid w:val="32DE4292"/>
    <w:rsid w:val="32E12CEE"/>
    <w:rsid w:val="32E225C2"/>
    <w:rsid w:val="32EE73AD"/>
    <w:rsid w:val="32FD564D"/>
    <w:rsid w:val="33000EB7"/>
    <w:rsid w:val="331D27D5"/>
    <w:rsid w:val="33286902"/>
    <w:rsid w:val="333015F2"/>
    <w:rsid w:val="333C103F"/>
    <w:rsid w:val="33496032"/>
    <w:rsid w:val="334B6320"/>
    <w:rsid w:val="334D461D"/>
    <w:rsid w:val="33704071"/>
    <w:rsid w:val="3373210A"/>
    <w:rsid w:val="337F42B4"/>
    <w:rsid w:val="33922C06"/>
    <w:rsid w:val="33A361F5"/>
    <w:rsid w:val="33AE5DFB"/>
    <w:rsid w:val="33C543BD"/>
    <w:rsid w:val="33D210B2"/>
    <w:rsid w:val="33D934D4"/>
    <w:rsid w:val="33E07DA4"/>
    <w:rsid w:val="33E26BFC"/>
    <w:rsid w:val="33E74334"/>
    <w:rsid w:val="33EC005D"/>
    <w:rsid w:val="33FE2F6A"/>
    <w:rsid w:val="33FE78CF"/>
    <w:rsid w:val="340E07E5"/>
    <w:rsid w:val="34232E92"/>
    <w:rsid w:val="34235BF7"/>
    <w:rsid w:val="34237336"/>
    <w:rsid w:val="34284AC8"/>
    <w:rsid w:val="343D2712"/>
    <w:rsid w:val="34481F9A"/>
    <w:rsid w:val="34515453"/>
    <w:rsid w:val="346C65E7"/>
    <w:rsid w:val="34763D15"/>
    <w:rsid w:val="347F344A"/>
    <w:rsid w:val="347F4B73"/>
    <w:rsid w:val="34873898"/>
    <w:rsid w:val="34936269"/>
    <w:rsid w:val="34A511A6"/>
    <w:rsid w:val="34A55F9D"/>
    <w:rsid w:val="34B14EA3"/>
    <w:rsid w:val="34D1379B"/>
    <w:rsid w:val="34D36666"/>
    <w:rsid w:val="34D66156"/>
    <w:rsid w:val="34DC455C"/>
    <w:rsid w:val="34E268A9"/>
    <w:rsid w:val="34E90D6E"/>
    <w:rsid w:val="34F77052"/>
    <w:rsid w:val="350327A1"/>
    <w:rsid w:val="350B264D"/>
    <w:rsid w:val="350B4052"/>
    <w:rsid w:val="351135FF"/>
    <w:rsid w:val="351B1DBB"/>
    <w:rsid w:val="3527370A"/>
    <w:rsid w:val="3528253D"/>
    <w:rsid w:val="35373099"/>
    <w:rsid w:val="354B0D10"/>
    <w:rsid w:val="355B0E0A"/>
    <w:rsid w:val="358C5FA8"/>
    <w:rsid w:val="359135D4"/>
    <w:rsid w:val="35926521"/>
    <w:rsid w:val="359A53D6"/>
    <w:rsid w:val="359C2C35"/>
    <w:rsid w:val="35A818A1"/>
    <w:rsid w:val="35AA4F26"/>
    <w:rsid w:val="35AD5109"/>
    <w:rsid w:val="35B27D87"/>
    <w:rsid w:val="35C15DF1"/>
    <w:rsid w:val="35C44E12"/>
    <w:rsid w:val="35CA4616"/>
    <w:rsid w:val="35CE44E9"/>
    <w:rsid w:val="35D0583F"/>
    <w:rsid w:val="35D22DC1"/>
    <w:rsid w:val="35DA64E8"/>
    <w:rsid w:val="35DD57C3"/>
    <w:rsid w:val="35DE1766"/>
    <w:rsid w:val="35E17369"/>
    <w:rsid w:val="35E61C84"/>
    <w:rsid w:val="35F15F70"/>
    <w:rsid w:val="35FF2E9D"/>
    <w:rsid w:val="36074A7F"/>
    <w:rsid w:val="361333E2"/>
    <w:rsid w:val="36140CE4"/>
    <w:rsid w:val="36204F82"/>
    <w:rsid w:val="36306D9E"/>
    <w:rsid w:val="36346B32"/>
    <w:rsid w:val="364331F0"/>
    <w:rsid w:val="364C4922"/>
    <w:rsid w:val="365F5440"/>
    <w:rsid w:val="366213DA"/>
    <w:rsid w:val="367E39CA"/>
    <w:rsid w:val="3686422A"/>
    <w:rsid w:val="36895595"/>
    <w:rsid w:val="36923549"/>
    <w:rsid w:val="369B1405"/>
    <w:rsid w:val="369D6F2B"/>
    <w:rsid w:val="36A94964"/>
    <w:rsid w:val="36AB44F2"/>
    <w:rsid w:val="36AF19C0"/>
    <w:rsid w:val="36B75FBF"/>
    <w:rsid w:val="36BD0C45"/>
    <w:rsid w:val="36D32098"/>
    <w:rsid w:val="36D3462E"/>
    <w:rsid w:val="36D41C3E"/>
    <w:rsid w:val="36F15D67"/>
    <w:rsid w:val="37013EFD"/>
    <w:rsid w:val="37103BA1"/>
    <w:rsid w:val="371239CE"/>
    <w:rsid w:val="37166CDE"/>
    <w:rsid w:val="3731212D"/>
    <w:rsid w:val="373830F8"/>
    <w:rsid w:val="373862E4"/>
    <w:rsid w:val="374C04BE"/>
    <w:rsid w:val="374C5422"/>
    <w:rsid w:val="37577BC3"/>
    <w:rsid w:val="376824B7"/>
    <w:rsid w:val="37710AF9"/>
    <w:rsid w:val="377C6B24"/>
    <w:rsid w:val="377C7BE5"/>
    <w:rsid w:val="37826121"/>
    <w:rsid w:val="378E1DA7"/>
    <w:rsid w:val="37942857"/>
    <w:rsid w:val="37983B97"/>
    <w:rsid w:val="37B007D5"/>
    <w:rsid w:val="37B35D91"/>
    <w:rsid w:val="37E00298"/>
    <w:rsid w:val="37E66B23"/>
    <w:rsid w:val="37EF1EFB"/>
    <w:rsid w:val="37F232A7"/>
    <w:rsid w:val="37F50E80"/>
    <w:rsid w:val="38172D0E"/>
    <w:rsid w:val="3846005C"/>
    <w:rsid w:val="38623EEC"/>
    <w:rsid w:val="386245B8"/>
    <w:rsid w:val="38795776"/>
    <w:rsid w:val="387E6AA8"/>
    <w:rsid w:val="388C0A08"/>
    <w:rsid w:val="38A345A1"/>
    <w:rsid w:val="38B302F9"/>
    <w:rsid w:val="38BD06F9"/>
    <w:rsid w:val="38C642D9"/>
    <w:rsid w:val="38C73D77"/>
    <w:rsid w:val="38F06A35"/>
    <w:rsid w:val="38F12CD3"/>
    <w:rsid w:val="38F31788"/>
    <w:rsid w:val="38F6071E"/>
    <w:rsid w:val="38F834E7"/>
    <w:rsid w:val="38F94775"/>
    <w:rsid w:val="39072D82"/>
    <w:rsid w:val="390B58A6"/>
    <w:rsid w:val="39137979"/>
    <w:rsid w:val="392971ED"/>
    <w:rsid w:val="39325651"/>
    <w:rsid w:val="395D29A2"/>
    <w:rsid w:val="3963760F"/>
    <w:rsid w:val="39665CFB"/>
    <w:rsid w:val="39693A3D"/>
    <w:rsid w:val="396E2DF8"/>
    <w:rsid w:val="39783C80"/>
    <w:rsid w:val="397D02DA"/>
    <w:rsid w:val="398E0F23"/>
    <w:rsid w:val="39952A29"/>
    <w:rsid w:val="399A3B52"/>
    <w:rsid w:val="39B12DF8"/>
    <w:rsid w:val="39B27192"/>
    <w:rsid w:val="39B55FCF"/>
    <w:rsid w:val="39B8390C"/>
    <w:rsid w:val="39BD1693"/>
    <w:rsid w:val="39D028F0"/>
    <w:rsid w:val="39E540C6"/>
    <w:rsid w:val="39E76710"/>
    <w:rsid w:val="39EC2AE2"/>
    <w:rsid w:val="3A0E32A0"/>
    <w:rsid w:val="3A113CE5"/>
    <w:rsid w:val="3A127C30"/>
    <w:rsid w:val="3A181018"/>
    <w:rsid w:val="3A1C460B"/>
    <w:rsid w:val="3A221FB6"/>
    <w:rsid w:val="3A2B484E"/>
    <w:rsid w:val="3A3D5A7F"/>
    <w:rsid w:val="3A413270"/>
    <w:rsid w:val="3A5E7CCF"/>
    <w:rsid w:val="3A5F274A"/>
    <w:rsid w:val="3A6833F1"/>
    <w:rsid w:val="3A6A35C8"/>
    <w:rsid w:val="3A80103E"/>
    <w:rsid w:val="3A8334DB"/>
    <w:rsid w:val="3A872856"/>
    <w:rsid w:val="3A9B45AD"/>
    <w:rsid w:val="3AA43489"/>
    <w:rsid w:val="3AA71CF4"/>
    <w:rsid w:val="3AA7481D"/>
    <w:rsid w:val="3AC74EC7"/>
    <w:rsid w:val="3AD153F6"/>
    <w:rsid w:val="3AE53EB5"/>
    <w:rsid w:val="3AEC1B19"/>
    <w:rsid w:val="3AEE244B"/>
    <w:rsid w:val="3AF44699"/>
    <w:rsid w:val="3B05373E"/>
    <w:rsid w:val="3B1874C8"/>
    <w:rsid w:val="3B1F2605"/>
    <w:rsid w:val="3B205B35"/>
    <w:rsid w:val="3B223EA3"/>
    <w:rsid w:val="3B3763D1"/>
    <w:rsid w:val="3B4402BD"/>
    <w:rsid w:val="3B4E6A46"/>
    <w:rsid w:val="3B5425F2"/>
    <w:rsid w:val="3B5824C6"/>
    <w:rsid w:val="3B5E2A01"/>
    <w:rsid w:val="3BB84F9B"/>
    <w:rsid w:val="3BB94CB3"/>
    <w:rsid w:val="3BC64871"/>
    <w:rsid w:val="3BC96A15"/>
    <w:rsid w:val="3BD333EF"/>
    <w:rsid w:val="3BEE0FE1"/>
    <w:rsid w:val="3BF825C8"/>
    <w:rsid w:val="3BFE6384"/>
    <w:rsid w:val="3C123F18"/>
    <w:rsid w:val="3C175F72"/>
    <w:rsid w:val="3C1D466B"/>
    <w:rsid w:val="3C1F3929"/>
    <w:rsid w:val="3C2F6E1E"/>
    <w:rsid w:val="3C3B131B"/>
    <w:rsid w:val="3C3C036E"/>
    <w:rsid w:val="3C3D6ABB"/>
    <w:rsid w:val="3C3F0A85"/>
    <w:rsid w:val="3C432ED8"/>
    <w:rsid w:val="3C4F64BA"/>
    <w:rsid w:val="3C4F6F1A"/>
    <w:rsid w:val="3C5062E7"/>
    <w:rsid w:val="3C552056"/>
    <w:rsid w:val="3C5F3E7A"/>
    <w:rsid w:val="3C6A14D0"/>
    <w:rsid w:val="3C745D85"/>
    <w:rsid w:val="3C88242C"/>
    <w:rsid w:val="3C8E413E"/>
    <w:rsid w:val="3C95293E"/>
    <w:rsid w:val="3CA134EE"/>
    <w:rsid w:val="3CA84C67"/>
    <w:rsid w:val="3CC547ED"/>
    <w:rsid w:val="3CCB25C2"/>
    <w:rsid w:val="3CCD66E9"/>
    <w:rsid w:val="3CCF005B"/>
    <w:rsid w:val="3CD231BF"/>
    <w:rsid w:val="3CD84794"/>
    <w:rsid w:val="3CDA245A"/>
    <w:rsid w:val="3CE134AF"/>
    <w:rsid w:val="3CEC4FBC"/>
    <w:rsid w:val="3CEF6007"/>
    <w:rsid w:val="3CF967CC"/>
    <w:rsid w:val="3D065C2B"/>
    <w:rsid w:val="3D121CF5"/>
    <w:rsid w:val="3D166483"/>
    <w:rsid w:val="3D180DC1"/>
    <w:rsid w:val="3D1E06B7"/>
    <w:rsid w:val="3D1E4221"/>
    <w:rsid w:val="3D337B49"/>
    <w:rsid w:val="3D347EBE"/>
    <w:rsid w:val="3D3728BA"/>
    <w:rsid w:val="3D4631D3"/>
    <w:rsid w:val="3D58468E"/>
    <w:rsid w:val="3D69400B"/>
    <w:rsid w:val="3D6D15F6"/>
    <w:rsid w:val="3D6D54FB"/>
    <w:rsid w:val="3D6E1622"/>
    <w:rsid w:val="3D6F788E"/>
    <w:rsid w:val="3D8141C5"/>
    <w:rsid w:val="3D956BAE"/>
    <w:rsid w:val="3DA212CB"/>
    <w:rsid w:val="3DA908AA"/>
    <w:rsid w:val="3DB35286"/>
    <w:rsid w:val="3DB54E99"/>
    <w:rsid w:val="3DCA047F"/>
    <w:rsid w:val="3DE23DBE"/>
    <w:rsid w:val="3DE95AF9"/>
    <w:rsid w:val="3DEC2546"/>
    <w:rsid w:val="3DFD29A6"/>
    <w:rsid w:val="3E2911C9"/>
    <w:rsid w:val="3E451A54"/>
    <w:rsid w:val="3E4547E4"/>
    <w:rsid w:val="3E5A3954"/>
    <w:rsid w:val="3E6B7393"/>
    <w:rsid w:val="3E75015E"/>
    <w:rsid w:val="3E8409D1"/>
    <w:rsid w:val="3E973728"/>
    <w:rsid w:val="3E974BA8"/>
    <w:rsid w:val="3EAB06D7"/>
    <w:rsid w:val="3EB92D70"/>
    <w:rsid w:val="3EBE0A60"/>
    <w:rsid w:val="3EC3739E"/>
    <w:rsid w:val="3EC67AD1"/>
    <w:rsid w:val="3EC7548D"/>
    <w:rsid w:val="3ECF4342"/>
    <w:rsid w:val="3ED874AC"/>
    <w:rsid w:val="3EDA0523"/>
    <w:rsid w:val="3EE25B4D"/>
    <w:rsid w:val="3EEB7200"/>
    <w:rsid w:val="3EEF263B"/>
    <w:rsid w:val="3EF70024"/>
    <w:rsid w:val="3F0538C0"/>
    <w:rsid w:val="3F11495A"/>
    <w:rsid w:val="3F1535BF"/>
    <w:rsid w:val="3F170D0C"/>
    <w:rsid w:val="3F226A58"/>
    <w:rsid w:val="3F2A2021"/>
    <w:rsid w:val="3F424B14"/>
    <w:rsid w:val="3F4C7741"/>
    <w:rsid w:val="3F4F7231"/>
    <w:rsid w:val="3F5004AB"/>
    <w:rsid w:val="3F76286E"/>
    <w:rsid w:val="3F7768F4"/>
    <w:rsid w:val="3F8B6DD8"/>
    <w:rsid w:val="3F8E6E01"/>
    <w:rsid w:val="3F9133A5"/>
    <w:rsid w:val="3F984734"/>
    <w:rsid w:val="3FB45881"/>
    <w:rsid w:val="3FB9703B"/>
    <w:rsid w:val="3FBA19D1"/>
    <w:rsid w:val="3FBD23EC"/>
    <w:rsid w:val="3FD41B98"/>
    <w:rsid w:val="3FDD38DB"/>
    <w:rsid w:val="3FEB29BB"/>
    <w:rsid w:val="3FEC1713"/>
    <w:rsid w:val="3FEE07F8"/>
    <w:rsid w:val="3FF5763E"/>
    <w:rsid w:val="3FF57DD8"/>
    <w:rsid w:val="3FFC3B34"/>
    <w:rsid w:val="4013025E"/>
    <w:rsid w:val="40137675"/>
    <w:rsid w:val="40152228"/>
    <w:rsid w:val="40161AFD"/>
    <w:rsid w:val="401A037E"/>
    <w:rsid w:val="402266F3"/>
    <w:rsid w:val="402D038F"/>
    <w:rsid w:val="40363E02"/>
    <w:rsid w:val="40427815"/>
    <w:rsid w:val="4048415B"/>
    <w:rsid w:val="40646D0C"/>
    <w:rsid w:val="40720BA9"/>
    <w:rsid w:val="40752CC7"/>
    <w:rsid w:val="407A6407"/>
    <w:rsid w:val="40814698"/>
    <w:rsid w:val="4081684F"/>
    <w:rsid w:val="40945F12"/>
    <w:rsid w:val="40A50B35"/>
    <w:rsid w:val="40B90E06"/>
    <w:rsid w:val="40C559FD"/>
    <w:rsid w:val="40C86198"/>
    <w:rsid w:val="40C90B3F"/>
    <w:rsid w:val="40E47132"/>
    <w:rsid w:val="40E6578E"/>
    <w:rsid w:val="40F76097"/>
    <w:rsid w:val="410302D3"/>
    <w:rsid w:val="41090EAF"/>
    <w:rsid w:val="41105ECF"/>
    <w:rsid w:val="41116A5C"/>
    <w:rsid w:val="411249BA"/>
    <w:rsid w:val="411C75E7"/>
    <w:rsid w:val="41284851"/>
    <w:rsid w:val="413B4F48"/>
    <w:rsid w:val="41483AFF"/>
    <w:rsid w:val="414D154E"/>
    <w:rsid w:val="41614FF9"/>
    <w:rsid w:val="41635215"/>
    <w:rsid w:val="417073D5"/>
    <w:rsid w:val="41874A60"/>
    <w:rsid w:val="41892EE4"/>
    <w:rsid w:val="418C651A"/>
    <w:rsid w:val="418E6B88"/>
    <w:rsid w:val="419173C3"/>
    <w:rsid w:val="41932BA9"/>
    <w:rsid w:val="41A12963"/>
    <w:rsid w:val="41A147FB"/>
    <w:rsid w:val="41B42CF0"/>
    <w:rsid w:val="41B700BE"/>
    <w:rsid w:val="41B9630E"/>
    <w:rsid w:val="41CC6917"/>
    <w:rsid w:val="41E304A9"/>
    <w:rsid w:val="41E81277"/>
    <w:rsid w:val="41EE4ADF"/>
    <w:rsid w:val="4200449D"/>
    <w:rsid w:val="42010CB6"/>
    <w:rsid w:val="42024A2E"/>
    <w:rsid w:val="421A1D78"/>
    <w:rsid w:val="42276243"/>
    <w:rsid w:val="423A3BCC"/>
    <w:rsid w:val="423C1CEE"/>
    <w:rsid w:val="4249134E"/>
    <w:rsid w:val="424E57D2"/>
    <w:rsid w:val="42517B30"/>
    <w:rsid w:val="425C62B7"/>
    <w:rsid w:val="425D477E"/>
    <w:rsid w:val="42621029"/>
    <w:rsid w:val="42671257"/>
    <w:rsid w:val="4267347F"/>
    <w:rsid w:val="42692286"/>
    <w:rsid w:val="42693E40"/>
    <w:rsid w:val="426C5C9A"/>
    <w:rsid w:val="427174BE"/>
    <w:rsid w:val="427A21B6"/>
    <w:rsid w:val="427C658F"/>
    <w:rsid w:val="428C5F04"/>
    <w:rsid w:val="428D02FD"/>
    <w:rsid w:val="42982C9D"/>
    <w:rsid w:val="429C3850"/>
    <w:rsid w:val="42A15FF5"/>
    <w:rsid w:val="42A868A9"/>
    <w:rsid w:val="42AE426E"/>
    <w:rsid w:val="42B26C49"/>
    <w:rsid w:val="42C01CC2"/>
    <w:rsid w:val="42C56F2E"/>
    <w:rsid w:val="42C90EBD"/>
    <w:rsid w:val="42D737C5"/>
    <w:rsid w:val="42DB1912"/>
    <w:rsid w:val="42E859D2"/>
    <w:rsid w:val="42E97422"/>
    <w:rsid w:val="42F26851"/>
    <w:rsid w:val="43066DF4"/>
    <w:rsid w:val="430A1D0C"/>
    <w:rsid w:val="430E2EA2"/>
    <w:rsid w:val="431A5E7E"/>
    <w:rsid w:val="43244531"/>
    <w:rsid w:val="432B58BF"/>
    <w:rsid w:val="433A6FE6"/>
    <w:rsid w:val="43480868"/>
    <w:rsid w:val="43490B5D"/>
    <w:rsid w:val="4350713C"/>
    <w:rsid w:val="43525542"/>
    <w:rsid w:val="4360054D"/>
    <w:rsid w:val="436653E0"/>
    <w:rsid w:val="43754D8C"/>
    <w:rsid w:val="437F1C44"/>
    <w:rsid w:val="43821597"/>
    <w:rsid w:val="438C45B0"/>
    <w:rsid w:val="43931DE2"/>
    <w:rsid w:val="43956476"/>
    <w:rsid w:val="439B2A45"/>
    <w:rsid w:val="439E42E3"/>
    <w:rsid w:val="43A23DD3"/>
    <w:rsid w:val="43AF029E"/>
    <w:rsid w:val="43AF5510"/>
    <w:rsid w:val="43B86CB7"/>
    <w:rsid w:val="43BA32AA"/>
    <w:rsid w:val="43C02485"/>
    <w:rsid w:val="43C045BC"/>
    <w:rsid w:val="43C26223"/>
    <w:rsid w:val="43C4431A"/>
    <w:rsid w:val="43E066F5"/>
    <w:rsid w:val="43E90031"/>
    <w:rsid w:val="43EF2D90"/>
    <w:rsid w:val="43F6411F"/>
    <w:rsid w:val="43F81C45"/>
    <w:rsid w:val="43FB34E3"/>
    <w:rsid w:val="43FD54AD"/>
    <w:rsid w:val="44064B1D"/>
    <w:rsid w:val="440A6DF3"/>
    <w:rsid w:val="440A7BCA"/>
    <w:rsid w:val="44177434"/>
    <w:rsid w:val="442C7B41"/>
    <w:rsid w:val="4439400C"/>
    <w:rsid w:val="444A0C1C"/>
    <w:rsid w:val="44624498"/>
    <w:rsid w:val="4464552C"/>
    <w:rsid w:val="44654E97"/>
    <w:rsid w:val="44676DCB"/>
    <w:rsid w:val="44687D42"/>
    <w:rsid w:val="447F2EB5"/>
    <w:rsid w:val="44986F84"/>
    <w:rsid w:val="44A21CDC"/>
    <w:rsid w:val="44A40300"/>
    <w:rsid w:val="44A45929"/>
    <w:rsid w:val="44A771C7"/>
    <w:rsid w:val="44A91191"/>
    <w:rsid w:val="44B30F50"/>
    <w:rsid w:val="44B6565C"/>
    <w:rsid w:val="44B951CC"/>
    <w:rsid w:val="44BF2763"/>
    <w:rsid w:val="44CD1324"/>
    <w:rsid w:val="44CD14E0"/>
    <w:rsid w:val="44D17E48"/>
    <w:rsid w:val="44E64298"/>
    <w:rsid w:val="44F20B0B"/>
    <w:rsid w:val="44FB62CC"/>
    <w:rsid w:val="44FC6117"/>
    <w:rsid w:val="45003F68"/>
    <w:rsid w:val="450B3BFA"/>
    <w:rsid w:val="452B429C"/>
    <w:rsid w:val="452E1696"/>
    <w:rsid w:val="452E5F4C"/>
    <w:rsid w:val="453C65D5"/>
    <w:rsid w:val="453E5D7D"/>
    <w:rsid w:val="453E7B22"/>
    <w:rsid w:val="45401AF6"/>
    <w:rsid w:val="455247B9"/>
    <w:rsid w:val="455E3D2A"/>
    <w:rsid w:val="45612018"/>
    <w:rsid w:val="456D6663"/>
    <w:rsid w:val="457252C3"/>
    <w:rsid w:val="457C68A6"/>
    <w:rsid w:val="458946E9"/>
    <w:rsid w:val="4592157C"/>
    <w:rsid w:val="459B4964"/>
    <w:rsid w:val="459F24FE"/>
    <w:rsid w:val="45A2455E"/>
    <w:rsid w:val="45A47C0E"/>
    <w:rsid w:val="45A8769B"/>
    <w:rsid w:val="45BC7BCE"/>
    <w:rsid w:val="45D772C6"/>
    <w:rsid w:val="45D82516"/>
    <w:rsid w:val="45DB181E"/>
    <w:rsid w:val="45EF12D2"/>
    <w:rsid w:val="45F11042"/>
    <w:rsid w:val="45FB6FE8"/>
    <w:rsid w:val="45FC590E"/>
    <w:rsid w:val="460102A4"/>
    <w:rsid w:val="46043140"/>
    <w:rsid w:val="461F05C4"/>
    <w:rsid w:val="46357180"/>
    <w:rsid w:val="46362AA7"/>
    <w:rsid w:val="463D43E9"/>
    <w:rsid w:val="463F4B05"/>
    <w:rsid w:val="4642364B"/>
    <w:rsid w:val="464630F9"/>
    <w:rsid w:val="464A3A20"/>
    <w:rsid w:val="46577FD6"/>
    <w:rsid w:val="465C0612"/>
    <w:rsid w:val="465F4215"/>
    <w:rsid w:val="46616C51"/>
    <w:rsid w:val="46646FBA"/>
    <w:rsid w:val="466704B9"/>
    <w:rsid w:val="467625C0"/>
    <w:rsid w:val="467A2DE5"/>
    <w:rsid w:val="467C6146"/>
    <w:rsid w:val="467D6655"/>
    <w:rsid w:val="46A22A74"/>
    <w:rsid w:val="46C85FE0"/>
    <w:rsid w:val="46D1677D"/>
    <w:rsid w:val="46D955A7"/>
    <w:rsid w:val="46DC154C"/>
    <w:rsid w:val="46E1294A"/>
    <w:rsid w:val="46F76236"/>
    <w:rsid w:val="4700173E"/>
    <w:rsid w:val="47133957"/>
    <w:rsid w:val="471843AC"/>
    <w:rsid w:val="472131D6"/>
    <w:rsid w:val="47226FD9"/>
    <w:rsid w:val="472745EF"/>
    <w:rsid w:val="472813E7"/>
    <w:rsid w:val="4732546E"/>
    <w:rsid w:val="47371FC7"/>
    <w:rsid w:val="47523035"/>
    <w:rsid w:val="475E2707"/>
    <w:rsid w:val="476615BC"/>
    <w:rsid w:val="476E6C0F"/>
    <w:rsid w:val="47727F60"/>
    <w:rsid w:val="4782309E"/>
    <w:rsid w:val="47947ED7"/>
    <w:rsid w:val="479C322F"/>
    <w:rsid w:val="47A07E0C"/>
    <w:rsid w:val="47A918D6"/>
    <w:rsid w:val="47AC6A02"/>
    <w:rsid w:val="47AF2F63"/>
    <w:rsid w:val="47B04E87"/>
    <w:rsid w:val="47B055D3"/>
    <w:rsid w:val="47BC11DC"/>
    <w:rsid w:val="47CD603E"/>
    <w:rsid w:val="47D66741"/>
    <w:rsid w:val="47E177E9"/>
    <w:rsid w:val="47F6331C"/>
    <w:rsid w:val="47FB61A8"/>
    <w:rsid w:val="480F3A01"/>
    <w:rsid w:val="48135B10"/>
    <w:rsid w:val="4816511D"/>
    <w:rsid w:val="48302E11"/>
    <w:rsid w:val="48593316"/>
    <w:rsid w:val="485A284D"/>
    <w:rsid w:val="485C3FDA"/>
    <w:rsid w:val="48654161"/>
    <w:rsid w:val="48677399"/>
    <w:rsid w:val="486E697A"/>
    <w:rsid w:val="4870272E"/>
    <w:rsid w:val="487F27C5"/>
    <w:rsid w:val="48873598"/>
    <w:rsid w:val="48934632"/>
    <w:rsid w:val="48937550"/>
    <w:rsid w:val="48A203D1"/>
    <w:rsid w:val="48AF37A3"/>
    <w:rsid w:val="48B60321"/>
    <w:rsid w:val="48C04F57"/>
    <w:rsid w:val="48C77E38"/>
    <w:rsid w:val="48D03190"/>
    <w:rsid w:val="48DC7235"/>
    <w:rsid w:val="48E72288"/>
    <w:rsid w:val="49005D67"/>
    <w:rsid w:val="4908232A"/>
    <w:rsid w:val="49121A25"/>
    <w:rsid w:val="49137521"/>
    <w:rsid w:val="491931AD"/>
    <w:rsid w:val="491D214E"/>
    <w:rsid w:val="49217DF9"/>
    <w:rsid w:val="4953791E"/>
    <w:rsid w:val="495B763E"/>
    <w:rsid w:val="49655D08"/>
    <w:rsid w:val="49675177"/>
    <w:rsid w:val="4970227E"/>
    <w:rsid w:val="49777AB0"/>
    <w:rsid w:val="497C2C57"/>
    <w:rsid w:val="498B45F0"/>
    <w:rsid w:val="499A7065"/>
    <w:rsid w:val="49A308A5"/>
    <w:rsid w:val="49B614D8"/>
    <w:rsid w:val="49C34AA3"/>
    <w:rsid w:val="49CA4084"/>
    <w:rsid w:val="49D67550"/>
    <w:rsid w:val="49DC7715"/>
    <w:rsid w:val="49E61421"/>
    <w:rsid w:val="49E82534"/>
    <w:rsid w:val="49EF3AEA"/>
    <w:rsid w:val="49F02845"/>
    <w:rsid w:val="4A023139"/>
    <w:rsid w:val="4A044E2E"/>
    <w:rsid w:val="4A08695A"/>
    <w:rsid w:val="4A0B01F8"/>
    <w:rsid w:val="4A0D3F70"/>
    <w:rsid w:val="4A1277D9"/>
    <w:rsid w:val="4A151CD4"/>
    <w:rsid w:val="4A1833B2"/>
    <w:rsid w:val="4A1D4142"/>
    <w:rsid w:val="4A1E7F2C"/>
    <w:rsid w:val="4A2319E6"/>
    <w:rsid w:val="4A286FFC"/>
    <w:rsid w:val="4A2F038B"/>
    <w:rsid w:val="4A331A02"/>
    <w:rsid w:val="4A34774F"/>
    <w:rsid w:val="4A3B45C8"/>
    <w:rsid w:val="4A3F40DE"/>
    <w:rsid w:val="4A464097"/>
    <w:rsid w:val="4A5D6CA6"/>
    <w:rsid w:val="4A5F26D2"/>
    <w:rsid w:val="4A5F7076"/>
    <w:rsid w:val="4A69564B"/>
    <w:rsid w:val="4A722FB2"/>
    <w:rsid w:val="4A7B537E"/>
    <w:rsid w:val="4A7B576F"/>
    <w:rsid w:val="4A7C3042"/>
    <w:rsid w:val="4A895743"/>
    <w:rsid w:val="4A9B4979"/>
    <w:rsid w:val="4A9F106C"/>
    <w:rsid w:val="4AB16FF2"/>
    <w:rsid w:val="4AB8212E"/>
    <w:rsid w:val="4ABA1349"/>
    <w:rsid w:val="4ACB40EE"/>
    <w:rsid w:val="4AD5299B"/>
    <w:rsid w:val="4AD71E7A"/>
    <w:rsid w:val="4AD815DD"/>
    <w:rsid w:val="4AF561A9"/>
    <w:rsid w:val="4AF97D49"/>
    <w:rsid w:val="4B03149F"/>
    <w:rsid w:val="4B09298A"/>
    <w:rsid w:val="4B0C247A"/>
    <w:rsid w:val="4B141254"/>
    <w:rsid w:val="4B1B6336"/>
    <w:rsid w:val="4B3043BA"/>
    <w:rsid w:val="4B32213E"/>
    <w:rsid w:val="4B3D55BF"/>
    <w:rsid w:val="4B410375"/>
    <w:rsid w:val="4B475260"/>
    <w:rsid w:val="4B4B4D50"/>
    <w:rsid w:val="4B6814DC"/>
    <w:rsid w:val="4B814374"/>
    <w:rsid w:val="4B8F4745"/>
    <w:rsid w:val="4BA206E8"/>
    <w:rsid w:val="4BA576D1"/>
    <w:rsid w:val="4BB723E6"/>
    <w:rsid w:val="4BD31422"/>
    <w:rsid w:val="4BD67618"/>
    <w:rsid w:val="4BDF193C"/>
    <w:rsid w:val="4BE211BA"/>
    <w:rsid w:val="4BEC5F10"/>
    <w:rsid w:val="4BFA22D2"/>
    <w:rsid w:val="4C001FDF"/>
    <w:rsid w:val="4C0F4D8B"/>
    <w:rsid w:val="4C1E7B16"/>
    <w:rsid w:val="4C1F0879"/>
    <w:rsid w:val="4C2552FB"/>
    <w:rsid w:val="4C257A37"/>
    <w:rsid w:val="4C2F3E99"/>
    <w:rsid w:val="4C4A0649"/>
    <w:rsid w:val="4C7363EE"/>
    <w:rsid w:val="4C7E5ECA"/>
    <w:rsid w:val="4C876AA5"/>
    <w:rsid w:val="4C89771F"/>
    <w:rsid w:val="4C984F9B"/>
    <w:rsid w:val="4C9F082B"/>
    <w:rsid w:val="4CA02851"/>
    <w:rsid w:val="4CB44B77"/>
    <w:rsid w:val="4CB70503"/>
    <w:rsid w:val="4CD669C1"/>
    <w:rsid w:val="4CE47978"/>
    <w:rsid w:val="4CED6C3F"/>
    <w:rsid w:val="4CF12322"/>
    <w:rsid w:val="4D025C37"/>
    <w:rsid w:val="4D057181"/>
    <w:rsid w:val="4D0E00FB"/>
    <w:rsid w:val="4D176606"/>
    <w:rsid w:val="4D1841C4"/>
    <w:rsid w:val="4D244F88"/>
    <w:rsid w:val="4D337FD9"/>
    <w:rsid w:val="4D3C7046"/>
    <w:rsid w:val="4D467EC5"/>
    <w:rsid w:val="4D4D15CB"/>
    <w:rsid w:val="4D592737"/>
    <w:rsid w:val="4D702A21"/>
    <w:rsid w:val="4D704AAA"/>
    <w:rsid w:val="4D732EA2"/>
    <w:rsid w:val="4D743CF7"/>
    <w:rsid w:val="4D822FF0"/>
    <w:rsid w:val="4D8D78A2"/>
    <w:rsid w:val="4D8E2B90"/>
    <w:rsid w:val="4D962288"/>
    <w:rsid w:val="4D9B0602"/>
    <w:rsid w:val="4D9C5D37"/>
    <w:rsid w:val="4DA218C8"/>
    <w:rsid w:val="4DAB1AD6"/>
    <w:rsid w:val="4DB2152F"/>
    <w:rsid w:val="4DC96400"/>
    <w:rsid w:val="4DCE1268"/>
    <w:rsid w:val="4DD74506"/>
    <w:rsid w:val="4DEC4FB0"/>
    <w:rsid w:val="4DFC0584"/>
    <w:rsid w:val="4E023BB8"/>
    <w:rsid w:val="4E075D8A"/>
    <w:rsid w:val="4E167C2A"/>
    <w:rsid w:val="4E2C74CE"/>
    <w:rsid w:val="4E2D4BE1"/>
    <w:rsid w:val="4E3715BC"/>
    <w:rsid w:val="4E3A7EA4"/>
    <w:rsid w:val="4E433DFC"/>
    <w:rsid w:val="4E487C6D"/>
    <w:rsid w:val="4E65467D"/>
    <w:rsid w:val="4E6A08AC"/>
    <w:rsid w:val="4E7F79AD"/>
    <w:rsid w:val="4E847DD5"/>
    <w:rsid w:val="4E8A4EED"/>
    <w:rsid w:val="4E992277"/>
    <w:rsid w:val="4E9E1D7C"/>
    <w:rsid w:val="4EA82D6F"/>
    <w:rsid w:val="4EBA10D5"/>
    <w:rsid w:val="4EBA414E"/>
    <w:rsid w:val="4EC00FAD"/>
    <w:rsid w:val="4EC13608"/>
    <w:rsid w:val="4EC75DF8"/>
    <w:rsid w:val="4ECA68D4"/>
    <w:rsid w:val="4ED225C5"/>
    <w:rsid w:val="4ED60DD5"/>
    <w:rsid w:val="4EE94503"/>
    <w:rsid w:val="4EF83441"/>
    <w:rsid w:val="4F1813ED"/>
    <w:rsid w:val="4F1A1903"/>
    <w:rsid w:val="4F1C652C"/>
    <w:rsid w:val="4F257D14"/>
    <w:rsid w:val="4F2B5DCC"/>
    <w:rsid w:val="4F361873"/>
    <w:rsid w:val="4F3673B2"/>
    <w:rsid w:val="4F3855EC"/>
    <w:rsid w:val="4F4026F2"/>
    <w:rsid w:val="4F4C4BA7"/>
    <w:rsid w:val="4F50502B"/>
    <w:rsid w:val="4F5166AD"/>
    <w:rsid w:val="4F5543EF"/>
    <w:rsid w:val="4F6C4422"/>
    <w:rsid w:val="4F6F7E52"/>
    <w:rsid w:val="4F7E27C6"/>
    <w:rsid w:val="4F802D99"/>
    <w:rsid w:val="4F806CC5"/>
    <w:rsid w:val="4F8E345D"/>
    <w:rsid w:val="4F917A81"/>
    <w:rsid w:val="4F9623C0"/>
    <w:rsid w:val="4F9843DC"/>
    <w:rsid w:val="4F9B0C73"/>
    <w:rsid w:val="4F9E1B00"/>
    <w:rsid w:val="4FA62E9D"/>
    <w:rsid w:val="4FB54E8E"/>
    <w:rsid w:val="4FBD195C"/>
    <w:rsid w:val="4FC62A8C"/>
    <w:rsid w:val="4FCB2904"/>
    <w:rsid w:val="4FE20F0D"/>
    <w:rsid w:val="4FE51552"/>
    <w:rsid w:val="4FF57AA3"/>
    <w:rsid w:val="4FF9121F"/>
    <w:rsid w:val="4FFF663D"/>
    <w:rsid w:val="500607F8"/>
    <w:rsid w:val="501037D7"/>
    <w:rsid w:val="50146059"/>
    <w:rsid w:val="501E106D"/>
    <w:rsid w:val="50343201"/>
    <w:rsid w:val="50377F99"/>
    <w:rsid w:val="50463F2F"/>
    <w:rsid w:val="50500847"/>
    <w:rsid w:val="50504C4B"/>
    <w:rsid w:val="505E043D"/>
    <w:rsid w:val="506272F9"/>
    <w:rsid w:val="50647BEF"/>
    <w:rsid w:val="50764612"/>
    <w:rsid w:val="507765E7"/>
    <w:rsid w:val="508B3E41"/>
    <w:rsid w:val="509176A9"/>
    <w:rsid w:val="509C191A"/>
    <w:rsid w:val="509C6E7C"/>
    <w:rsid w:val="50A53155"/>
    <w:rsid w:val="50AB003F"/>
    <w:rsid w:val="50D81F61"/>
    <w:rsid w:val="50FE0AB7"/>
    <w:rsid w:val="510016D1"/>
    <w:rsid w:val="510D550F"/>
    <w:rsid w:val="51121CFE"/>
    <w:rsid w:val="511E7984"/>
    <w:rsid w:val="514135E6"/>
    <w:rsid w:val="514A7858"/>
    <w:rsid w:val="514B3CFC"/>
    <w:rsid w:val="5162104E"/>
    <w:rsid w:val="51667837"/>
    <w:rsid w:val="516C39FA"/>
    <w:rsid w:val="516E231F"/>
    <w:rsid w:val="518014CC"/>
    <w:rsid w:val="51834F68"/>
    <w:rsid w:val="51956303"/>
    <w:rsid w:val="519626A2"/>
    <w:rsid w:val="51C13FBE"/>
    <w:rsid w:val="51C55131"/>
    <w:rsid w:val="51C652B9"/>
    <w:rsid w:val="51D72D57"/>
    <w:rsid w:val="51D90496"/>
    <w:rsid w:val="51E27A91"/>
    <w:rsid w:val="51E81A04"/>
    <w:rsid w:val="51EE28D9"/>
    <w:rsid w:val="51F256B9"/>
    <w:rsid w:val="51FD5718"/>
    <w:rsid w:val="5201004B"/>
    <w:rsid w:val="520342B7"/>
    <w:rsid w:val="52036EEE"/>
    <w:rsid w:val="52102850"/>
    <w:rsid w:val="52140592"/>
    <w:rsid w:val="52472FB7"/>
    <w:rsid w:val="52592449"/>
    <w:rsid w:val="52600D19"/>
    <w:rsid w:val="526F7E27"/>
    <w:rsid w:val="528154FB"/>
    <w:rsid w:val="5291754B"/>
    <w:rsid w:val="52985A48"/>
    <w:rsid w:val="52A15B9E"/>
    <w:rsid w:val="52A75420"/>
    <w:rsid w:val="52C35B14"/>
    <w:rsid w:val="52C84ED8"/>
    <w:rsid w:val="52DC2732"/>
    <w:rsid w:val="52E11882"/>
    <w:rsid w:val="52E7699A"/>
    <w:rsid w:val="52F67F66"/>
    <w:rsid w:val="52F92B46"/>
    <w:rsid w:val="52FC3DEA"/>
    <w:rsid w:val="530225C5"/>
    <w:rsid w:val="53034162"/>
    <w:rsid w:val="530B2C77"/>
    <w:rsid w:val="53426F62"/>
    <w:rsid w:val="53430783"/>
    <w:rsid w:val="534357B6"/>
    <w:rsid w:val="535B3F9E"/>
    <w:rsid w:val="537A489E"/>
    <w:rsid w:val="537F7C8D"/>
    <w:rsid w:val="538030BD"/>
    <w:rsid w:val="538B096B"/>
    <w:rsid w:val="538D7DE7"/>
    <w:rsid w:val="53927EB5"/>
    <w:rsid w:val="539A7BCF"/>
    <w:rsid w:val="53A039CC"/>
    <w:rsid w:val="53A1505A"/>
    <w:rsid w:val="53B462B4"/>
    <w:rsid w:val="53BC5EEF"/>
    <w:rsid w:val="53C438F2"/>
    <w:rsid w:val="53CF12BA"/>
    <w:rsid w:val="53D37FD9"/>
    <w:rsid w:val="54063E08"/>
    <w:rsid w:val="54071A30"/>
    <w:rsid w:val="541274AF"/>
    <w:rsid w:val="541334F8"/>
    <w:rsid w:val="541703D8"/>
    <w:rsid w:val="543437E8"/>
    <w:rsid w:val="544006AE"/>
    <w:rsid w:val="54457439"/>
    <w:rsid w:val="544752AB"/>
    <w:rsid w:val="545236F7"/>
    <w:rsid w:val="545505C1"/>
    <w:rsid w:val="545853DC"/>
    <w:rsid w:val="548209DA"/>
    <w:rsid w:val="5483279D"/>
    <w:rsid w:val="548459B6"/>
    <w:rsid w:val="548E58B9"/>
    <w:rsid w:val="5496745E"/>
    <w:rsid w:val="54993604"/>
    <w:rsid w:val="54A05FB3"/>
    <w:rsid w:val="54A14C0D"/>
    <w:rsid w:val="54B53708"/>
    <w:rsid w:val="54B81851"/>
    <w:rsid w:val="54D87DE5"/>
    <w:rsid w:val="54DC4C6B"/>
    <w:rsid w:val="54E970AC"/>
    <w:rsid w:val="54F73313"/>
    <w:rsid w:val="54F80955"/>
    <w:rsid w:val="5507618C"/>
    <w:rsid w:val="55077D40"/>
    <w:rsid w:val="55092506"/>
    <w:rsid w:val="55110DB9"/>
    <w:rsid w:val="55124B31"/>
    <w:rsid w:val="55232D59"/>
    <w:rsid w:val="55287EB0"/>
    <w:rsid w:val="553A331E"/>
    <w:rsid w:val="554C7A0F"/>
    <w:rsid w:val="555010F1"/>
    <w:rsid w:val="555170A7"/>
    <w:rsid w:val="55540E3D"/>
    <w:rsid w:val="556F53AB"/>
    <w:rsid w:val="557118C8"/>
    <w:rsid w:val="5579695E"/>
    <w:rsid w:val="557C6D43"/>
    <w:rsid w:val="5587107B"/>
    <w:rsid w:val="5587536D"/>
    <w:rsid w:val="559618F0"/>
    <w:rsid w:val="559B174B"/>
    <w:rsid w:val="559C4E62"/>
    <w:rsid w:val="559D089E"/>
    <w:rsid w:val="559D2048"/>
    <w:rsid w:val="559F4616"/>
    <w:rsid w:val="55A57753"/>
    <w:rsid w:val="55AD6C26"/>
    <w:rsid w:val="55C51BA3"/>
    <w:rsid w:val="55CA28B8"/>
    <w:rsid w:val="55CE0CF4"/>
    <w:rsid w:val="55CF368C"/>
    <w:rsid w:val="55D02A22"/>
    <w:rsid w:val="55D122F6"/>
    <w:rsid w:val="55DB024F"/>
    <w:rsid w:val="55DC6C16"/>
    <w:rsid w:val="55E9250B"/>
    <w:rsid w:val="55EB160A"/>
    <w:rsid w:val="55F11296"/>
    <w:rsid w:val="56044F6B"/>
    <w:rsid w:val="56050C0A"/>
    <w:rsid w:val="560E70A6"/>
    <w:rsid w:val="5623357B"/>
    <w:rsid w:val="562B38B1"/>
    <w:rsid w:val="562D523A"/>
    <w:rsid w:val="56325B45"/>
    <w:rsid w:val="564E1B99"/>
    <w:rsid w:val="565005FD"/>
    <w:rsid w:val="566067BB"/>
    <w:rsid w:val="567921FE"/>
    <w:rsid w:val="56811F6E"/>
    <w:rsid w:val="568B1FD5"/>
    <w:rsid w:val="56A1616C"/>
    <w:rsid w:val="56B22A9C"/>
    <w:rsid w:val="56B440F1"/>
    <w:rsid w:val="56B76EBC"/>
    <w:rsid w:val="56BE387B"/>
    <w:rsid w:val="56CD6663"/>
    <w:rsid w:val="56E66275"/>
    <w:rsid w:val="56EB388B"/>
    <w:rsid w:val="570109B9"/>
    <w:rsid w:val="571903F8"/>
    <w:rsid w:val="57193F55"/>
    <w:rsid w:val="572172AD"/>
    <w:rsid w:val="574662BA"/>
    <w:rsid w:val="575956A5"/>
    <w:rsid w:val="57601B83"/>
    <w:rsid w:val="57622EA9"/>
    <w:rsid w:val="57851D54"/>
    <w:rsid w:val="578B4632"/>
    <w:rsid w:val="57931F59"/>
    <w:rsid w:val="5794182D"/>
    <w:rsid w:val="579F68AE"/>
    <w:rsid w:val="57B14534"/>
    <w:rsid w:val="57B72A76"/>
    <w:rsid w:val="57BB500C"/>
    <w:rsid w:val="57C3426C"/>
    <w:rsid w:val="57C536FF"/>
    <w:rsid w:val="57CE11E3"/>
    <w:rsid w:val="57CE1F93"/>
    <w:rsid w:val="57D52571"/>
    <w:rsid w:val="57DD4A12"/>
    <w:rsid w:val="57F63403"/>
    <w:rsid w:val="57F861AF"/>
    <w:rsid w:val="58090325"/>
    <w:rsid w:val="580E17D2"/>
    <w:rsid w:val="580F2763"/>
    <w:rsid w:val="58145286"/>
    <w:rsid w:val="581B1CCB"/>
    <w:rsid w:val="58235392"/>
    <w:rsid w:val="58244A84"/>
    <w:rsid w:val="582B03E3"/>
    <w:rsid w:val="5838665C"/>
    <w:rsid w:val="583F3E8F"/>
    <w:rsid w:val="58403763"/>
    <w:rsid w:val="584F05EC"/>
    <w:rsid w:val="585D3D56"/>
    <w:rsid w:val="58690ACE"/>
    <w:rsid w:val="58733B38"/>
    <w:rsid w:val="58783461"/>
    <w:rsid w:val="588743D1"/>
    <w:rsid w:val="5887701A"/>
    <w:rsid w:val="58913FBE"/>
    <w:rsid w:val="58A91308"/>
    <w:rsid w:val="58AA2D6A"/>
    <w:rsid w:val="58AB69DF"/>
    <w:rsid w:val="58AD704A"/>
    <w:rsid w:val="58B77EC9"/>
    <w:rsid w:val="58BB4B29"/>
    <w:rsid w:val="58BC103B"/>
    <w:rsid w:val="58BE67C2"/>
    <w:rsid w:val="58C3061C"/>
    <w:rsid w:val="58C6010C"/>
    <w:rsid w:val="58C80D3E"/>
    <w:rsid w:val="58D45600"/>
    <w:rsid w:val="58D77C23"/>
    <w:rsid w:val="58DE4C1F"/>
    <w:rsid w:val="58DF2304"/>
    <w:rsid w:val="58E40592"/>
    <w:rsid w:val="5900361E"/>
    <w:rsid w:val="5934738B"/>
    <w:rsid w:val="593D1EEA"/>
    <w:rsid w:val="593E4146"/>
    <w:rsid w:val="59411541"/>
    <w:rsid w:val="5954428A"/>
    <w:rsid w:val="595E0345"/>
    <w:rsid w:val="597A6F02"/>
    <w:rsid w:val="597F40F3"/>
    <w:rsid w:val="598B4E15"/>
    <w:rsid w:val="598F04FE"/>
    <w:rsid w:val="59995821"/>
    <w:rsid w:val="599F6516"/>
    <w:rsid w:val="59A5418D"/>
    <w:rsid w:val="59C0439F"/>
    <w:rsid w:val="59C56616"/>
    <w:rsid w:val="59CA2904"/>
    <w:rsid w:val="59D32C97"/>
    <w:rsid w:val="59D65ACC"/>
    <w:rsid w:val="59E36A9C"/>
    <w:rsid w:val="59F51158"/>
    <w:rsid w:val="59F81AEC"/>
    <w:rsid w:val="59F93C12"/>
    <w:rsid w:val="59FB115D"/>
    <w:rsid w:val="5A0E1D6B"/>
    <w:rsid w:val="5A0E3A4F"/>
    <w:rsid w:val="5A1B6044"/>
    <w:rsid w:val="5A1E64AA"/>
    <w:rsid w:val="5A2055FA"/>
    <w:rsid w:val="5A251F53"/>
    <w:rsid w:val="5A285D45"/>
    <w:rsid w:val="5A355778"/>
    <w:rsid w:val="5A3910C8"/>
    <w:rsid w:val="5A3A5DE0"/>
    <w:rsid w:val="5A42686F"/>
    <w:rsid w:val="5A44475B"/>
    <w:rsid w:val="5A453B87"/>
    <w:rsid w:val="5A5B2A18"/>
    <w:rsid w:val="5A7A7400"/>
    <w:rsid w:val="5A873E0E"/>
    <w:rsid w:val="5A8C0EE1"/>
    <w:rsid w:val="5A8F4E91"/>
    <w:rsid w:val="5A946570"/>
    <w:rsid w:val="5AA93841"/>
    <w:rsid w:val="5AAD01B8"/>
    <w:rsid w:val="5AB3021C"/>
    <w:rsid w:val="5ABE2233"/>
    <w:rsid w:val="5AD01AF2"/>
    <w:rsid w:val="5AD33393"/>
    <w:rsid w:val="5AD703AE"/>
    <w:rsid w:val="5ADF53F4"/>
    <w:rsid w:val="5AE37293"/>
    <w:rsid w:val="5AE4500D"/>
    <w:rsid w:val="5AE65EC5"/>
    <w:rsid w:val="5AEC590E"/>
    <w:rsid w:val="5AF96577"/>
    <w:rsid w:val="5B0A4BEE"/>
    <w:rsid w:val="5B1900D7"/>
    <w:rsid w:val="5B20356A"/>
    <w:rsid w:val="5B254A66"/>
    <w:rsid w:val="5B410619"/>
    <w:rsid w:val="5B48305A"/>
    <w:rsid w:val="5B4D4929"/>
    <w:rsid w:val="5B5F03A4"/>
    <w:rsid w:val="5B7C0F56"/>
    <w:rsid w:val="5B863F21"/>
    <w:rsid w:val="5B8878FB"/>
    <w:rsid w:val="5B8A196B"/>
    <w:rsid w:val="5B8B207C"/>
    <w:rsid w:val="5B951068"/>
    <w:rsid w:val="5B9731F0"/>
    <w:rsid w:val="5B995C52"/>
    <w:rsid w:val="5B9A0D67"/>
    <w:rsid w:val="5BA67D81"/>
    <w:rsid w:val="5BAC74E4"/>
    <w:rsid w:val="5BC52978"/>
    <w:rsid w:val="5BCA586A"/>
    <w:rsid w:val="5BD963A8"/>
    <w:rsid w:val="5BDC5041"/>
    <w:rsid w:val="5BDF5D95"/>
    <w:rsid w:val="5BE106D2"/>
    <w:rsid w:val="5BE4164D"/>
    <w:rsid w:val="5BEF181F"/>
    <w:rsid w:val="5BFC62F2"/>
    <w:rsid w:val="5BFE7528"/>
    <w:rsid w:val="5C037EDF"/>
    <w:rsid w:val="5C0A1613"/>
    <w:rsid w:val="5C10714C"/>
    <w:rsid w:val="5C114548"/>
    <w:rsid w:val="5C1A0C76"/>
    <w:rsid w:val="5C292E8C"/>
    <w:rsid w:val="5C2B4434"/>
    <w:rsid w:val="5C2E5C34"/>
    <w:rsid w:val="5C3929A3"/>
    <w:rsid w:val="5C3E76F7"/>
    <w:rsid w:val="5C485C2B"/>
    <w:rsid w:val="5C522492"/>
    <w:rsid w:val="5C5477DD"/>
    <w:rsid w:val="5C85148E"/>
    <w:rsid w:val="5C8676E0"/>
    <w:rsid w:val="5C950492"/>
    <w:rsid w:val="5C952F0A"/>
    <w:rsid w:val="5C983B6D"/>
    <w:rsid w:val="5CA2679A"/>
    <w:rsid w:val="5CAB7369"/>
    <w:rsid w:val="5CCA02D4"/>
    <w:rsid w:val="5CCC1A69"/>
    <w:rsid w:val="5CCC562C"/>
    <w:rsid w:val="5CD32DF8"/>
    <w:rsid w:val="5CD54774"/>
    <w:rsid w:val="5CDA4186"/>
    <w:rsid w:val="5CE13766"/>
    <w:rsid w:val="5CE66F58"/>
    <w:rsid w:val="5CE74306"/>
    <w:rsid w:val="5CEC74C1"/>
    <w:rsid w:val="5CED0A69"/>
    <w:rsid w:val="5CF6052E"/>
    <w:rsid w:val="5CFC227F"/>
    <w:rsid w:val="5D040DB6"/>
    <w:rsid w:val="5D12082E"/>
    <w:rsid w:val="5D17210E"/>
    <w:rsid w:val="5D172CE4"/>
    <w:rsid w:val="5D1F0363"/>
    <w:rsid w:val="5D2D68A5"/>
    <w:rsid w:val="5D2E1FFE"/>
    <w:rsid w:val="5D3031BF"/>
    <w:rsid w:val="5D3F494F"/>
    <w:rsid w:val="5D417D61"/>
    <w:rsid w:val="5D5223EC"/>
    <w:rsid w:val="5D5C7C44"/>
    <w:rsid w:val="5D5E6B65"/>
    <w:rsid w:val="5D69550A"/>
    <w:rsid w:val="5D757A1A"/>
    <w:rsid w:val="5D9C58DF"/>
    <w:rsid w:val="5DC7154B"/>
    <w:rsid w:val="5DCC19C6"/>
    <w:rsid w:val="5DD010E5"/>
    <w:rsid w:val="5DDE1A54"/>
    <w:rsid w:val="5DF04D4E"/>
    <w:rsid w:val="5DF23751"/>
    <w:rsid w:val="5DF41277"/>
    <w:rsid w:val="5DFB4F94"/>
    <w:rsid w:val="5E03770C"/>
    <w:rsid w:val="5E2467F1"/>
    <w:rsid w:val="5E331DA0"/>
    <w:rsid w:val="5E355B65"/>
    <w:rsid w:val="5E3E0586"/>
    <w:rsid w:val="5E436CF3"/>
    <w:rsid w:val="5E437153"/>
    <w:rsid w:val="5E503A52"/>
    <w:rsid w:val="5E5835B4"/>
    <w:rsid w:val="5E6006BB"/>
    <w:rsid w:val="5E7B13E8"/>
    <w:rsid w:val="5E82439A"/>
    <w:rsid w:val="5E884785"/>
    <w:rsid w:val="5E8F0FA0"/>
    <w:rsid w:val="5E9253EF"/>
    <w:rsid w:val="5E9F265A"/>
    <w:rsid w:val="5EA06D09"/>
    <w:rsid w:val="5EA462AD"/>
    <w:rsid w:val="5EAB5E7A"/>
    <w:rsid w:val="5EC647D8"/>
    <w:rsid w:val="5EF95742"/>
    <w:rsid w:val="5F01512C"/>
    <w:rsid w:val="5F0B0627"/>
    <w:rsid w:val="5F1A2B43"/>
    <w:rsid w:val="5F3538F6"/>
    <w:rsid w:val="5F3D09FC"/>
    <w:rsid w:val="5F4973A1"/>
    <w:rsid w:val="5F516582"/>
    <w:rsid w:val="5F5B0DAC"/>
    <w:rsid w:val="5F6B7317"/>
    <w:rsid w:val="5F7C16CC"/>
    <w:rsid w:val="5F8505F3"/>
    <w:rsid w:val="5F85487D"/>
    <w:rsid w:val="5F8569E7"/>
    <w:rsid w:val="5F942D12"/>
    <w:rsid w:val="5F9A439C"/>
    <w:rsid w:val="5FB01A98"/>
    <w:rsid w:val="5FB837BB"/>
    <w:rsid w:val="5FBF1254"/>
    <w:rsid w:val="5FCA6F16"/>
    <w:rsid w:val="5FD1099A"/>
    <w:rsid w:val="5FE4471A"/>
    <w:rsid w:val="5FE954A9"/>
    <w:rsid w:val="601169AB"/>
    <w:rsid w:val="601E4073"/>
    <w:rsid w:val="60251BBC"/>
    <w:rsid w:val="60407A8C"/>
    <w:rsid w:val="604116B2"/>
    <w:rsid w:val="60432042"/>
    <w:rsid w:val="60477D84"/>
    <w:rsid w:val="604E1113"/>
    <w:rsid w:val="605B3830"/>
    <w:rsid w:val="606075FB"/>
    <w:rsid w:val="60762418"/>
    <w:rsid w:val="608025D5"/>
    <w:rsid w:val="608A3879"/>
    <w:rsid w:val="608C7796"/>
    <w:rsid w:val="6099620C"/>
    <w:rsid w:val="60A46F85"/>
    <w:rsid w:val="60A70B9F"/>
    <w:rsid w:val="60A83C68"/>
    <w:rsid w:val="60AC7409"/>
    <w:rsid w:val="60BA0556"/>
    <w:rsid w:val="60C55510"/>
    <w:rsid w:val="60CC405A"/>
    <w:rsid w:val="60CF2103"/>
    <w:rsid w:val="60D13AF2"/>
    <w:rsid w:val="60D84E80"/>
    <w:rsid w:val="60DB7F4B"/>
    <w:rsid w:val="60E530F9"/>
    <w:rsid w:val="60E94998"/>
    <w:rsid w:val="60EE607D"/>
    <w:rsid w:val="61083ED4"/>
    <w:rsid w:val="61187487"/>
    <w:rsid w:val="61306A6A"/>
    <w:rsid w:val="613C71BD"/>
    <w:rsid w:val="61446072"/>
    <w:rsid w:val="61642270"/>
    <w:rsid w:val="616C3E03"/>
    <w:rsid w:val="616E7593"/>
    <w:rsid w:val="616F1203"/>
    <w:rsid w:val="617D3BD7"/>
    <w:rsid w:val="6193125E"/>
    <w:rsid w:val="61BD395C"/>
    <w:rsid w:val="61CD72F7"/>
    <w:rsid w:val="61DA1DD4"/>
    <w:rsid w:val="61DC274E"/>
    <w:rsid w:val="61E215D8"/>
    <w:rsid w:val="61E31941"/>
    <w:rsid w:val="61E70572"/>
    <w:rsid w:val="61F555BE"/>
    <w:rsid w:val="6211064A"/>
    <w:rsid w:val="621243C2"/>
    <w:rsid w:val="62164440"/>
    <w:rsid w:val="621B3775"/>
    <w:rsid w:val="62255346"/>
    <w:rsid w:val="62255EA3"/>
    <w:rsid w:val="623455D9"/>
    <w:rsid w:val="62364782"/>
    <w:rsid w:val="62391C3D"/>
    <w:rsid w:val="624327CD"/>
    <w:rsid w:val="624B3710"/>
    <w:rsid w:val="6252745B"/>
    <w:rsid w:val="6269729D"/>
    <w:rsid w:val="62777BAC"/>
    <w:rsid w:val="628A21AA"/>
    <w:rsid w:val="62900B42"/>
    <w:rsid w:val="629578F8"/>
    <w:rsid w:val="62A52B40"/>
    <w:rsid w:val="62A6083E"/>
    <w:rsid w:val="62A96AD4"/>
    <w:rsid w:val="62B02BF5"/>
    <w:rsid w:val="62C21944"/>
    <w:rsid w:val="62C25C0C"/>
    <w:rsid w:val="62CA6A4B"/>
    <w:rsid w:val="62CC58A4"/>
    <w:rsid w:val="62CD0900"/>
    <w:rsid w:val="62D274D3"/>
    <w:rsid w:val="62D65C67"/>
    <w:rsid w:val="62E01743"/>
    <w:rsid w:val="62F27950"/>
    <w:rsid w:val="62F35FA1"/>
    <w:rsid w:val="62FB30A8"/>
    <w:rsid w:val="62FD297C"/>
    <w:rsid w:val="630261E5"/>
    <w:rsid w:val="630860AF"/>
    <w:rsid w:val="63115109"/>
    <w:rsid w:val="63155F18"/>
    <w:rsid w:val="631E3286"/>
    <w:rsid w:val="632E6FDA"/>
    <w:rsid w:val="63350368"/>
    <w:rsid w:val="63424833"/>
    <w:rsid w:val="635A2216"/>
    <w:rsid w:val="63676048"/>
    <w:rsid w:val="638C0278"/>
    <w:rsid w:val="638E1826"/>
    <w:rsid w:val="638F3874"/>
    <w:rsid w:val="639332E1"/>
    <w:rsid w:val="6394356A"/>
    <w:rsid w:val="63AE1EC8"/>
    <w:rsid w:val="63C61B2C"/>
    <w:rsid w:val="63CE715B"/>
    <w:rsid w:val="63D05D79"/>
    <w:rsid w:val="63D3296D"/>
    <w:rsid w:val="63D40BE9"/>
    <w:rsid w:val="63EC71C4"/>
    <w:rsid w:val="63FA6EBC"/>
    <w:rsid w:val="64102431"/>
    <w:rsid w:val="641F4B74"/>
    <w:rsid w:val="642D54E3"/>
    <w:rsid w:val="64485E79"/>
    <w:rsid w:val="6451602C"/>
    <w:rsid w:val="64547BE1"/>
    <w:rsid w:val="6457357D"/>
    <w:rsid w:val="6470717E"/>
    <w:rsid w:val="647A412F"/>
    <w:rsid w:val="647E0F96"/>
    <w:rsid w:val="64A5243A"/>
    <w:rsid w:val="64B259E8"/>
    <w:rsid w:val="64D62320"/>
    <w:rsid w:val="64DB0A9B"/>
    <w:rsid w:val="64F531DE"/>
    <w:rsid w:val="65071890"/>
    <w:rsid w:val="650A312E"/>
    <w:rsid w:val="650E28AA"/>
    <w:rsid w:val="65180051"/>
    <w:rsid w:val="652C12F7"/>
    <w:rsid w:val="652E4E57"/>
    <w:rsid w:val="652F7267"/>
    <w:rsid w:val="65373578"/>
    <w:rsid w:val="65450B36"/>
    <w:rsid w:val="65474383"/>
    <w:rsid w:val="65533470"/>
    <w:rsid w:val="655D7702"/>
    <w:rsid w:val="655E27F5"/>
    <w:rsid w:val="65702D9F"/>
    <w:rsid w:val="65847385"/>
    <w:rsid w:val="658C3E64"/>
    <w:rsid w:val="65926B11"/>
    <w:rsid w:val="65982D92"/>
    <w:rsid w:val="65A11CE5"/>
    <w:rsid w:val="65B03099"/>
    <w:rsid w:val="65B302F4"/>
    <w:rsid w:val="65C52709"/>
    <w:rsid w:val="65CA2492"/>
    <w:rsid w:val="65CE37BB"/>
    <w:rsid w:val="65D236AC"/>
    <w:rsid w:val="65D5373C"/>
    <w:rsid w:val="65DD759E"/>
    <w:rsid w:val="65E67111"/>
    <w:rsid w:val="65F52031"/>
    <w:rsid w:val="65F75DA9"/>
    <w:rsid w:val="65FE0EE5"/>
    <w:rsid w:val="66015C2A"/>
    <w:rsid w:val="66050FA4"/>
    <w:rsid w:val="66070559"/>
    <w:rsid w:val="66083B12"/>
    <w:rsid w:val="660B219B"/>
    <w:rsid w:val="660F66C6"/>
    <w:rsid w:val="66115B15"/>
    <w:rsid w:val="66166346"/>
    <w:rsid w:val="66236B9E"/>
    <w:rsid w:val="662446C4"/>
    <w:rsid w:val="66263F98"/>
    <w:rsid w:val="662722CC"/>
    <w:rsid w:val="662E109F"/>
    <w:rsid w:val="662E6A91"/>
    <w:rsid w:val="663509CD"/>
    <w:rsid w:val="663E7BFC"/>
    <w:rsid w:val="664C10B1"/>
    <w:rsid w:val="66524D8D"/>
    <w:rsid w:val="66527BAE"/>
    <w:rsid w:val="66681F38"/>
    <w:rsid w:val="666E53D5"/>
    <w:rsid w:val="6671017C"/>
    <w:rsid w:val="6672404B"/>
    <w:rsid w:val="66772A46"/>
    <w:rsid w:val="66854974"/>
    <w:rsid w:val="668569F0"/>
    <w:rsid w:val="66960057"/>
    <w:rsid w:val="669C425A"/>
    <w:rsid w:val="669D3EFF"/>
    <w:rsid w:val="66A001EE"/>
    <w:rsid w:val="66B028AC"/>
    <w:rsid w:val="66CC2AA0"/>
    <w:rsid w:val="66CF71E6"/>
    <w:rsid w:val="66D53031"/>
    <w:rsid w:val="66E0683D"/>
    <w:rsid w:val="66E45613"/>
    <w:rsid w:val="66F347C2"/>
    <w:rsid w:val="670D457F"/>
    <w:rsid w:val="671F124A"/>
    <w:rsid w:val="671F324F"/>
    <w:rsid w:val="67254250"/>
    <w:rsid w:val="67567318"/>
    <w:rsid w:val="675D1366"/>
    <w:rsid w:val="676238CB"/>
    <w:rsid w:val="67650F43"/>
    <w:rsid w:val="67753429"/>
    <w:rsid w:val="67762CFD"/>
    <w:rsid w:val="677A33C6"/>
    <w:rsid w:val="67874F0A"/>
    <w:rsid w:val="67896E75"/>
    <w:rsid w:val="678C73B0"/>
    <w:rsid w:val="67A557D8"/>
    <w:rsid w:val="67AB0BF9"/>
    <w:rsid w:val="67AC4971"/>
    <w:rsid w:val="67B0620F"/>
    <w:rsid w:val="67BA708E"/>
    <w:rsid w:val="67BF28F6"/>
    <w:rsid w:val="67C023A9"/>
    <w:rsid w:val="67C717AB"/>
    <w:rsid w:val="67CF5D1C"/>
    <w:rsid w:val="67D10C3D"/>
    <w:rsid w:val="67D30A5C"/>
    <w:rsid w:val="67E45EB9"/>
    <w:rsid w:val="67E461F3"/>
    <w:rsid w:val="67E501F3"/>
    <w:rsid w:val="67E660D5"/>
    <w:rsid w:val="67EC5B39"/>
    <w:rsid w:val="67FC1489"/>
    <w:rsid w:val="680E1188"/>
    <w:rsid w:val="6817003C"/>
    <w:rsid w:val="681F15E7"/>
    <w:rsid w:val="681F6961"/>
    <w:rsid w:val="682254AB"/>
    <w:rsid w:val="68257787"/>
    <w:rsid w:val="682D3D04"/>
    <w:rsid w:val="6833510C"/>
    <w:rsid w:val="68376930"/>
    <w:rsid w:val="684400AB"/>
    <w:rsid w:val="684A23F5"/>
    <w:rsid w:val="685A5F31"/>
    <w:rsid w:val="68610A2F"/>
    <w:rsid w:val="68616476"/>
    <w:rsid w:val="686750BD"/>
    <w:rsid w:val="686D3BAC"/>
    <w:rsid w:val="686F13BE"/>
    <w:rsid w:val="68776D2D"/>
    <w:rsid w:val="68805514"/>
    <w:rsid w:val="68833602"/>
    <w:rsid w:val="68877872"/>
    <w:rsid w:val="68931A82"/>
    <w:rsid w:val="68994EF5"/>
    <w:rsid w:val="68996B9C"/>
    <w:rsid w:val="689F0032"/>
    <w:rsid w:val="68A613C0"/>
    <w:rsid w:val="68AD09A1"/>
    <w:rsid w:val="68B07CE9"/>
    <w:rsid w:val="68B97345"/>
    <w:rsid w:val="68C91D38"/>
    <w:rsid w:val="68ED57A4"/>
    <w:rsid w:val="69012E9C"/>
    <w:rsid w:val="6903443B"/>
    <w:rsid w:val="690B56C7"/>
    <w:rsid w:val="6917406C"/>
    <w:rsid w:val="69316E2F"/>
    <w:rsid w:val="69417DFF"/>
    <w:rsid w:val="694A03B3"/>
    <w:rsid w:val="694E2071"/>
    <w:rsid w:val="69564B94"/>
    <w:rsid w:val="695A384D"/>
    <w:rsid w:val="695E105C"/>
    <w:rsid w:val="69692B1A"/>
    <w:rsid w:val="69763488"/>
    <w:rsid w:val="69766163"/>
    <w:rsid w:val="697A3B33"/>
    <w:rsid w:val="697D0698"/>
    <w:rsid w:val="69826F10"/>
    <w:rsid w:val="69851F0A"/>
    <w:rsid w:val="698D0712"/>
    <w:rsid w:val="69911DD0"/>
    <w:rsid w:val="69AF0748"/>
    <w:rsid w:val="69B10AAA"/>
    <w:rsid w:val="69BD4C13"/>
    <w:rsid w:val="69C47F64"/>
    <w:rsid w:val="69D34437"/>
    <w:rsid w:val="69D44760"/>
    <w:rsid w:val="69D56401"/>
    <w:rsid w:val="69D833F7"/>
    <w:rsid w:val="69DB32BB"/>
    <w:rsid w:val="69DC64AE"/>
    <w:rsid w:val="69DD7064"/>
    <w:rsid w:val="6A04384E"/>
    <w:rsid w:val="6A15630E"/>
    <w:rsid w:val="6A161C94"/>
    <w:rsid w:val="6A237CAB"/>
    <w:rsid w:val="6A242416"/>
    <w:rsid w:val="6A2B4273"/>
    <w:rsid w:val="6A366774"/>
    <w:rsid w:val="6A3C022E"/>
    <w:rsid w:val="6A4470E3"/>
    <w:rsid w:val="6A520EC7"/>
    <w:rsid w:val="6A521800"/>
    <w:rsid w:val="6A6D1720"/>
    <w:rsid w:val="6A6E4160"/>
    <w:rsid w:val="6A7C1D67"/>
    <w:rsid w:val="6A8B6AC0"/>
    <w:rsid w:val="6AA87672"/>
    <w:rsid w:val="6AA933A7"/>
    <w:rsid w:val="6AAF12F1"/>
    <w:rsid w:val="6AB02F49"/>
    <w:rsid w:val="6AB62858"/>
    <w:rsid w:val="6ABC3B4F"/>
    <w:rsid w:val="6AC7655C"/>
    <w:rsid w:val="6ACF4DB3"/>
    <w:rsid w:val="6AD32FFD"/>
    <w:rsid w:val="6ADD053A"/>
    <w:rsid w:val="6ADF6ABF"/>
    <w:rsid w:val="6AE82164"/>
    <w:rsid w:val="6AF62FD8"/>
    <w:rsid w:val="6AF87E20"/>
    <w:rsid w:val="6B0E5024"/>
    <w:rsid w:val="6B1A4B5B"/>
    <w:rsid w:val="6B1A792B"/>
    <w:rsid w:val="6B1B42E7"/>
    <w:rsid w:val="6B223373"/>
    <w:rsid w:val="6B2F7D93"/>
    <w:rsid w:val="6B322639"/>
    <w:rsid w:val="6B386A10"/>
    <w:rsid w:val="6B5415A7"/>
    <w:rsid w:val="6B66073E"/>
    <w:rsid w:val="6B686E01"/>
    <w:rsid w:val="6B7834E8"/>
    <w:rsid w:val="6B7B3C36"/>
    <w:rsid w:val="6BB32772"/>
    <w:rsid w:val="6BB34F40"/>
    <w:rsid w:val="6BDA1C3F"/>
    <w:rsid w:val="6BEB1F0C"/>
    <w:rsid w:val="6BF47D6A"/>
    <w:rsid w:val="6BFA012A"/>
    <w:rsid w:val="6C1142B1"/>
    <w:rsid w:val="6C2747F4"/>
    <w:rsid w:val="6C2F06A5"/>
    <w:rsid w:val="6C395560"/>
    <w:rsid w:val="6C3C753D"/>
    <w:rsid w:val="6C4B4B3C"/>
    <w:rsid w:val="6C636C38"/>
    <w:rsid w:val="6C6B6BA9"/>
    <w:rsid w:val="6C8E6D3B"/>
    <w:rsid w:val="6C8F06F2"/>
    <w:rsid w:val="6C976CDA"/>
    <w:rsid w:val="6C9E6F7E"/>
    <w:rsid w:val="6CBA7B30"/>
    <w:rsid w:val="6CC06985"/>
    <w:rsid w:val="6CC40AA2"/>
    <w:rsid w:val="6CC97B95"/>
    <w:rsid w:val="6CE26B37"/>
    <w:rsid w:val="6CE556DE"/>
    <w:rsid w:val="6CEB7CE9"/>
    <w:rsid w:val="6CF748E0"/>
    <w:rsid w:val="6CF92086"/>
    <w:rsid w:val="6CF941B4"/>
    <w:rsid w:val="6D0C025C"/>
    <w:rsid w:val="6D0F3525"/>
    <w:rsid w:val="6D1A54CE"/>
    <w:rsid w:val="6D201D79"/>
    <w:rsid w:val="6D243F5C"/>
    <w:rsid w:val="6D2867F4"/>
    <w:rsid w:val="6D3F0A57"/>
    <w:rsid w:val="6D4A3AB5"/>
    <w:rsid w:val="6D5B4E61"/>
    <w:rsid w:val="6D5B4E6F"/>
    <w:rsid w:val="6D5D0BE7"/>
    <w:rsid w:val="6D601FA8"/>
    <w:rsid w:val="6D605FE2"/>
    <w:rsid w:val="6D6D559D"/>
    <w:rsid w:val="6D6F26C8"/>
    <w:rsid w:val="6D897EAC"/>
    <w:rsid w:val="6D936168"/>
    <w:rsid w:val="6DA31E1B"/>
    <w:rsid w:val="6DA57E98"/>
    <w:rsid w:val="6DAA6FFA"/>
    <w:rsid w:val="6DB34098"/>
    <w:rsid w:val="6DB545B6"/>
    <w:rsid w:val="6DC1759E"/>
    <w:rsid w:val="6DD1576F"/>
    <w:rsid w:val="6DDC372A"/>
    <w:rsid w:val="6DE02FB4"/>
    <w:rsid w:val="6DF8036A"/>
    <w:rsid w:val="6E001D9C"/>
    <w:rsid w:val="6E032E11"/>
    <w:rsid w:val="6E0B551E"/>
    <w:rsid w:val="6E0D3967"/>
    <w:rsid w:val="6E10454B"/>
    <w:rsid w:val="6E105C5A"/>
    <w:rsid w:val="6E160D96"/>
    <w:rsid w:val="6E1A568D"/>
    <w:rsid w:val="6E201C15"/>
    <w:rsid w:val="6E3404E7"/>
    <w:rsid w:val="6E3A4A84"/>
    <w:rsid w:val="6E3B6A4F"/>
    <w:rsid w:val="6E514CED"/>
    <w:rsid w:val="6E5D5891"/>
    <w:rsid w:val="6E697118"/>
    <w:rsid w:val="6E8421A4"/>
    <w:rsid w:val="6E866231"/>
    <w:rsid w:val="6E900B48"/>
    <w:rsid w:val="6E97570D"/>
    <w:rsid w:val="6EB02F99"/>
    <w:rsid w:val="6EB563D5"/>
    <w:rsid w:val="6EBC36EB"/>
    <w:rsid w:val="6EC24A7A"/>
    <w:rsid w:val="6EC32206"/>
    <w:rsid w:val="6ECA7961"/>
    <w:rsid w:val="6ED24D1B"/>
    <w:rsid w:val="6ED44ED9"/>
    <w:rsid w:val="6ED92677"/>
    <w:rsid w:val="6EEA7AC9"/>
    <w:rsid w:val="6EF2710D"/>
    <w:rsid w:val="6EF36784"/>
    <w:rsid w:val="6EF83C2E"/>
    <w:rsid w:val="6EF90AB4"/>
    <w:rsid w:val="6EFC5145"/>
    <w:rsid w:val="6EFC7F8C"/>
    <w:rsid w:val="6EFF5A43"/>
    <w:rsid w:val="6F04040D"/>
    <w:rsid w:val="6F082D70"/>
    <w:rsid w:val="6F0F4773"/>
    <w:rsid w:val="6F225983"/>
    <w:rsid w:val="6F2814E0"/>
    <w:rsid w:val="6F375468"/>
    <w:rsid w:val="6F416FE4"/>
    <w:rsid w:val="6F4418DE"/>
    <w:rsid w:val="6F616041"/>
    <w:rsid w:val="6F662488"/>
    <w:rsid w:val="6F8D467E"/>
    <w:rsid w:val="6F984440"/>
    <w:rsid w:val="6F9B3B97"/>
    <w:rsid w:val="6FAA5C3A"/>
    <w:rsid w:val="6FAD74D8"/>
    <w:rsid w:val="6FB14B95"/>
    <w:rsid w:val="6FB645A0"/>
    <w:rsid w:val="6FBD3BBF"/>
    <w:rsid w:val="6FDA4360"/>
    <w:rsid w:val="6FDD6061"/>
    <w:rsid w:val="6FEB7EFB"/>
    <w:rsid w:val="6FEC1DAE"/>
    <w:rsid w:val="6FFC5590"/>
    <w:rsid w:val="700F1E05"/>
    <w:rsid w:val="70366B8A"/>
    <w:rsid w:val="704F233D"/>
    <w:rsid w:val="70671D7D"/>
    <w:rsid w:val="70673B2B"/>
    <w:rsid w:val="706D1DD0"/>
    <w:rsid w:val="706E27C9"/>
    <w:rsid w:val="707476B1"/>
    <w:rsid w:val="707D23AD"/>
    <w:rsid w:val="70856B87"/>
    <w:rsid w:val="708D1292"/>
    <w:rsid w:val="708E2D2C"/>
    <w:rsid w:val="70930B83"/>
    <w:rsid w:val="70A45F91"/>
    <w:rsid w:val="70CC10D4"/>
    <w:rsid w:val="70D527EE"/>
    <w:rsid w:val="70DA60AB"/>
    <w:rsid w:val="70E160FF"/>
    <w:rsid w:val="70E433CD"/>
    <w:rsid w:val="70E60EF4"/>
    <w:rsid w:val="70EB02B8"/>
    <w:rsid w:val="70F81C1E"/>
    <w:rsid w:val="71145A61"/>
    <w:rsid w:val="711F256C"/>
    <w:rsid w:val="711F3042"/>
    <w:rsid w:val="7120731A"/>
    <w:rsid w:val="712E4649"/>
    <w:rsid w:val="71347EB1"/>
    <w:rsid w:val="713B1FD5"/>
    <w:rsid w:val="713F3605"/>
    <w:rsid w:val="7142463B"/>
    <w:rsid w:val="71542301"/>
    <w:rsid w:val="715B5300"/>
    <w:rsid w:val="71682B5F"/>
    <w:rsid w:val="716A6C31"/>
    <w:rsid w:val="71864485"/>
    <w:rsid w:val="718C1A9B"/>
    <w:rsid w:val="718F6E95"/>
    <w:rsid w:val="71900E5F"/>
    <w:rsid w:val="719B0DF9"/>
    <w:rsid w:val="719E17CE"/>
    <w:rsid w:val="71B20DD6"/>
    <w:rsid w:val="71C01F3D"/>
    <w:rsid w:val="71C226B0"/>
    <w:rsid w:val="71C7695A"/>
    <w:rsid w:val="71D27F8A"/>
    <w:rsid w:val="71D60927"/>
    <w:rsid w:val="71EF202A"/>
    <w:rsid w:val="71F272E6"/>
    <w:rsid w:val="72031631"/>
    <w:rsid w:val="7217639C"/>
    <w:rsid w:val="723970DB"/>
    <w:rsid w:val="723A58A3"/>
    <w:rsid w:val="723F241B"/>
    <w:rsid w:val="7249798C"/>
    <w:rsid w:val="72553024"/>
    <w:rsid w:val="725620A9"/>
    <w:rsid w:val="725F0F5E"/>
    <w:rsid w:val="726763BE"/>
    <w:rsid w:val="726B5B54"/>
    <w:rsid w:val="727F03E4"/>
    <w:rsid w:val="72A2598E"/>
    <w:rsid w:val="72C2773E"/>
    <w:rsid w:val="72C60FDD"/>
    <w:rsid w:val="72CE2E3F"/>
    <w:rsid w:val="72D71013"/>
    <w:rsid w:val="72F237DE"/>
    <w:rsid w:val="72F316A6"/>
    <w:rsid w:val="72FF004B"/>
    <w:rsid w:val="73122968"/>
    <w:rsid w:val="73142912"/>
    <w:rsid w:val="73165394"/>
    <w:rsid w:val="731B00BA"/>
    <w:rsid w:val="731F20C0"/>
    <w:rsid w:val="731F5D5E"/>
    <w:rsid w:val="73214109"/>
    <w:rsid w:val="73217FC1"/>
    <w:rsid w:val="73465C7A"/>
    <w:rsid w:val="737D2D95"/>
    <w:rsid w:val="738A200A"/>
    <w:rsid w:val="738E13CF"/>
    <w:rsid w:val="73A051F4"/>
    <w:rsid w:val="73A664A3"/>
    <w:rsid w:val="73A82490"/>
    <w:rsid w:val="73AE5E19"/>
    <w:rsid w:val="73B40E35"/>
    <w:rsid w:val="73BC5F3C"/>
    <w:rsid w:val="73BD5FCC"/>
    <w:rsid w:val="73C51AD5"/>
    <w:rsid w:val="73C60B68"/>
    <w:rsid w:val="73CD1EF7"/>
    <w:rsid w:val="73DC282E"/>
    <w:rsid w:val="73E221E3"/>
    <w:rsid w:val="73E7745D"/>
    <w:rsid w:val="73EF4E87"/>
    <w:rsid w:val="73F12317"/>
    <w:rsid w:val="73F729C0"/>
    <w:rsid w:val="740653C2"/>
    <w:rsid w:val="74087741"/>
    <w:rsid w:val="74116287"/>
    <w:rsid w:val="741E793C"/>
    <w:rsid w:val="7425394E"/>
    <w:rsid w:val="743B48E6"/>
    <w:rsid w:val="74477336"/>
    <w:rsid w:val="74485A21"/>
    <w:rsid w:val="745E3944"/>
    <w:rsid w:val="745F3497"/>
    <w:rsid w:val="7472484C"/>
    <w:rsid w:val="7476433D"/>
    <w:rsid w:val="74832F17"/>
    <w:rsid w:val="748710B4"/>
    <w:rsid w:val="74897AC4"/>
    <w:rsid w:val="7490551B"/>
    <w:rsid w:val="74940C67"/>
    <w:rsid w:val="749855C5"/>
    <w:rsid w:val="749A61FE"/>
    <w:rsid w:val="74A633A2"/>
    <w:rsid w:val="74AA048A"/>
    <w:rsid w:val="74B16962"/>
    <w:rsid w:val="74BD640F"/>
    <w:rsid w:val="74C031EC"/>
    <w:rsid w:val="74C303AA"/>
    <w:rsid w:val="74D769FD"/>
    <w:rsid w:val="74DC4AE7"/>
    <w:rsid w:val="74DD616A"/>
    <w:rsid w:val="74E1473D"/>
    <w:rsid w:val="74E25E76"/>
    <w:rsid w:val="75041948"/>
    <w:rsid w:val="75137DDD"/>
    <w:rsid w:val="75147228"/>
    <w:rsid w:val="75157F74"/>
    <w:rsid w:val="75175B20"/>
    <w:rsid w:val="751C4108"/>
    <w:rsid w:val="7524023C"/>
    <w:rsid w:val="752A09AB"/>
    <w:rsid w:val="753F6E24"/>
    <w:rsid w:val="75472F86"/>
    <w:rsid w:val="75541369"/>
    <w:rsid w:val="75693EA1"/>
    <w:rsid w:val="757F5DE9"/>
    <w:rsid w:val="75982C92"/>
    <w:rsid w:val="75A03D67"/>
    <w:rsid w:val="75A17997"/>
    <w:rsid w:val="75AB6268"/>
    <w:rsid w:val="75C95AC1"/>
    <w:rsid w:val="75D118CE"/>
    <w:rsid w:val="75EA632B"/>
    <w:rsid w:val="760B4F58"/>
    <w:rsid w:val="761E3E53"/>
    <w:rsid w:val="7625426C"/>
    <w:rsid w:val="76293A02"/>
    <w:rsid w:val="762B1157"/>
    <w:rsid w:val="7635099D"/>
    <w:rsid w:val="7637790A"/>
    <w:rsid w:val="763E3AFC"/>
    <w:rsid w:val="76444EDF"/>
    <w:rsid w:val="764C17F9"/>
    <w:rsid w:val="767251C4"/>
    <w:rsid w:val="768E7E46"/>
    <w:rsid w:val="76A553AD"/>
    <w:rsid w:val="76AF3B36"/>
    <w:rsid w:val="76B13D52"/>
    <w:rsid w:val="76BA32CF"/>
    <w:rsid w:val="76CA4E14"/>
    <w:rsid w:val="76E45ED5"/>
    <w:rsid w:val="76EA2A45"/>
    <w:rsid w:val="77106CCA"/>
    <w:rsid w:val="7711110F"/>
    <w:rsid w:val="775B0C17"/>
    <w:rsid w:val="776808B4"/>
    <w:rsid w:val="77762421"/>
    <w:rsid w:val="77A613DD"/>
    <w:rsid w:val="77A80CB1"/>
    <w:rsid w:val="77B56B1F"/>
    <w:rsid w:val="77BC612E"/>
    <w:rsid w:val="77C44511"/>
    <w:rsid w:val="77D116A8"/>
    <w:rsid w:val="77D840DE"/>
    <w:rsid w:val="77E3618D"/>
    <w:rsid w:val="77F4117B"/>
    <w:rsid w:val="77FF1415"/>
    <w:rsid w:val="7803186B"/>
    <w:rsid w:val="780F09F4"/>
    <w:rsid w:val="78144598"/>
    <w:rsid w:val="781E37D3"/>
    <w:rsid w:val="78212811"/>
    <w:rsid w:val="782F656E"/>
    <w:rsid w:val="783622AD"/>
    <w:rsid w:val="7840538D"/>
    <w:rsid w:val="7848359A"/>
    <w:rsid w:val="784944B0"/>
    <w:rsid w:val="78536F8A"/>
    <w:rsid w:val="786264D7"/>
    <w:rsid w:val="78647A24"/>
    <w:rsid w:val="78662B2B"/>
    <w:rsid w:val="786F24EB"/>
    <w:rsid w:val="78770683"/>
    <w:rsid w:val="787C3EEC"/>
    <w:rsid w:val="78992AE6"/>
    <w:rsid w:val="789E20B4"/>
    <w:rsid w:val="78A90480"/>
    <w:rsid w:val="78AD0549"/>
    <w:rsid w:val="78B663C1"/>
    <w:rsid w:val="78C80EDF"/>
    <w:rsid w:val="78CC1E03"/>
    <w:rsid w:val="78D85E0F"/>
    <w:rsid w:val="78DA554A"/>
    <w:rsid w:val="78DB50B6"/>
    <w:rsid w:val="78EC1071"/>
    <w:rsid w:val="78FD64BC"/>
    <w:rsid w:val="79144124"/>
    <w:rsid w:val="791529B3"/>
    <w:rsid w:val="79346574"/>
    <w:rsid w:val="79507852"/>
    <w:rsid w:val="795E32FD"/>
    <w:rsid w:val="795F7A95"/>
    <w:rsid w:val="79620C77"/>
    <w:rsid w:val="796B0FCF"/>
    <w:rsid w:val="79724B96"/>
    <w:rsid w:val="79730DB9"/>
    <w:rsid w:val="797405C7"/>
    <w:rsid w:val="797A0365"/>
    <w:rsid w:val="797F3C93"/>
    <w:rsid w:val="798B26B7"/>
    <w:rsid w:val="79951709"/>
    <w:rsid w:val="79AB2CDA"/>
    <w:rsid w:val="79B10E72"/>
    <w:rsid w:val="79BC0A44"/>
    <w:rsid w:val="79C35635"/>
    <w:rsid w:val="79C773E8"/>
    <w:rsid w:val="79D446F2"/>
    <w:rsid w:val="79D51B05"/>
    <w:rsid w:val="79D61F74"/>
    <w:rsid w:val="79E104B0"/>
    <w:rsid w:val="7A092B86"/>
    <w:rsid w:val="7A0D4354"/>
    <w:rsid w:val="7A136D3C"/>
    <w:rsid w:val="7A1E087F"/>
    <w:rsid w:val="7A1E6FC3"/>
    <w:rsid w:val="7A2F7467"/>
    <w:rsid w:val="7A320D06"/>
    <w:rsid w:val="7A342CD0"/>
    <w:rsid w:val="7A364017"/>
    <w:rsid w:val="7A4128EC"/>
    <w:rsid w:val="7A432F13"/>
    <w:rsid w:val="7A47775E"/>
    <w:rsid w:val="7A4C2D4A"/>
    <w:rsid w:val="7A527CB8"/>
    <w:rsid w:val="7A5769BE"/>
    <w:rsid w:val="7A613494"/>
    <w:rsid w:val="7A6F064F"/>
    <w:rsid w:val="7A8265E1"/>
    <w:rsid w:val="7A880C3C"/>
    <w:rsid w:val="7A9E5209"/>
    <w:rsid w:val="7AB17A60"/>
    <w:rsid w:val="7AB45BBF"/>
    <w:rsid w:val="7AB64546"/>
    <w:rsid w:val="7AB72976"/>
    <w:rsid w:val="7AC34054"/>
    <w:rsid w:val="7AC35849"/>
    <w:rsid w:val="7AD36723"/>
    <w:rsid w:val="7AD623EF"/>
    <w:rsid w:val="7AE15F29"/>
    <w:rsid w:val="7AE75F94"/>
    <w:rsid w:val="7AEC1668"/>
    <w:rsid w:val="7AEC35AA"/>
    <w:rsid w:val="7AF01505"/>
    <w:rsid w:val="7AF95CC7"/>
    <w:rsid w:val="7B05641A"/>
    <w:rsid w:val="7B0A5D18"/>
    <w:rsid w:val="7B292961"/>
    <w:rsid w:val="7B2A40D3"/>
    <w:rsid w:val="7B2C2BE2"/>
    <w:rsid w:val="7B2D5DB9"/>
    <w:rsid w:val="7B2E453E"/>
    <w:rsid w:val="7B2F16E9"/>
    <w:rsid w:val="7B4827C9"/>
    <w:rsid w:val="7B542EFE"/>
    <w:rsid w:val="7B5C07A5"/>
    <w:rsid w:val="7B655A95"/>
    <w:rsid w:val="7B681079"/>
    <w:rsid w:val="7B686D42"/>
    <w:rsid w:val="7B7018CD"/>
    <w:rsid w:val="7B841746"/>
    <w:rsid w:val="7BA109FB"/>
    <w:rsid w:val="7BA466B6"/>
    <w:rsid w:val="7BA852D8"/>
    <w:rsid w:val="7BB53956"/>
    <w:rsid w:val="7BB773AE"/>
    <w:rsid w:val="7BB87930"/>
    <w:rsid w:val="7BBC11CF"/>
    <w:rsid w:val="7BC04ED5"/>
    <w:rsid w:val="7BCB1412"/>
    <w:rsid w:val="7BCD40FC"/>
    <w:rsid w:val="7BD55817"/>
    <w:rsid w:val="7BDA50CE"/>
    <w:rsid w:val="7BDC59F0"/>
    <w:rsid w:val="7BE20509"/>
    <w:rsid w:val="7BE67FFA"/>
    <w:rsid w:val="7BF51F46"/>
    <w:rsid w:val="7BFD3020"/>
    <w:rsid w:val="7C055D0C"/>
    <w:rsid w:val="7C067A08"/>
    <w:rsid w:val="7C09018C"/>
    <w:rsid w:val="7C0C7FCA"/>
    <w:rsid w:val="7C15268D"/>
    <w:rsid w:val="7C190FDC"/>
    <w:rsid w:val="7C1914FD"/>
    <w:rsid w:val="7C205E7E"/>
    <w:rsid w:val="7C217284"/>
    <w:rsid w:val="7C461AB7"/>
    <w:rsid w:val="7C483E7A"/>
    <w:rsid w:val="7C4F2043"/>
    <w:rsid w:val="7C5331B5"/>
    <w:rsid w:val="7C5A74C6"/>
    <w:rsid w:val="7C63164A"/>
    <w:rsid w:val="7C6C5AC7"/>
    <w:rsid w:val="7C731D5F"/>
    <w:rsid w:val="7C75551B"/>
    <w:rsid w:val="7C774159"/>
    <w:rsid w:val="7C785F7F"/>
    <w:rsid w:val="7C831CEC"/>
    <w:rsid w:val="7C99506C"/>
    <w:rsid w:val="7CA83501"/>
    <w:rsid w:val="7CAF663E"/>
    <w:rsid w:val="7CBE0F77"/>
    <w:rsid w:val="7CC6544B"/>
    <w:rsid w:val="7CCC6C55"/>
    <w:rsid w:val="7CDE6F23"/>
    <w:rsid w:val="7CE51337"/>
    <w:rsid w:val="7CF15B8F"/>
    <w:rsid w:val="7CFD1963"/>
    <w:rsid w:val="7D0239FF"/>
    <w:rsid w:val="7D085343"/>
    <w:rsid w:val="7D1069DF"/>
    <w:rsid w:val="7D3461CD"/>
    <w:rsid w:val="7D4D4326"/>
    <w:rsid w:val="7D5E0303"/>
    <w:rsid w:val="7D5E40CD"/>
    <w:rsid w:val="7D6D7FBA"/>
    <w:rsid w:val="7D6F784A"/>
    <w:rsid w:val="7D720398"/>
    <w:rsid w:val="7D736265"/>
    <w:rsid w:val="7D7A30EF"/>
    <w:rsid w:val="7D815D91"/>
    <w:rsid w:val="7D9D23AC"/>
    <w:rsid w:val="7DA27C62"/>
    <w:rsid w:val="7DB06B11"/>
    <w:rsid w:val="7DB14637"/>
    <w:rsid w:val="7DBB47ED"/>
    <w:rsid w:val="7DCD56F2"/>
    <w:rsid w:val="7DE74669"/>
    <w:rsid w:val="7DFA3729"/>
    <w:rsid w:val="7E073B4F"/>
    <w:rsid w:val="7E146306"/>
    <w:rsid w:val="7E1536A4"/>
    <w:rsid w:val="7E221091"/>
    <w:rsid w:val="7E226D6A"/>
    <w:rsid w:val="7E464D80"/>
    <w:rsid w:val="7E7A048A"/>
    <w:rsid w:val="7E7C69F3"/>
    <w:rsid w:val="7E7E6C0F"/>
    <w:rsid w:val="7E867872"/>
    <w:rsid w:val="7E950E8D"/>
    <w:rsid w:val="7EA32852"/>
    <w:rsid w:val="7EA61CC2"/>
    <w:rsid w:val="7EAF0906"/>
    <w:rsid w:val="7EAF557B"/>
    <w:rsid w:val="7EB33023"/>
    <w:rsid w:val="7EB50985"/>
    <w:rsid w:val="7ED755DB"/>
    <w:rsid w:val="7ED92098"/>
    <w:rsid w:val="7EE825B9"/>
    <w:rsid w:val="7EF51832"/>
    <w:rsid w:val="7F001CE7"/>
    <w:rsid w:val="7F0046EB"/>
    <w:rsid w:val="7F054C3B"/>
    <w:rsid w:val="7F1135E0"/>
    <w:rsid w:val="7F226E65"/>
    <w:rsid w:val="7F2A644F"/>
    <w:rsid w:val="7F2B3BC6"/>
    <w:rsid w:val="7F30384B"/>
    <w:rsid w:val="7F3177DE"/>
    <w:rsid w:val="7F435119"/>
    <w:rsid w:val="7F4D1610"/>
    <w:rsid w:val="7F7676A4"/>
    <w:rsid w:val="7F7F7033"/>
    <w:rsid w:val="7F8244DD"/>
    <w:rsid w:val="7F84487C"/>
    <w:rsid w:val="7F987D8A"/>
    <w:rsid w:val="7FA14B60"/>
    <w:rsid w:val="7FA3312E"/>
    <w:rsid w:val="7FD11958"/>
    <w:rsid w:val="7FE40CF4"/>
    <w:rsid w:val="7FE47E50"/>
    <w:rsid w:val="7FEF6824"/>
    <w:rsid w:val="7FF01447"/>
    <w:rsid w:val="7FFC0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qFormat="1" w:unhideWhenUsed="0" w:uiPriority="39" w:semiHidden="0" w:name="toc 1" w:locked="1"/>
    <w:lsdException w:qFormat="1" w:unhideWhenUsed="0" w:uiPriority="39" w:semiHidden="0" w:name="toc 2" w:locked="1"/>
    <w:lsdException w:qFormat="1" w:unhideWhenUsed="0" w:uiPriority="0" w:semiHidden="0" w:name="toc 3" w:locked="1"/>
    <w:lsdException w:uiPriority="0" w:name="toc 4" w:locked="1"/>
    <w:lsdException w:uiPriority="0" w:name="toc 5" w:locked="1"/>
    <w:lsdException w:uiPriority="0" w:name="toc 6" w:locked="1"/>
    <w:lsdException w:qFormat="1" w:unhideWhenUsed="0" w:uiPriority="0" w:name="toc 7" w:locked="1"/>
    <w:lsdException w:uiPriority="0" w:name="toc 8" w:locked="1"/>
    <w:lsdException w:uiPriority="0" w:name="toc 9" w:locked="1"/>
    <w:lsdException w:qFormat="1" w:unhideWhenUsed="0" w:uiPriority="0" w:semiHidden="0" w:name="Normal Indent" w:locked="1"/>
    <w:lsdException w:uiPriority="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ocked="1"/>
    <w:lsdException w:qFormat="1" w:unhideWhenUsed="0" w:uiPriority="0" w:semiHidden="0" w:name="caption" w:locked="1"/>
    <w:lsdException w:uiPriority="0" w:name="table of figures" w:locked="1"/>
    <w:lsdException w:uiPriority="0" w:name="envelope address" w:locked="1"/>
    <w:lsdException w:uiPriority="0" w:name="envelope return" w:locked="1"/>
    <w:lsdException w:uiPriority="0" w:name="footnote reference" w:locked="1"/>
    <w:lsdException w:qFormat="1" w:unhideWhenUsed="0" w:uiPriority="0" w:semiHidden="0" w:name="annotation reference"/>
    <w:lsdException w:uiPriority="0" w:name="line number" w:locked="1"/>
    <w:lsdException w:qFormat="1" w:unhideWhenUsed="0" w:uiPriority="0" w:semiHidden="0" w:name="page number" w:locked="1"/>
    <w:lsdException w:uiPriority="0" w:name="endnote reference" w:locked="1"/>
    <w:lsdException w:uiPriority="0" w:name="endnote text" w:locked="1"/>
    <w:lsdException w:qFormat="1" w:unhideWhenUsed="0" w:uiPriority="99" w:semiHidden="0" w:name="table of authorities" w:locked="1"/>
    <w:lsdException w:uiPriority="0" w:name="macro" w:locked="1"/>
    <w:lsdException w:uiPriority="0" w:name="toa heading" w:locked="1"/>
    <w:lsdException w:qFormat="1" w:unhideWhenUsed="0" w:uiPriority="0" w:semiHidden="0" w:name="List" w:locked="1"/>
    <w:lsdException w:unhideWhenUsed="0" w:uiPriority="0" w:semiHidden="0" w:name="List Bullet" w:locked="1"/>
    <w:lsdException w:uiPriority="0" w:name="List Number" w:locked="1"/>
    <w:lsdException w:uiPriority="0" w:name="List 2" w:locked="1"/>
    <w:lsdException w:qFormat="1" w:unhideWhenUsed="0" w:uiPriority="0" w:semiHidden="0" w:name="List 3" w:locked="1"/>
    <w:lsdException w:uiPriority="0" w:name="List 4" w:locked="1"/>
    <w:lsdException w:uiPriority="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ocked="1"/>
    <w:lsdException w:uiPriority="0" w:name="Closing" w:locked="1"/>
    <w:lsdException w:uiPriority="0" w:name="Signature" w:locked="1"/>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iPriority="0" w:name="Message Header" w:locked="1"/>
    <w:lsdException w:qFormat="1" w:unhideWhenUsed="0" w:uiPriority="0" w:semiHidden="0" w:name="Subtitle" w:locked="1"/>
    <w:lsdException w:uiPriority="0" w:name="Salutation" w:locked="1"/>
    <w:lsdException w:qFormat="1" w:unhideWhenUsed="0" w:uiPriority="0" w:semiHidden="0" w:name="Date"/>
    <w:lsdException w:uiPriority="0" w:name="Body Text First Indent" w:locked="1"/>
    <w:lsdException w:qFormat="1" w:unhideWhenUsed="0" w:uiPriority="0" w:semiHidden="0" w:name="Body Text First Indent 2" w:locked="1"/>
    <w:lsdException w:qFormat="1" w:unhideWhenUsed="0" w:uiPriority="0" w:semiHidden="0" w:name="Note Heading" w:locked="1"/>
    <w:lsdException w:uiPriority="0" w:name="Body Text 2" w:locked="1"/>
    <w:lsdException w:uiPriority="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iPriority="0" w:name="E-mail Signature" w:locked="1"/>
    <w:lsdException w:qFormat="1" w:unhideWhenUsed="0" w:uiPriority="0" w:semiHidden="0" w:name="Normal (Web)"/>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59"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5"/>
    <w:autoRedefine/>
    <w:qFormat/>
    <w:locked/>
    <w:uiPriority w:val="0"/>
    <w:pPr>
      <w:spacing w:before="100" w:beforeAutospacing="1" w:after="100" w:afterAutospacing="1"/>
      <w:jc w:val="left"/>
      <w:outlineLvl w:val="1"/>
    </w:pPr>
    <w:rPr>
      <w:rFonts w:hint="eastAsia" w:ascii="宋体" w:hAnsi="宋体"/>
      <w:b/>
      <w:bCs/>
      <w:kern w:val="0"/>
      <w:sz w:val="36"/>
      <w:szCs w:val="36"/>
    </w:rPr>
  </w:style>
  <w:style w:type="paragraph" w:styleId="6">
    <w:name w:val="heading 3"/>
    <w:basedOn w:val="1"/>
    <w:next w:val="1"/>
    <w:unhideWhenUsed/>
    <w:qFormat/>
    <w:locked/>
    <w:uiPriority w:val="0"/>
    <w:pPr>
      <w:keepNext/>
      <w:keepLines/>
      <w:numPr>
        <w:ilvl w:val="2"/>
        <w:numId w:val="1"/>
      </w:numPr>
      <w:tabs>
        <w:tab w:val="left" w:pos="210"/>
        <w:tab w:val="left" w:pos="420"/>
      </w:tabs>
      <w:spacing w:before="50" w:beforeLines="50" w:after="50" w:afterLines="50" w:line="400" w:lineRule="exact"/>
      <w:ind w:firstLineChars="0"/>
      <w:outlineLvl w:val="2"/>
    </w:pPr>
    <w:rPr>
      <w:rFonts w:ascii="Times New Roman" w:hAnsi="Times New Roman" w:eastAsia="黑体"/>
      <w:bCs/>
      <w:szCs w:val="32"/>
    </w:rPr>
  </w:style>
  <w:style w:type="paragraph" w:styleId="7">
    <w:name w:val="heading 4"/>
    <w:basedOn w:val="1"/>
    <w:next w:val="1"/>
    <w:autoRedefine/>
    <w:qFormat/>
    <w:locked/>
    <w:uiPriority w:val="0"/>
    <w:pPr>
      <w:spacing w:before="100" w:beforeAutospacing="1" w:after="100" w:afterAutospacing="1"/>
      <w:jc w:val="left"/>
      <w:outlineLvl w:val="3"/>
    </w:pPr>
    <w:rPr>
      <w:rFonts w:hint="eastAsia" w:ascii="宋体" w:hAnsi="宋体"/>
      <w:b/>
      <w:bCs/>
      <w:kern w:val="0"/>
      <w:sz w:val="24"/>
    </w:rPr>
  </w:style>
  <w:style w:type="character" w:default="1" w:styleId="33">
    <w:name w:val="Default Paragraph Font"/>
    <w:autoRedefine/>
    <w:semiHidden/>
    <w:unhideWhenUsed/>
    <w:qFormat/>
    <w:uiPriority w:val="1"/>
  </w:style>
  <w:style w:type="table" w:default="1" w:styleId="3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49"/>
    <w:autoRedefine/>
    <w:qFormat/>
    <w:uiPriority w:val="0"/>
    <w:pPr>
      <w:widowControl/>
      <w:snapToGrid w:val="0"/>
      <w:spacing w:before="60" w:after="160" w:line="259" w:lineRule="auto"/>
      <w:ind w:right="113"/>
    </w:pPr>
    <w:rPr>
      <w:kern w:val="0"/>
      <w:sz w:val="18"/>
      <w:szCs w:val="20"/>
    </w:rPr>
  </w:style>
  <w:style w:type="paragraph" w:styleId="5">
    <w:name w:val="Normal Indent"/>
    <w:basedOn w:val="1"/>
    <w:next w:val="1"/>
    <w:link w:val="47"/>
    <w:autoRedefine/>
    <w:qFormat/>
    <w:locked/>
    <w:uiPriority w:val="0"/>
    <w:pPr>
      <w:adjustRightInd w:val="0"/>
      <w:ind w:firstLine="420"/>
      <w:jc w:val="left"/>
    </w:pPr>
    <w:rPr>
      <w:bCs/>
      <w:sz w:val="24"/>
      <w:szCs w:val="20"/>
    </w:rPr>
  </w:style>
  <w:style w:type="paragraph" w:styleId="8">
    <w:name w:val="List 3"/>
    <w:basedOn w:val="1"/>
    <w:autoRedefine/>
    <w:qFormat/>
    <w:locked/>
    <w:uiPriority w:val="0"/>
    <w:pPr>
      <w:ind w:left="100" w:leftChars="400" w:hanging="200" w:hangingChars="200"/>
    </w:pPr>
  </w:style>
  <w:style w:type="paragraph" w:styleId="9">
    <w:name w:val="toc 7"/>
    <w:basedOn w:val="1"/>
    <w:next w:val="1"/>
    <w:autoRedefine/>
    <w:semiHidden/>
    <w:qFormat/>
    <w:locked/>
    <w:uiPriority w:val="0"/>
    <w:pPr>
      <w:spacing w:beforeLines="50" w:line="360" w:lineRule="auto"/>
      <w:jc w:val="center"/>
    </w:pPr>
    <w:rPr>
      <w:b/>
      <w:bCs/>
      <w:szCs w:val="18"/>
    </w:rPr>
  </w:style>
  <w:style w:type="paragraph" w:styleId="10">
    <w:name w:val="table of authorities"/>
    <w:basedOn w:val="1"/>
    <w:next w:val="1"/>
    <w:autoRedefine/>
    <w:qFormat/>
    <w:locked/>
    <w:uiPriority w:val="99"/>
    <w:pPr>
      <w:ind w:left="420" w:leftChars="200"/>
    </w:pPr>
    <w:rPr>
      <w:rFonts w:ascii="Calibri" w:hAnsi="Calibri"/>
    </w:rPr>
  </w:style>
  <w:style w:type="paragraph" w:styleId="11">
    <w:name w:val="Note Heading"/>
    <w:basedOn w:val="1"/>
    <w:next w:val="1"/>
    <w:qFormat/>
    <w:locked/>
    <w:uiPriority w:val="0"/>
    <w:pPr>
      <w:jc w:val="center"/>
    </w:pPr>
  </w:style>
  <w:style w:type="paragraph" w:styleId="12">
    <w:name w:val="caption"/>
    <w:basedOn w:val="1"/>
    <w:next w:val="1"/>
    <w:autoRedefine/>
    <w:qFormat/>
    <w:locked/>
    <w:uiPriority w:val="0"/>
    <w:rPr>
      <w:rFonts w:ascii="Calibri" w:hAnsi="Calibri" w:eastAsia="Cambria Math" w:cs="等线 Light"/>
      <w:sz w:val="20"/>
      <w:szCs w:val="20"/>
    </w:rPr>
  </w:style>
  <w:style w:type="paragraph" w:styleId="13">
    <w:name w:val="Document Map"/>
    <w:basedOn w:val="1"/>
    <w:link w:val="93"/>
    <w:autoRedefine/>
    <w:qFormat/>
    <w:locked/>
    <w:uiPriority w:val="0"/>
    <w:rPr>
      <w:rFonts w:ascii="宋体"/>
      <w:sz w:val="18"/>
      <w:szCs w:val="18"/>
    </w:rPr>
  </w:style>
  <w:style w:type="paragraph" w:styleId="14">
    <w:name w:val="annotation text"/>
    <w:basedOn w:val="1"/>
    <w:link w:val="48"/>
    <w:autoRedefine/>
    <w:semiHidden/>
    <w:qFormat/>
    <w:uiPriority w:val="0"/>
    <w:pPr>
      <w:jc w:val="center"/>
    </w:pPr>
    <w:rPr>
      <w:kern w:val="0"/>
      <w:szCs w:val="21"/>
    </w:rPr>
  </w:style>
  <w:style w:type="paragraph" w:styleId="15">
    <w:name w:val="Body Text Indent"/>
    <w:basedOn w:val="1"/>
    <w:link w:val="50"/>
    <w:autoRedefine/>
    <w:qFormat/>
    <w:uiPriority w:val="0"/>
    <w:pPr>
      <w:spacing w:after="120"/>
      <w:ind w:left="420" w:leftChars="200"/>
    </w:pPr>
    <w:rPr>
      <w:kern w:val="0"/>
      <w:sz w:val="24"/>
      <w:szCs w:val="20"/>
    </w:rPr>
  </w:style>
  <w:style w:type="paragraph" w:styleId="16">
    <w:name w:val="Block Text"/>
    <w:basedOn w:val="1"/>
    <w:next w:val="1"/>
    <w:autoRedefine/>
    <w:qFormat/>
    <w:locked/>
    <w:uiPriority w:val="0"/>
    <w:pPr>
      <w:ind w:left="113" w:right="113"/>
    </w:pPr>
    <w:rPr>
      <w:sz w:val="28"/>
    </w:rPr>
  </w:style>
  <w:style w:type="paragraph" w:styleId="17">
    <w:name w:val="toc 3"/>
    <w:basedOn w:val="1"/>
    <w:next w:val="1"/>
    <w:qFormat/>
    <w:locked/>
    <w:uiPriority w:val="0"/>
    <w:pPr>
      <w:ind w:left="840" w:leftChars="400"/>
    </w:pPr>
  </w:style>
  <w:style w:type="paragraph" w:styleId="18">
    <w:name w:val="Plain Text"/>
    <w:basedOn w:val="1"/>
    <w:qFormat/>
    <w:locked/>
    <w:uiPriority w:val="0"/>
    <w:pPr>
      <w:widowControl w:val="0"/>
      <w:jc w:val="both"/>
    </w:pPr>
    <w:rPr>
      <w:rFonts w:ascii="宋体" w:hAnsi="Courier New" w:eastAsia="宋体" w:cs="宋体"/>
      <w:kern w:val="2"/>
      <w:sz w:val="20"/>
      <w:szCs w:val="20"/>
      <w:lang w:val="en-US" w:eastAsia="zh-CN" w:bidi="ar-SA"/>
    </w:rPr>
  </w:style>
  <w:style w:type="paragraph" w:styleId="19">
    <w:name w:val="Date"/>
    <w:basedOn w:val="1"/>
    <w:next w:val="1"/>
    <w:link w:val="51"/>
    <w:autoRedefine/>
    <w:qFormat/>
    <w:uiPriority w:val="0"/>
    <w:pPr>
      <w:ind w:left="100" w:leftChars="2500"/>
    </w:pPr>
    <w:rPr>
      <w:kern w:val="0"/>
      <w:sz w:val="24"/>
      <w:szCs w:val="20"/>
    </w:rPr>
  </w:style>
  <w:style w:type="paragraph" w:styleId="20">
    <w:name w:val="Body Text Indent 2"/>
    <w:basedOn w:val="1"/>
    <w:qFormat/>
    <w:locked/>
    <w:uiPriority w:val="0"/>
    <w:pPr>
      <w:spacing w:after="120" w:line="480" w:lineRule="auto"/>
      <w:ind w:left="420" w:leftChars="200"/>
    </w:pPr>
  </w:style>
  <w:style w:type="paragraph" w:styleId="21">
    <w:name w:val="Balloon Text"/>
    <w:basedOn w:val="1"/>
    <w:link w:val="52"/>
    <w:autoRedefine/>
    <w:semiHidden/>
    <w:qFormat/>
    <w:uiPriority w:val="0"/>
    <w:rPr>
      <w:kern w:val="0"/>
      <w:sz w:val="18"/>
      <w:szCs w:val="20"/>
    </w:rPr>
  </w:style>
  <w:style w:type="paragraph" w:styleId="22">
    <w:name w:val="footer"/>
    <w:basedOn w:val="1"/>
    <w:link w:val="53"/>
    <w:autoRedefine/>
    <w:qFormat/>
    <w:uiPriority w:val="99"/>
    <w:pPr>
      <w:tabs>
        <w:tab w:val="center" w:pos="4153"/>
        <w:tab w:val="right" w:pos="8306"/>
      </w:tabs>
      <w:snapToGrid w:val="0"/>
      <w:jc w:val="left"/>
    </w:pPr>
    <w:rPr>
      <w:kern w:val="0"/>
      <w:sz w:val="18"/>
      <w:szCs w:val="20"/>
    </w:rPr>
  </w:style>
  <w:style w:type="paragraph" w:styleId="23">
    <w:name w:val="header"/>
    <w:basedOn w:val="1"/>
    <w:link w:val="54"/>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24">
    <w:name w:val="toc 1"/>
    <w:basedOn w:val="1"/>
    <w:next w:val="1"/>
    <w:autoRedefine/>
    <w:qFormat/>
    <w:locked/>
    <w:uiPriority w:val="39"/>
  </w:style>
  <w:style w:type="paragraph" w:styleId="25">
    <w:name w:val="List"/>
    <w:basedOn w:val="1"/>
    <w:qFormat/>
    <w:locked/>
    <w:uiPriority w:val="0"/>
    <w:pPr>
      <w:ind w:leftChars="0" w:hanging="200" w:hangingChars="200"/>
    </w:pPr>
  </w:style>
  <w:style w:type="paragraph" w:styleId="26">
    <w:name w:val="Body Text Indent 3"/>
    <w:basedOn w:val="1"/>
    <w:qFormat/>
    <w:locked/>
    <w:uiPriority w:val="0"/>
    <w:pPr>
      <w:spacing w:after="120"/>
      <w:ind w:left="420" w:leftChars="200"/>
    </w:pPr>
    <w:rPr>
      <w:sz w:val="16"/>
      <w:szCs w:val="16"/>
    </w:rPr>
  </w:style>
  <w:style w:type="paragraph" w:styleId="27">
    <w:name w:val="toc 2"/>
    <w:basedOn w:val="1"/>
    <w:next w:val="1"/>
    <w:autoRedefine/>
    <w:qFormat/>
    <w:locked/>
    <w:uiPriority w:val="39"/>
    <w:pPr>
      <w:spacing w:line="360" w:lineRule="auto"/>
      <w:ind w:firstLine="482" w:firstLineChars="200"/>
    </w:pPr>
    <w:rPr>
      <w:b/>
      <w:bCs/>
      <w:smallCaps/>
      <w:color w:val="000000" w:themeColor="text1"/>
      <w:sz w:val="24"/>
      <w:u w:val="single"/>
      <w14:textFill>
        <w14:solidFill>
          <w14:schemeClr w14:val="tx1"/>
        </w14:solidFill>
      </w14:textFill>
    </w:rPr>
  </w:style>
  <w:style w:type="paragraph" w:styleId="28">
    <w:name w:val="Normal (Web)"/>
    <w:basedOn w:val="1"/>
    <w:link w:val="55"/>
    <w:autoRedefine/>
    <w:qFormat/>
    <w:uiPriority w:val="0"/>
    <w:pPr>
      <w:widowControl/>
      <w:spacing w:before="100" w:beforeAutospacing="1" w:after="100" w:afterAutospacing="1"/>
      <w:jc w:val="left"/>
    </w:pPr>
    <w:rPr>
      <w:rFonts w:ascii="宋体" w:hAnsi="宋体"/>
      <w:kern w:val="0"/>
      <w:sz w:val="24"/>
      <w:szCs w:val="20"/>
    </w:rPr>
  </w:style>
  <w:style w:type="paragraph" w:styleId="29">
    <w:name w:val="annotation subject"/>
    <w:basedOn w:val="14"/>
    <w:next w:val="14"/>
    <w:link w:val="56"/>
    <w:autoRedefine/>
    <w:semiHidden/>
    <w:qFormat/>
    <w:uiPriority w:val="0"/>
    <w:rPr>
      <w:b/>
    </w:rPr>
  </w:style>
  <w:style w:type="paragraph" w:styleId="30">
    <w:name w:val="Body Text First Indent 2"/>
    <w:basedOn w:val="15"/>
    <w:next w:val="1"/>
    <w:link w:val="57"/>
    <w:autoRedefine/>
    <w:qFormat/>
    <w:locked/>
    <w:uiPriority w:val="0"/>
    <w:pPr>
      <w:ind w:firstLine="420" w:firstLineChars="200"/>
    </w:pPr>
    <w:rPr>
      <w:rFonts w:ascii="Calibri" w:hAnsi="Calibri" w:cs="Calibri"/>
      <w:kern w:val="2"/>
      <w:sz w:val="21"/>
      <w:szCs w:val="22"/>
    </w:rPr>
  </w:style>
  <w:style w:type="table" w:styleId="32">
    <w:name w:val="Table Grid"/>
    <w:basedOn w:val="3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locked/>
    <w:uiPriority w:val="0"/>
    <w:rPr>
      <w:b/>
    </w:rPr>
  </w:style>
  <w:style w:type="character" w:styleId="35">
    <w:name w:val="page number"/>
    <w:basedOn w:val="33"/>
    <w:autoRedefine/>
    <w:qFormat/>
    <w:locked/>
    <w:uiPriority w:val="0"/>
  </w:style>
  <w:style w:type="character" w:styleId="36">
    <w:name w:val="FollowedHyperlink"/>
    <w:autoRedefine/>
    <w:qFormat/>
    <w:locked/>
    <w:uiPriority w:val="0"/>
    <w:rPr>
      <w:color w:val="954F72"/>
      <w:u w:val="single"/>
    </w:rPr>
  </w:style>
  <w:style w:type="character" w:styleId="37">
    <w:name w:val="Emphasis"/>
    <w:basedOn w:val="33"/>
    <w:autoRedefine/>
    <w:qFormat/>
    <w:locked/>
    <w:uiPriority w:val="0"/>
    <w:rPr>
      <w:i/>
    </w:rPr>
  </w:style>
  <w:style w:type="character" w:styleId="38">
    <w:name w:val="Hyperlink"/>
    <w:basedOn w:val="33"/>
    <w:autoRedefine/>
    <w:qFormat/>
    <w:locked/>
    <w:uiPriority w:val="0"/>
    <w:rPr>
      <w:color w:val="0563C1"/>
      <w:u w:val="single"/>
    </w:rPr>
  </w:style>
  <w:style w:type="character" w:styleId="39">
    <w:name w:val="annotation reference"/>
    <w:autoRedefine/>
    <w:qFormat/>
    <w:uiPriority w:val="0"/>
    <w:rPr>
      <w:sz w:val="21"/>
    </w:rPr>
  </w:style>
  <w:style w:type="paragraph" w:customStyle="1" w:styleId="40">
    <w:name w:val="Default"/>
    <w:basedOn w:val="41"/>
    <w:next w:val="42"/>
    <w:autoRedefine/>
    <w:unhideWhenUsed/>
    <w:qFormat/>
    <w:uiPriority w:val="99"/>
    <w:pPr>
      <w:autoSpaceDE w:val="0"/>
      <w:autoSpaceDN w:val="0"/>
    </w:pPr>
    <w:rPr>
      <w:rFonts w:hint="eastAsia" w:ascii="仿宋_GB2312" w:hAnsi="Times New Roman" w:eastAsia="仿宋_GB2312"/>
      <w:color w:val="000000"/>
      <w:sz w:val="24"/>
      <w:szCs w:val="22"/>
    </w:rPr>
  </w:style>
  <w:style w:type="paragraph" w:customStyle="1" w:styleId="41">
    <w:name w:val="纯文本1"/>
    <w:basedOn w:val="1"/>
    <w:autoRedefine/>
    <w:qFormat/>
    <w:uiPriority w:val="0"/>
    <w:pPr>
      <w:adjustRightInd w:val="0"/>
    </w:pPr>
    <w:rPr>
      <w:rFonts w:ascii="宋体" w:hAnsi="Courier New"/>
      <w:szCs w:val="20"/>
    </w:rPr>
  </w:style>
  <w:style w:type="paragraph" w:customStyle="1" w:styleId="42">
    <w:name w:val="正文文字 6"/>
    <w:next w:val="1"/>
    <w:autoRedefine/>
    <w:qFormat/>
    <w:uiPriority w:val="0"/>
    <w:pPr>
      <w:widowControl w:val="0"/>
      <w:spacing w:line="360" w:lineRule="auto"/>
      <w:jc w:val="center"/>
    </w:pPr>
    <w:rPr>
      <w:rFonts w:ascii="Times New Roman" w:hAnsi="Times New Roman" w:eastAsia="宋体" w:cs="Times New Roman"/>
      <w:color w:val="000000" w:themeColor="text1"/>
      <w:sz w:val="24"/>
      <w:szCs w:val="24"/>
      <w:lang w:val="en-US" w:eastAsia="zh-CN" w:bidi="ar-SA"/>
      <w14:textFill>
        <w14:solidFill>
          <w14:schemeClr w14:val="tx1"/>
        </w14:solidFill>
      </w14:textFill>
    </w:rPr>
  </w:style>
  <w:style w:type="paragraph" w:customStyle="1" w:styleId="43">
    <w:name w:val="Normal (Web)1"/>
    <w:basedOn w:val="1"/>
    <w:next w:val="44"/>
    <w:qFormat/>
    <w:uiPriority w:val="0"/>
    <w:pPr>
      <w:widowControl/>
    </w:pPr>
    <w:rPr>
      <w:rFonts w:ascii="宋体" w:eastAsia="宋体"/>
      <w:sz w:val="24"/>
      <w:szCs w:val="21"/>
    </w:rPr>
  </w:style>
  <w:style w:type="paragraph" w:customStyle="1" w:styleId="44">
    <w:name w:val="Date1"/>
    <w:basedOn w:val="1"/>
    <w:next w:val="1"/>
    <w:qFormat/>
    <w:uiPriority w:val="0"/>
    <w:pPr>
      <w:ind w:left="2500" w:leftChars="2500"/>
    </w:pPr>
  </w:style>
  <w:style w:type="paragraph" w:customStyle="1" w:styleId="45">
    <w:name w:val="0正文"/>
    <w:basedOn w:val="1"/>
    <w:autoRedefine/>
    <w:qFormat/>
    <w:uiPriority w:val="0"/>
    <w:pPr>
      <w:spacing w:line="360" w:lineRule="auto"/>
      <w:ind w:firstLine="480" w:firstLineChars="200"/>
    </w:pPr>
    <w:rPr>
      <w:rFonts w:ascii="Calibri" w:hAnsi="Calibri"/>
      <w:sz w:val="24"/>
      <w:szCs w:val="22"/>
    </w:rPr>
  </w:style>
  <w:style w:type="paragraph" w:customStyle="1" w:styleId="46">
    <w:name w:val="报告表正文"/>
    <w:basedOn w:val="1"/>
    <w:qFormat/>
    <w:uiPriority w:val="0"/>
    <w:pPr>
      <w:adjustRightInd w:val="0"/>
      <w:spacing w:line="312" w:lineRule="auto"/>
      <w:ind w:left="113" w:right="113" w:firstLine="482"/>
      <w:jc w:val="left"/>
      <w:textAlignment w:val="baseline"/>
    </w:pPr>
    <w:rPr>
      <w:kern w:val="0"/>
      <w:sz w:val="24"/>
    </w:rPr>
  </w:style>
  <w:style w:type="character" w:customStyle="1" w:styleId="47">
    <w:name w:val="正文缩进 字符"/>
    <w:link w:val="5"/>
    <w:autoRedefine/>
    <w:qFormat/>
    <w:uiPriority w:val="0"/>
    <w:rPr>
      <w:bCs/>
      <w:kern w:val="2"/>
      <w:sz w:val="24"/>
    </w:rPr>
  </w:style>
  <w:style w:type="character" w:customStyle="1" w:styleId="48">
    <w:name w:val="批注文字 字符"/>
    <w:link w:val="14"/>
    <w:autoRedefine/>
    <w:semiHidden/>
    <w:qFormat/>
    <w:locked/>
    <w:uiPriority w:val="0"/>
    <w:rPr>
      <w:sz w:val="21"/>
      <w:szCs w:val="21"/>
    </w:rPr>
  </w:style>
  <w:style w:type="character" w:customStyle="1" w:styleId="49">
    <w:name w:val="正文文本 字符"/>
    <w:link w:val="2"/>
    <w:autoRedefine/>
    <w:qFormat/>
    <w:locked/>
    <w:uiPriority w:val="0"/>
    <w:rPr>
      <w:sz w:val="18"/>
    </w:rPr>
  </w:style>
  <w:style w:type="character" w:customStyle="1" w:styleId="50">
    <w:name w:val="正文文本缩进 字符"/>
    <w:link w:val="15"/>
    <w:autoRedefine/>
    <w:qFormat/>
    <w:uiPriority w:val="0"/>
    <w:rPr>
      <w:rFonts w:hint="default" w:ascii="Calibri" w:hAnsi="Calibri" w:cs="Calibri"/>
      <w:kern w:val="2"/>
      <w:sz w:val="21"/>
      <w:szCs w:val="22"/>
    </w:rPr>
  </w:style>
  <w:style w:type="character" w:customStyle="1" w:styleId="51">
    <w:name w:val="日期 字符1"/>
    <w:link w:val="19"/>
    <w:autoRedefine/>
    <w:qFormat/>
    <w:locked/>
    <w:uiPriority w:val="0"/>
    <w:rPr>
      <w:rFonts w:ascii="Times New Roman" w:hAnsi="Times New Roman" w:eastAsia="宋体"/>
      <w:sz w:val="24"/>
    </w:rPr>
  </w:style>
  <w:style w:type="character" w:customStyle="1" w:styleId="52">
    <w:name w:val="批注框文本 字符"/>
    <w:link w:val="21"/>
    <w:autoRedefine/>
    <w:semiHidden/>
    <w:qFormat/>
    <w:locked/>
    <w:uiPriority w:val="0"/>
    <w:rPr>
      <w:rFonts w:ascii="Times New Roman" w:hAnsi="Times New Roman" w:eastAsia="宋体"/>
      <w:sz w:val="18"/>
    </w:rPr>
  </w:style>
  <w:style w:type="character" w:customStyle="1" w:styleId="53">
    <w:name w:val="页脚 字符1"/>
    <w:link w:val="22"/>
    <w:autoRedefine/>
    <w:qFormat/>
    <w:locked/>
    <w:uiPriority w:val="99"/>
    <w:rPr>
      <w:sz w:val="18"/>
    </w:rPr>
  </w:style>
  <w:style w:type="character" w:customStyle="1" w:styleId="54">
    <w:name w:val="页眉 字符"/>
    <w:link w:val="23"/>
    <w:autoRedefine/>
    <w:qFormat/>
    <w:locked/>
    <w:uiPriority w:val="0"/>
    <w:rPr>
      <w:sz w:val="18"/>
    </w:rPr>
  </w:style>
  <w:style w:type="character" w:customStyle="1" w:styleId="55">
    <w:name w:val="普通(网站) 字符1"/>
    <w:link w:val="28"/>
    <w:autoRedefine/>
    <w:qFormat/>
    <w:locked/>
    <w:uiPriority w:val="0"/>
    <w:rPr>
      <w:rFonts w:ascii="宋体" w:hAnsi="宋体" w:eastAsia="宋体"/>
      <w:sz w:val="24"/>
    </w:rPr>
  </w:style>
  <w:style w:type="character" w:customStyle="1" w:styleId="56">
    <w:name w:val="批注主题 字符"/>
    <w:link w:val="29"/>
    <w:autoRedefine/>
    <w:semiHidden/>
    <w:qFormat/>
    <w:locked/>
    <w:uiPriority w:val="0"/>
    <w:rPr>
      <w:rFonts w:ascii="Times New Roman" w:hAnsi="Times New Roman" w:eastAsia="宋体"/>
      <w:b/>
      <w:kern w:val="2"/>
      <w:sz w:val="24"/>
    </w:rPr>
  </w:style>
  <w:style w:type="character" w:customStyle="1" w:styleId="57">
    <w:name w:val="正文文本首行缩进 2 字符"/>
    <w:link w:val="30"/>
    <w:autoRedefine/>
    <w:qFormat/>
    <w:uiPriority w:val="0"/>
    <w:rPr>
      <w:rFonts w:hint="default" w:ascii="Calibri" w:hAnsi="Calibri" w:cs="Calibri"/>
      <w:kern w:val="2"/>
      <w:sz w:val="21"/>
      <w:szCs w:val="22"/>
    </w:rPr>
  </w:style>
  <w:style w:type="character" w:customStyle="1" w:styleId="58">
    <w:name w:val="正文文本 字符2"/>
    <w:autoRedefine/>
    <w:qFormat/>
    <w:uiPriority w:val="0"/>
    <w:rPr>
      <w:rFonts w:hint="eastAsia" w:ascii="仿宋_GB2312" w:eastAsia="仿宋_GB2312" w:cs="仿宋_GB2312"/>
      <w:kern w:val="2"/>
      <w:sz w:val="32"/>
      <w:szCs w:val="32"/>
    </w:rPr>
  </w:style>
  <w:style w:type="character" w:customStyle="1" w:styleId="59">
    <w:name w:val="正文文本缩进 字符1"/>
    <w:autoRedefine/>
    <w:semiHidden/>
    <w:qFormat/>
    <w:locked/>
    <w:uiPriority w:val="0"/>
    <w:rPr>
      <w:rFonts w:ascii="Times New Roman" w:hAnsi="Times New Roman" w:eastAsia="宋体"/>
      <w:sz w:val="24"/>
    </w:rPr>
  </w:style>
  <w:style w:type="character" w:customStyle="1" w:styleId="60">
    <w:name w:val="页脚 字符"/>
    <w:autoRedefine/>
    <w:qFormat/>
    <w:uiPriority w:val="99"/>
  </w:style>
  <w:style w:type="character" w:customStyle="1" w:styleId="61">
    <w:name w:val="正文文本 字符1"/>
    <w:autoRedefine/>
    <w:semiHidden/>
    <w:qFormat/>
    <w:uiPriority w:val="0"/>
    <w:rPr>
      <w:rFonts w:ascii="Times New Roman" w:hAnsi="Times New Roman" w:eastAsia="宋体"/>
      <w:sz w:val="24"/>
    </w:rPr>
  </w:style>
  <w:style w:type="character" w:customStyle="1" w:styleId="62">
    <w:name w:val="日期 字符"/>
    <w:autoRedefine/>
    <w:semiHidden/>
    <w:qFormat/>
    <w:uiPriority w:val="0"/>
    <w:rPr>
      <w:rFonts w:ascii="Times New Roman" w:hAnsi="Times New Roman" w:eastAsia="宋体"/>
      <w:sz w:val="24"/>
    </w:rPr>
  </w:style>
  <w:style w:type="character" w:customStyle="1" w:styleId="63">
    <w:name w:val="表格 Char"/>
    <w:link w:val="64"/>
    <w:autoRedefine/>
    <w:qFormat/>
    <w:locked/>
    <w:uiPriority w:val="0"/>
    <w:rPr>
      <w:rFonts w:ascii="宋体"/>
      <w:sz w:val="21"/>
    </w:rPr>
  </w:style>
  <w:style w:type="paragraph" w:customStyle="1" w:styleId="64">
    <w:name w:val="表格"/>
    <w:basedOn w:val="1"/>
    <w:next w:val="1"/>
    <w:link w:val="63"/>
    <w:autoRedefine/>
    <w:qFormat/>
    <w:uiPriority w:val="0"/>
    <w:pPr>
      <w:adjustRightInd w:val="0"/>
      <w:snapToGrid w:val="0"/>
      <w:spacing w:beforeLines="10" w:afterLines="10" w:line="259" w:lineRule="auto"/>
      <w:jc w:val="center"/>
    </w:pPr>
    <w:rPr>
      <w:rFonts w:ascii="宋体"/>
      <w:kern w:val="0"/>
      <w:szCs w:val="20"/>
    </w:rPr>
  </w:style>
  <w:style w:type="character" w:customStyle="1" w:styleId="65">
    <w:name w:val="批注文字 字符1"/>
    <w:autoRedefine/>
    <w:semiHidden/>
    <w:qFormat/>
    <w:uiPriority w:val="0"/>
    <w:rPr>
      <w:rFonts w:ascii="Times New Roman" w:hAnsi="Times New Roman" w:eastAsia="宋体"/>
      <w:sz w:val="24"/>
    </w:rPr>
  </w:style>
  <w:style w:type="paragraph" w:customStyle="1" w:styleId="6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68">
    <w:name w:val="Default1"/>
    <w:autoRedefine/>
    <w:qFormat/>
    <w:uiPriority w:val="0"/>
    <w:pPr>
      <w:widowControl w:val="0"/>
      <w:autoSpaceDE w:val="0"/>
      <w:autoSpaceDN w:val="0"/>
      <w:adjustRightInd w:val="0"/>
      <w:snapToGrid w:val="0"/>
      <w:jc w:val="center"/>
    </w:pPr>
    <w:rPr>
      <w:rFonts w:ascii="Times New Roman" w:hAnsi="Times New Roman" w:eastAsia="宋体" w:cs="Times New Roman"/>
      <w:b/>
      <w:sz w:val="21"/>
      <w:szCs w:val="21"/>
      <w:lang w:val="en-US" w:eastAsia="zh-CN" w:bidi="ar-SA"/>
    </w:rPr>
  </w:style>
  <w:style w:type="paragraph" w:customStyle="1" w:styleId="69">
    <w:name w:val="样式 表中文字 + 小四"/>
    <w:basedOn w:val="1"/>
    <w:link w:val="70"/>
    <w:autoRedefine/>
    <w:qFormat/>
    <w:uiPriority w:val="0"/>
    <w:pPr>
      <w:widowControl/>
      <w:snapToGrid w:val="0"/>
      <w:spacing w:beforeLines="5"/>
      <w:jc w:val="center"/>
    </w:pPr>
    <w:rPr>
      <w:rFonts w:ascii="宋体" w:hAnsi="宋体"/>
      <w:kern w:val="0"/>
      <w:szCs w:val="21"/>
    </w:rPr>
  </w:style>
  <w:style w:type="character" w:customStyle="1" w:styleId="70">
    <w:name w:val="样式 表中文字 + 小四 Char"/>
    <w:link w:val="69"/>
    <w:autoRedefine/>
    <w:qFormat/>
    <w:uiPriority w:val="0"/>
    <w:rPr>
      <w:rFonts w:ascii="宋体" w:hAnsi="宋体"/>
      <w:sz w:val="21"/>
      <w:szCs w:val="21"/>
    </w:rPr>
  </w:style>
  <w:style w:type="paragraph" w:customStyle="1" w:styleId="71">
    <w:name w:val="清楚"/>
    <w:autoRedefine/>
    <w:qFormat/>
    <w:uiPriority w:val="0"/>
    <w:rPr>
      <w:rFonts w:ascii="Calibri" w:hAnsi="Calibri" w:eastAsia="等线" w:cs="Times New Roman"/>
      <w:kern w:val="2"/>
      <w:sz w:val="21"/>
      <w:szCs w:val="22"/>
      <w:lang w:val="en-US" w:eastAsia="zh-CN" w:bidi="ar-SA"/>
    </w:rPr>
  </w:style>
  <w:style w:type="paragraph" w:customStyle="1" w:styleId="72">
    <w:name w:val="Table Paragraph"/>
    <w:basedOn w:val="1"/>
    <w:autoRedefine/>
    <w:qFormat/>
    <w:uiPriority w:val="0"/>
    <w:rPr>
      <w:rFonts w:ascii="Calibri" w:hAnsi="Calibri"/>
      <w:sz w:val="28"/>
      <w:szCs w:val="20"/>
    </w:rPr>
  </w:style>
  <w:style w:type="paragraph" w:customStyle="1" w:styleId="73">
    <w:name w:val="绘图"/>
    <w:basedOn w:val="1"/>
    <w:autoRedefine/>
    <w:qFormat/>
    <w:uiPriority w:val="0"/>
    <w:pPr>
      <w:jc w:val="center"/>
    </w:pPr>
    <w:rPr>
      <w:rFonts w:ascii="time" w:hAnsi="time" w:eastAsia="Cambria Math"/>
      <w:kern w:val="0"/>
      <w:sz w:val="24"/>
      <w:szCs w:val="20"/>
    </w:rPr>
  </w:style>
  <w:style w:type="paragraph" w:customStyle="1" w:styleId="74">
    <w:name w:val="样式 题注 + 首行缩进:  2 字符"/>
    <w:basedOn w:val="12"/>
    <w:autoRedefine/>
    <w:qFormat/>
    <w:uiPriority w:val="0"/>
    <w:pPr>
      <w:snapToGrid w:val="0"/>
      <w:spacing w:line="360" w:lineRule="auto"/>
      <w:ind w:firstLine="502" w:firstLineChars="100"/>
      <w:jc w:val="center"/>
    </w:pPr>
    <w:rPr>
      <w:rFonts w:ascii="Cambria Math" w:hAnsi="等线 Light"/>
      <w:b/>
      <w:sz w:val="24"/>
    </w:rPr>
  </w:style>
  <w:style w:type="paragraph" w:customStyle="1" w:styleId="75">
    <w:name w:val="正文 New"/>
    <w:autoRedefine/>
    <w:qFormat/>
    <w:uiPriority w:val="0"/>
    <w:pPr>
      <w:widowControl w:val="0"/>
      <w:adjustRightInd w:val="0"/>
      <w:snapToGrid w:val="0"/>
      <w:spacing w:line="480" w:lineRule="atLeast"/>
      <w:jc w:val="both"/>
    </w:pPr>
    <w:rPr>
      <w:rFonts w:ascii="宋体" w:hAnsi="Times New Roman" w:eastAsia="宋体" w:cs="Times New Roman"/>
      <w:kern w:val="2"/>
      <w:sz w:val="28"/>
      <w:szCs w:val="28"/>
      <w:lang w:val="en-US" w:eastAsia="zh-CN" w:bidi="ar-SA"/>
    </w:rPr>
  </w:style>
  <w:style w:type="paragraph" w:customStyle="1" w:styleId="76">
    <w:name w:val="正文文本5"/>
    <w:basedOn w:val="1"/>
    <w:autoRedefine/>
    <w:qFormat/>
    <w:uiPriority w:val="0"/>
    <w:pPr>
      <w:shd w:val="clear" w:color="auto" w:fill="FFFFFF"/>
      <w:spacing w:after="1920" w:line="0" w:lineRule="atLeast"/>
      <w:ind w:hanging="820"/>
      <w:jc w:val="right"/>
    </w:pPr>
    <w:rPr>
      <w:rFonts w:ascii="黑体" w:hAnsi="黑体" w:eastAsia="黑体" w:cs="黑体"/>
      <w:spacing w:val="10"/>
      <w:kern w:val="0"/>
      <w:sz w:val="20"/>
      <w:szCs w:val="21"/>
    </w:rPr>
  </w:style>
  <w:style w:type="character" w:customStyle="1" w:styleId="77">
    <w:name w:val="正文文本1"/>
    <w:autoRedefine/>
    <w:qFormat/>
    <w:uiPriority w:val="0"/>
    <w:rPr>
      <w:rFonts w:ascii="黑体" w:hAnsi="黑体" w:eastAsia="黑体" w:cs="黑体"/>
      <w:color w:val="000000"/>
      <w:spacing w:val="10"/>
      <w:w w:val="100"/>
      <w:position w:val="0"/>
      <w:sz w:val="21"/>
      <w:szCs w:val="21"/>
      <w:u w:val="none"/>
      <w:lang w:val="zh-TW"/>
    </w:rPr>
  </w:style>
  <w:style w:type="paragraph" w:styleId="78">
    <w:name w:val="List Paragraph"/>
    <w:basedOn w:val="1"/>
    <w:autoRedefine/>
    <w:qFormat/>
    <w:uiPriority w:val="99"/>
    <w:pPr>
      <w:ind w:firstLine="420" w:firstLineChars="200"/>
    </w:pPr>
  </w:style>
  <w:style w:type="character" w:customStyle="1" w:styleId="79">
    <w:name w:val="正文文本首行缩进 2 字符1"/>
    <w:autoRedefine/>
    <w:qFormat/>
    <w:uiPriority w:val="0"/>
    <w:rPr>
      <w:rFonts w:ascii="Times New Roman" w:hAnsi="Times New Roman" w:eastAsia="宋体"/>
      <w:kern w:val="2"/>
      <w:sz w:val="21"/>
      <w:szCs w:val="24"/>
    </w:rPr>
  </w:style>
  <w:style w:type="paragraph" w:customStyle="1" w:styleId="80">
    <w:name w:val="a正文"/>
    <w:basedOn w:val="1"/>
    <w:autoRedefine/>
    <w:qFormat/>
    <w:uiPriority w:val="0"/>
    <w:pPr>
      <w:spacing w:line="360" w:lineRule="auto"/>
      <w:ind w:firstLine="200" w:firstLineChars="200"/>
    </w:pPr>
    <w:rPr>
      <w:sz w:val="28"/>
      <w:szCs w:val="28"/>
    </w:rPr>
  </w:style>
  <w:style w:type="paragraph" w:customStyle="1" w:styleId="81">
    <w:name w:val="标准正文"/>
    <w:basedOn w:val="1"/>
    <w:autoRedefine/>
    <w:qFormat/>
    <w:uiPriority w:val="0"/>
    <w:pPr>
      <w:spacing w:line="280" w:lineRule="exact"/>
      <w:ind w:firstLine="480" w:firstLineChars="200"/>
    </w:pPr>
    <w:rPr>
      <w:rFonts w:hAnsi="宋体"/>
      <w:bCs/>
    </w:rPr>
  </w:style>
  <w:style w:type="character" w:customStyle="1" w:styleId="82">
    <w:name w:val="font51"/>
    <w:autoRedefine/>
    <w:qFormat/>
    <w:uiPriority w:val="0"/>
    <w:rPr>
      <w:rFonts w:hint="eastAsia" w:ascii="宋体" w:hAnsi="宋体" w:eastAsia="宋体" w:cs="宋体"/>
      <w:b/>
      <w:bCs/>
      <w:color w:val="000000"/>
      <w:sz w:val="16"/>
      <w:szCs w:val="16"/>
      <w:u w:val="none"/>
    </w:rPr>
  </w:style>
  <w:style w:type="character" w:customStyle="1" w:styleId="83">
    <w:name w:val="font61"/>
    <w:autoRedefine/>
    <w:qFormat/>
    <w:uiPriority w:val="0"/>
    <w:rPr>
      <w:rFonts w:hint="eastAsia" w:ascii="宋体" w:hAnsi="宋体" w:eastAsia="宋体" w:cs="宋体"/>
      <w:color w:val="000000"/>
      <w:sz w:val="16"/>
      <w:szCs w:val="16"/>
      <w:u w:val="none"/>
    </w:rPr>
  </w:style>
  <w:style w:type="character" w:customStyle="1" w:styleId="84">
    <w:name w:val="font21"/>
    <w:autoRedefine/>
    <w:qFormat/>
    <w:uiPriority w:val="0"/>
    <w:rPr>
      <w:rFonts w:hint="eastAsia" w:ascii="宋体" w:hAnsi="宋体" w:eastAsia="宋体" w:cs="宋体"/>
      <w:color w:val="000000"/>
      <w:sz w:val="18"/>
      <w:szCs w:val="18"/>
      <w:u w:val="none"/>
    </w:rPr>
  </w:style>
  <w:style w:type="character" w:customStyle="1" w:styleId="85">
    <w:name w:val="font31"/>
    <w:autoRedefine/>
    <w:qFormat/>
    <w:uiPriority w:val="0"/>
    <w:rPr>
      <w:rFonts w:hint="default" w:ascii="Times New Roman" w:hAnsi="Times New Roman" w:cs="Times New Roman"/>
      <w:color w:val="000000"/>
      <w:sz w:val="20"/>
      <w:szCs w:val="20"/>
      <w:u w:val="none"/>
    </w:rPr>
  </w:style>
  <w:style w:type="character" w:customStyle="1" w:styleId="86">
    <w:name w:val="font81"/>
    <w:autoRedefine/>
    <w:qFormat/>
    <w:uiPriority w:val="0"/>
    <w:rPr>
      <w:rFonts w:hint="default" w:ascii="Times New Roman" w:hAnsi="Times New Roman" w:cs="Times New Roman"/>
      <w:color w:val="000000"/>
      <w:sz w:val="20"/>
      <w:szCs w:val="20"/>
      <w:u w:val="none"/>
      <w:vertAlign w:val="subscript"/>
    </w:rPr>
  </w:style>
  <w:style w:type="paragraph" w:customStyle="1" w:styleId="87">
    <w:name w:val="正文00"/>
    <w:autoRedefine/>
    <w:qFormat/>
    <w:uiPriority w:val="0"/>
    <w:pPr>
      <w:overflowPunct w:val="0"/>
      <w:topLinePunct/>
      <w:adjustRightInd w:val="0"/>
      <w:snapToGrid w:val="0"/>
      <w:spacing w:line="460" w:lineRule="exact"/>
      <w:ind w:firstLine="200" w:firstLineChars="200"/>
      <w:jc w:val="both"/>
    </w:pPr>
    <w:rPr>
      <w:rFonts w:ascii="Times New Roman" w:hAnsi="Times New Roman" w:eastAsia="宋体" w:cs="Times New Roman"/>
      <w:color w:val="0000FF"/>
      <w:kern w:val="2"/>
      <w:sz w:val="24"/>
      <w:szCs w:val="24"/>
      <w:lang w:val="en-US" w:eastAsia="zh-CN" w:bidi="ar-SA"/>
    </w:rPr>
  </w:style>
  <w:style w:type="paragraph" w:customStyle="1" w:styleId="88">
    <w:name w:val="4正文"/>
    <w:basedOn w:val="1"/>
    <w:autoRedefine/>
    <w:qFormat/>
    <w:uiPriority w:val="0"/>
    <w:pPr>
      <w:spacing w:line="360" w:lineRule="auto"/>
      <w:ind w:firstLine="480" w:firstLineChars="200"/>
    </w:pPr>
    <w:rPr>
      <w:kern w:val="0"/>
      <w:sz w:val="24"/>
      <w:szCs w:val="22"/>
      <w:lang w:val="zh-CN"/>
    </w:rPr>
  </w:style>
  <w:style w:type="character" w:customStyle="1" w:styleId="89">
    <w:name w:val="普通(网站) 字符"/>
    <w:autoRedefine/>
    <w:qFormat/>
    <w:locked/>
    <w:uiPriority w:val="0"/>
    <w:rPr>
      <w:rFonts w:ascii="宋体" w:hAnsi="宋体" w:eastAsia="宋体"/>
      <w:sz w:val="24"/>
    </w:rPr>
  </w:style>
  <w:style w:type="character" w:customStyle="1" w:styleId="90">
    <w:name w:val="4表格内容 字符"/>
    <w:basedOn w:val="33"/>
    <w:link w:val="91"/>
    <w:autoRedefine/>
    <w:qFormat/>
    <w:uiPriority w:val="0"/>
    <w:rPr>
      <w:bCs/>
      <w:color w:val="FF0000"/>
      <w:kern w:val="44"/>
    </w:rPr>
  </w:style>
  <w:style w:type="paragraph" w:customStyle="1" w:styleId="91">
    <w:name w:val="4表格内容"/>
    <w:basedOn w:val="1"/>
    <w:link w:val="90"/>
    <w:autoRedefine/>
    <w:qFormat/>
    <w:uiPriority w:val="0"/>
    <w:pPr>
      <w:adjustRightInd w:val="0"/>
      <w:snapToGrid w:val="0"/>
      <w:spacing w:before="24" w:after="24"/>
      <w:jc w:val="center"/>
    </w:pPr>
    <w:rPr>
      <w:bCs/>
      <w:color w:val="FF0000"/>
      <w:kern w:val="44"/>
      <w:sz w:val="20"/>
      <w:szCs w:val="20"/>
    </w:rPr>
  </w:style>
  <w:style w:type="paragraph" w:customStyle="1" w:styleId="92">
    <w:name w:val="0正文表内"/>
    <w:basedOn w:val="1"/>
    <w:next w:val="1"/>
    <w:autoRedefine/>
    <w:qFormat/>
    <w:uiPriority w:val="0"/>
  </w:style>
  <w:style w:type="character" w:customStyle="1" w:styleId="93">
    <w:name w:val="文档结构图 字符"/>
    <w:basedOn w:val="33"/>
    <w:link w:val="13"/>
    <w:autoRedefine/>
    <w:qFormat/>
    <w:uiPriority w:val="0"/>
    <w:rPr>
      <w:rFonts w:ascii="宋体"/>
      <w:kern w:val="2"/>
      <w:sz w:val="18"/>
      <w:szCs w:val="18"/>
    </w:rPr>
  </w:style>
  <w:style w:type="paragraph" w:customStyle="1" w:styleId="94">
    <w:name w:val="Body text|1"/>
    <w:basedOn w:val="1"/>
    <w:qFormat/>
    <w:uiPriority w:val="0"/>
    <w:pPr>
      <w:spacing w:line="418" w:lineRule="auto"/>
      <w:ind w:firstLine="400"/>
    </w:pPr>
    <w:rPr>
      <w:rFonts w:ascii="宋体" w:hAnsi="宋体" w:eastAsia="宋体" w:cs="宋体"/>
      <w:sz w:val="30"/>
      <w:szCs w:val="30"/>
      <w:lang w:val="zh-TW" w:eastAsia="zh-TW" w:bidi="zh-TW"/>
    </w:rPr>
  </w:style>
  <w:style w:type="paragraph" w:customStyle="1" w:styleId="95">
    <w:name w:val="Char Char Char Char Char Char Char Char Char1"/>
    <w:basedOn w:val="1"/>
    <w:qFormat/>
    <w:uiPriority w:val="0"/>
    <w:rPr>
      <w:szCs w:val="20"/>
    </w:rPr>
  </w:style>
  <w:style w:type="paragraph" w:customStyle="1" w:styleId="96">
    <w:name w:val="中文报告书样式"/>
    <w:basedOn w:val="1"/>
    <w:qFormat/>
    <w:uiPriority w:val="0"/>
    <w:pPr>
      <w:adjustRightInd w:val="0"/>
      <w:spacing w:line="480" w:lineRule="atLeast"/>
      <w:ind w:firstLine="482"/>
      <w:textAlignment w:val="baseline"/>
    </w:pPr>
    <w:rPr>
      <w:kern w:val="24"/>
      <w:sz w:val="24"/>
    </w:rPr>
  </w:style>
  <w:style w:type="paragraph" w:customStyle="1" w:styleId="97">
    <w:name w:val="p0"/>
    <w:basedOn w:val="1"/>
    <w:qFormat/>
    <w:uiPriority w:val="0"/>
    <w:pPr>
      <w:widowControl/>
      <w:adjustRightInd w:val="0"/>
      <w:snapToGrid w:val="0"/>
      <w:spacing w:line="360" w:lineRule="auto"/>
      <w:ind w:firstLine="200" w:firstLineChars="200"/>
    </w:pPr>
    <w:rPr>
      <w:rFonts w:eastAsia="等线"/>
      <w:kern w:val="0"/>
      <w:sz w:val="28"/>
      <w:szCs w:val="21"/>
    </w:rPr>
  </w:style>
  <w:style w:type="paragraph" w:customStyle="1" w:styleId="98">
    <w:name w:val="表头样式1"/>
    <w:basedOn w:val="1"/>
    <w:qFormat/>
    <w:uiPriority w:val="0"/>
    <w:pPr>
      <w:adjustRightInd w:val="0"/>
      <w:snapToGrid w:val="0"/>
      <w:jc w:val="center"/>
    </w:pPr>
    <w:rPr>
      <w:rFonts w:eastAsia="楷体_GB2312"/>
      <w:bCs/>
      <w:sz w:val="18"/>
      <w:szCs w:val="18"/>
    </w:rPr>
  </w:style>
  <w:style w:type="character" w:customStyle="1" w:styleId="99">
    <w:name w:val="font11"/>
    <w:basedOn w:val="33"/>
    <w:qFormat/>
    <w:uiPriority w:val="0"/>
    <w:rPr>
      <w:rFonts w:hint="default" w:ascii="Times New Roman" w:hAnsi="Times New Roman" w:cs="Times New Roman"/>
      <w:color w:val="000000"/>
      <w:sz w:val="18"/>
      <w:szCs w:val="18"/>
      <w:u w:val="none"/>
    </w:rPr>
  </w:style>
  <w:style w:type="paragraph" w:customStyle="1" w:styleId="100">
    <w:name w:val=" Char Char Char1 Char Char Char Char Char Char Char Char Char Char"/>
    <w:basedOn w:val="1"/>
    <w:qFormat/>
    <w:uiPriority w:val="0"/>
    <w:pPr>
      <w:widowControl/>
      <w:snapToGrid w:val="0"/>
      <w:spacing w:line="360" w:lineRule="auto"/>
      <w:ind w:firstLine="529" w:firstLineChars="200"/>
      <w:jc w:val="left"/>
    </w:pPr>
    <w:rPr>
      <w:rFonts w:ascii="宋体" w:hAnsi="宋体"/>
      <w:b/>
      <w:kern w:val="0"/>
      <w:sz w:val="24"/>
      <w:szCs w:val="20"/>
    </w:rPr>
  </w:style>
  <w:style w:type="paragraph" w:customStyle="1" w:styleId="101">
    <w:name w:val="5-正文"/>
    <w:basedOn w:val="20"/>
    <w:qFormat/>
    <w:uiPriority w:val="0"/>
    <w:pPr>
      <w:spacing w:after="0" w:line="360" w:lineRule="auto"/>
      <w:ind w:left="0" w:leftChars="0" w:firstLine="200" w:firstLineChars="200"/>
    </w:pPr>
    <w:rPr>
      <w:kern w:val="0"/>
      <w:sz w:val="24"/>
      <w:lang w:val="zh-CN"/>
    </w:rPr>
  </w:style>
  <w:style w:type="paragraph" w:customStyle="1" w:styleId="102">
    <w:name w:val="表头"/>
    <w:basedOn w:val="18"/>
    <w:qFormat/>
    <w:uiPriority w:val="0"/>
    <w:pPr>
      <w:keepNext w:val="0"/>
      <w:keepLines w:val="0"/>
      <w:widowControl w:val="0"/>
      <w:suppressLineNumbers w:val="0"/>
      <w:adjustRightInd w:val="0"/>
      <w:spacing w:before="120" w:beforeAutospacing="0" w:after="0" w:afterAutospacing="0" w:line="360" w:lineRule="auto"/>
      <w:ind w:left="0" w:right="0"/>
      <w:jc w:val="center"/>
    </w:pPr>
    <w:rPr>
      <w:rFonts w:hint="eastAsia" w:ascii="宋体" w:hAnsi="Times New Roman" w:eastAsia="宋体" w:cs="宋体"/>
      <w:spacing w:val="4"/>
      <w:kern w:val="0"/>
      <w:sz w:val="24"/>
      <w:szCs w:val="20"/>
      <w:lang w:val="en-US" w:eastAsia="zh-CN" w:bidi="ar"/>
    </w:rPr>
  </w:style>
  <w:style w:type="character" w:customStyle="1" w:styleId="103">
    <w:name w:val="正文文本 (7)_"/>
    <w:basedOn w:val="33"/>
    <w:link w:val="104"/>
    <w:unhideWhenUsed/>
    <w:qFormat/>
    <w:uiPriority w:val="99"/>
    <w:rPr>
      <w:rFonts w:hint="eastAsia" w:ascii="宋体" w:hAnsi="宋体"/>
    </w:rPr>
  </w:style>
  <w:style w:type="paragraph" w:customStyle="1" w:styleId="104">
    <w:name w:val="正文文本 (7)"/>
    <w:basedOn w:val="1"/>
    <w:link w:val="103"/>
    <w:unhideWhenUsed/>
    <w:qFormat/>
    <w:uiPriority w:val="99"/>
    <w:pPr>
      <w:shd w:val="clear" w:color="auto" w:fill="FFFFFF"/>
      <w:spacing w:line="240" w:lineRule="atLeast"/>
      <w:jc w:val="center"/>
    </w:pPr>
    <w:rPr>
      <w:rFonts w:hint="eastAsia" w:ascii="宋体" w:hAnsi="宋体"/>
    </w:rPr>
  </w:style>
  <w:style w:type="character" w:customStyle="1" w:styleId="105">
    <w:name w:val="font41"/>
    <w:basedOn w:val="33"/>
    <w:qFormat/>
    <w:uiPriority w:val="0"/>
    <w:rPr>
      <w:rFonts w:hint="default" w:ascii="Times New Roman" w:hAnsi="Times New Roman" w:cs="Times New Roman"/>
      <w:color w:val="000000"/>
      <w:sz w:val="18"/>
      <w:szCs w:val="18"/>
      <w:u w:val="none"/>
      <w:vertAlign w:val="subscript"/>
    </w:rPr>
  </w:style>
  <w:style w:type="paragraph" w:customStyle="1" w:styleId="106">
    <w:name w:val="【正文】"/>
    <w:basedOn w:val="1"/>
    <w:qFormat/>
    <w:uiPriority w:val="0"/>
    <w:pPr>
      <w:spacing w:line="440" w:lineRule="exact"/>
      <w:ind w:firstLine="544" w:firstLineChars="200"/>
    </w:pPr>
    <w:rPr>
      <w:sz w:val="24"/>
    </w:rPr>
  </w:style>
  <w:style w:type="paragraph" w:customStyle="1" w:styleId="107">
    <w:name w:val="1-1-1-1"/>
    <w:basedOn w:val="1"/>
    <w:qFormat/>
    <w:uiPriority w:val="0"/>
    <w:pPr>
      <w:spacing w:line="360" w:lineRule="auto"/>
      <w:outlineLvl w:val="3"/>
    </w:pPr>
    <w:rPr>
      <w:b/>
      <w:sz w:val="24"/>
    </w:rPr>
  </w:style>
  <w:style w:type="paragraph" w:customStyle="1" w:styleId="108">
    <w:name w:val="Table Text"/>
    <w:basedOn w:val="1"/>
    <w:semiHidden/>
    <w:qFormat/>
    <w:uiPriority w:val="0"/>
    <w:rPr>
      <w:rFonts w:ascii="宋体" w:hAnsi="宋体" w:eastAsia="宋体" w:cs="宋体"/>
      <w:sz w:val="20"/>
      <w:szCs w:val="20"/>
      <w:lang w:val="en-US" w:eastAsia="en-US" w:bidi="ar-SA"/>
    </w:rPr>
  </w:style>
  <w:style w:type="table" w:customStyle="1" w:styleId="109">
    <w:name w:val="Table Normal"/>
    <w:semiHidden/>
    <w:unhideWhenUsed/>
    <w:qFormat/>
    <w:uiPriority w:val="0"/>
    <w:tblPr>
      <w:tblCellMar>
        <w:top w:w="0" w:type="dxa"/>
        <w:left w:w="0" w:type="dxa"/>
        <w:bottom w:w="0" w:type="dxa"/>
        <w:right w:w="0" w:type="dxa"/>
      </w:tblCellMar>
    </w:tblPr>
  </w:style>
  <w:style w:type="paragraph" w:customStyle="1" w:styleId="110">
    <w:name w:val="报告正文"/>
    <w:basedOn w:val="1"/>
    <w:qFormat/>
    <w:uiPriority w:val="0"/>
    <w:pPr>
      <w:spacing w:line="360" w:lineRule="auto"/>
      <w:ind w:firstLine="480" w:firstLineChars="200"/>
    </w:pPr>
    <w:rPr>
      <w:rFonts w:ascii="Arial" w:hAnsi="Arial" w:eastAsia="等线" w:cs="Arial"/>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18.png"/><Relationship Id="rId43" Type="http://schemas.openxmlformats.org/officeDocument/2006/relationships/image" Target="media/image17.wmf"/><Relationship Id="rId42" Type="http://schemas.openxmlformats.org/officeDocument/2006/relationships/oleObject" Target="embeddings/oleObject10.bin"/><Relationship Id="rId41" Type="http://schemas.openxmlformats.org/officeDocument/2006/relationships/image" Target="media/image16.png"/><Relationship Id="rId40" Type="http://schemas.openxmlformats.org/officeDocument/2006/relationships/image" Target="media/image15.wmf"/><Relationship Id="rId4" Type="http://schemas.openxmlformats.org/officeDocument/2006/relationships/footer" Target="footer2.xml"/><Relationship Id="rId39" Type="http://schemas.openxmlformats.org/officeDocument/2006/relationships/oleObject" Target="embeddings/oleObject9.bin"/><Relationship Id="rId38" Type="http://schemas.openxmlformats.org/officeDocument/2006/relationships/image" Target="media/image14.wmf"/><Relationship Id="rId37" Type="http://schemas.openxmlformats.org/officeDocument/2006/relationships/oleObject" Target="embeddings/oleObject8.bin"/><Relationship Id="rId36" Type="http://schemas.openxmlformats.org/officeDocument/2006/relationships/image" Target="media/image13.wmf"/><Relationship Id="rId35" Type="http://schemas.openxmlformats.org/officeDocument/2006/relationships/oleObject" Target="embeddings/oleObject7.bin"/><Relationship Id="rId34" Type="http://schemas.openxmlformats.org/officeDocument/2006/relationships/image" Target="media/image12.wmf"/><Relationship Id="rId33" Type="http://schemas.openxmlformats.org/officeDocument/2006/relationships/oleObject" Target="embeddings/oleObject6.bin"/><Relationship Id="rId32" Type="http://schemas.openxmlformats.org/officeDocument/2006/relationships/chart" Target="charts/chart4.xml"/><Relationship Id="rId31" Type="http://schemas.openxmlformats.org/officeDocument/2006/relationships/chart" Target="charts/chart3.xml"/><Relationship Id="rId30" Type="http://schemas.openxmlformats.org/officeDocument/2006/relationships/chart" Target="charts/chart2.xml"/><Relationship Id="rId3" Type="http://schemas.openxmlformats.org/officeDocument/2006/relationships/footer" Target="footer1.xml"/><Relationship Id="rId29" Type="http://schemas.openxmlformats.org/officeDocument/2006/relationships/chart" Target="charts/chart1.xml"/><Relationship Id="rId28" Type="http://schemas.openxmlformats.org/officeDocument/2006/relationships/oleObject" Target="embeddings/oleObject5.bin"/><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4.wmf"/><Relationship Id="rId18" Type="http://schemas.openxmlformats.org/officeDocument/2006/relationships/oleObject" Target="embeddings/oleObject3.bin"/><Relationship Id="rId17" Type="http://schemas.openxmlformats.org/officeDocument/2006/relationships/image" Target="media/image3.emf"/><Relationship Id="rId16" Type="http://schemas.openxmlformats.org/officeDocument/2006/relationships/oleObject" Target="embeddings/oleObject2.bin"/><Relationship Id="rId15" Type="http://schemas.openxmlformats.org/officeDocument/2006/relationships/image" Target="media/image2.emf"/><Relationship Id="rId14" Type="http://schemas.openxmlformats.org/officeDocument/2006/relationships/oleObject" Target="embeddings/oleObject1.bin"/><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2320;&#34920;&#27700;&#36235;&#21183;&#20998;&#26512;.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2320;&#34920;&#27700;&#36235;&#21183;&#20998;&#2651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2320;&#34920;&#27700;&#36235;&#21183;&#20998;&#2651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2320;&#34920;&#27700;&#36235;&#21183;&#20998;&#265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'[地表水趋势分析.xlsx]405污水厂'!$G$4</c:f>
              <c:strCache>
                <c:ptCount val="1"/>
                <c:pt idx="0">
                  <c:v>pH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'[地表水趋势分析.xlsx]405污水厂'!$H$3:$J$3</c:f>
              <c:strCache>
                <c:ptCount val="3"/>
                <c:pt idx="0">
                  <c:v>2023年均值</c:v>
                </c:pt>
                <c:pt idx="1">
                  <c:v>2024年均值</c:v>
                </c:pt>
                <c:pt idx="2">
                  <c:v>2025年均值</c:v>
                </c:pt>
              </c:strCache>
            </c:strRef>
          </c:cat>
          <c:val>
            <c:numRef>
              <c:f>'[地表水趋势分析.xlsx]405污水厂'!$H$4:$J$4</c:f>
              <c:numCache>
                <c:formatCode>General</c:formatCode>
                <c:ptCount val="3"/>
                <c:pt idx="0">
                  <c:v>8</c:v>
                </c:pt>
                <c:pt idx="1">
                  <c:v>8</c:v>
                </c:pt>
                <c:pt idx="2">
                  <c:v>7.32</c:v>
                </c:pt>
              </c:numCache>
            </c:numRef>
          </c:val>
          <c:smooth val="0"/>
        </c:ser>
        <c:ser>
          <c:idx val="1"/>
          <c:order val="1"/>
          <c:tx>
            <c:strRef>
              <c:f>'[地表水趋势分析.xlsx]405污水厂'!$G$5</c:f>
              <c:strCache>
                <c:ptCount val="1"/>
                <c:pt idx="0">
                  <c:v>标准值</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strRef>
              <c:f>'[地表水趋势分析.xlsx]405污水厂'!$H$3:$J$3</c:f>
              <c:strCache>
                <c:ptCount val="3"/>
                <c:pt idx="0">
                  <c:v>2023年均值</c:v>
                </c:pt>
                <c:pt idx="1">
                  <c:v>2024年均值</c:v>
                </c:pt>
                <c:pt idx="2">
                  <c:v>2025年均值</c:v>
                </c:pt>
              </c:strCache>
            </c:strRef>
          </c:cat>
          <c:val>
            <c:numRef>
              <c:f>'[地表水趋势分析.xlsx]405污水厂'!$H$5:$J$5</c:f>
              <c:numCache>
                <c:formatCode>General</c:formatCode>
                <c:ptCount val="3"/>
                <c:pt idx="0">
                  <c:v>9</c:v>
                </c:pt>
                <c:pt idx="1">
                  <c:v>9</c:v>
                </c:pt>
                <c:pt idx="2">
                  <c:v>9</c:v>
                </c:pt>
              </c:numCache>
            </c:numRef>
          </c:val>
          <c:smooth val="0"/>
        </c:ser>
        <c:dLbls>
          <c:showLegendKey val="0"/>
          <c:showVal val="0"/>
          <c:showCatName val="0"/>
          <c:showSerName val="0"/>
          <c:showPercent val="0"/>
          <c:showBubbleSize val="0"/>
        </c:dLbls>
        <c:marker val="1"/>
        <c:smooth val="0"/>
        <c:axId val="877302407"/>
        <c:axId val="947764131"/>
      </c:lineChart>
      <c:catAx>
        <c:axId val="87730240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7764131"/>
        <c:crosses val="autoZero"/>
        <c:auto val="1"/>
        <c:lblAlgn val="ctr"/>
        <c:lblOffset val="100"/>
        <c:noMultiLvlLbl val="0"/>
      </c:catAx>
      <c:valAx>
        <c:axId val="94776413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73024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53124bd-11fb-4cd8-9d52-3a82818e5a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'[地表水趋势分析.xlsx]405污水厂'!$N$4</c:f>
              <c:strCache>
                <c:ptCount val="1"/>
                <c:pt idx="0">
                  <c:v>COD</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'[地表水趋势分析.xlsx]405污水厂'!$O$3:$Q$3</c:f>
              <c:strCache>
                <c:ptCount val="3"/>
                <c:pt idx="0">
                  <c:v>2023年均值</c:v>
                </c:pt>
                <c:pt idx="1">
                  <c:v>2024年均值</c:v>
                </c:pt>
                <c:pt idx="2">
                  <c:v>2025年均值</c:v>
                </c:pt>
              </c:strCache>
            </c:strRef>
          </c:cat>
          <c:val>
            <c:numRef>
              <c:f>'[地表水趋势分析.xlsx]405污水厂'!$O$4:$Q$4</c:f>
              <c:numCache>
                <c:formatCode>General</c:formatCode>
                <c:ptCount val="3"/>
                <c:pt idx="0">
                  <c:v>6.77</c:v>
                </c:pt>
                <c:pt idx="1">
                  <c:v>6.05</c:v>
                </c:pt>
                <c:pt idx="2">
                  <c:v>7</c:v>
                </c:pt>
              </c:numCache>
            </c:numRef>
          </c:val>
          <c:smooth val="0"/>
        </c:ser>
        <c:ser>
          <c:idx val="1"/>
          <c:order val="1"/>
          <c:tx>
            <c:strRef>
              <c:f>'[地表水趋势分析.xlsx]405污水厂'!$N$5</c:f>
              <c:strCache>
                <c:ptCount val="1"/>
                <c:pt idx="0">
                  <c:v>标准值</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strRef>
              <c:f>'[地表水趋势分析.xlsx]405污水厂'!$O$3:$Q$3</c:f>
              <c:strCache>
                <c:ptCount val="3"/>
                <c:pt idx="0">
                  <c:v>2023年均值</c:v>
                </c:pt>
                <c:pt idx="1">
                  <c:v>2024年均值</c:v>
                </c:pt>
                <c:pt idx="2">
                  <c:v>2025年均值</c:v>
                </c:pt>
              </c:strCache>
            </c:strRef>
          </c:cat>
          <c:val>
            <c:numRef>
              <c:f>'[地表水趋势分析.xlsx]405污水厂'!$O$5:$Q$5</c:f>
              <c:numCache>
                <c:formatCode>General</c:formatCode>
                <c:ptCount val="3"/>
                <c:pt idx="0">
                  <c:v>15</c:v>
                </c:pt>
                <c:pt idx="1">
                  <c:v>15</c:v>
                </c:pt>
                <c:pt idx="2">
                  <c:v>15</c:v>
                </c:pt>
              </c:numCache>
            </c:numRef>
          </c:val>
          <c:smooth val="0"/>
        </c:ser>
        <c:dLbls>
          <c:showLegendKey val="0"/>
          <c:showVal val="0"/>
          <c:showCatName val="0"/>
          <c:showSerName val="0"/>
          <c:showPercent val="0"/>
          <c:showBubbleSize val="0"/>
        </c:dLbls>
        <c:marker val="1"/>
        <c:smooth val="0"/>
        <c:axId val="378213756"/>
        <c:axId val="624996216"/>
      </c:lineChart>
      <c:catAx>
        <c:axId val="3782137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996216"/>
        <c:crosses val="autoZero"/>
        <c:auto val="1"/>
        <c:lblAlgn val="ctr"/>
        <c:lblOffset val="100"/>
        <c:noMultiLvlLbl val="0"/>
      </c:catAx>
      <c:valAx>
        <c:axId val="6249962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2137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21c213c-665a-44a1-90e6-1d49df74943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'[地表水趋势分析.xlsx]405污水厂'!$T$4</c:f>
              <c:strCache>
                <c:ptCount val="1"/>
                <c:pt idx="0">
                  <c:v>氨氮</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'[地表水趋势分析.xlsx]405污水厂'!$U$3:$W$3</c:f>
              <c:strCache>
                <c:ptCount val="3"/>
                <c:pt idx="0">
                  <c:v>2023年均值</c:v>
                </c:pt>
                <c:pt idx="1">
                  <c:v>2024年均值</c:v>
                </c:pt>
                <c:pt idx="2">
                  <c:v>2025年均值</c:v>
                </c:pt>
              </c:strCache>
            </c:strRef>
          </c:cat>
          <c:val>
            <c:numRef>
              <c:f>'[地表水趋势分析.xlsx]405污水厂'!$U$4:$W$4</c:f>
              <c:numCache>
                <c:formatCode>General</c:formatCode>
                <c:ptCount val="3"/>
                <c:pt idx="0">
                  <c:v>0.0425</c:v>
                </c:pt>
                <c:pt idx="1">
                  <c:v>0.0475</c:v>
                </c:pt>
                <c:pt idx="2">
                  <c:v>0.17</c:v>
                </c:pt>
              </c:numCache>
            </c:numRef>
          </c:val>
          <c:smooth val="0"/>
        </c:ser>
        <c:ser>
          <c:idx val="1"/>
          <c:order val="1"/>
          <c:tx>
            <c:strRef>
              <c:f>'[地表水趋势分析.xlsx]405污水厂'!$T$5</c:f>
              <c:strCache>
                <c:ptCount val="1"/>
                <c:pt idx="0">
                  <c:v>标准值</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strRef>
              <c:f>'[地表水趋势分析.xlsx]405污水厂'!$U$3:$W$3</c:f>
              <c:strCache>
                <c:ptCount val="3"/>
                <c:pt idx="0">
                  <c:v>2023年均值</c:v>
                </c:pt>
                <c:pt idx="1">
                  <c:v>2024年均值</c:v>
                </c:pt>
                <c:pt idx="2">
                  <c:v>2025年均值</c:v>
                </c:pt>
              </c:strCache>
            </c:strRef>
          </c:cat>
          <c:val>
            <c:numRef>
              <c:f>'[地表水趋势分析.xlsx]405污水厂'!$U$5:$W$5</c:f>
              <c:numCache>
                <c:formatCode>General</c:formatCode>
                <c:ptCount val="3"/>
                <c:pt idx="0">
                  <c:v>0.5</c:v>
                </c:pt>
                <c:pt idx="1">
                  <c:v>0.5</c:v>
                </c:pt>
                <c:pt idx="2">
                  <c:v>0.5</c:v>
                </c:pt>
              </c:numCache>
            </c:numRef>
          </c:val>
          <c:smooth val="0"/>
        </c:ser>
        <c:dLbls>
          <c:showLegendKey val="0"/>
          <c:showVal val="0"/>
          <c:showCatName val="0"/>
          <c:showSerName val="0"/>
          <c:showPercent val="0"/>
          <c:showBubbleSize val="0"/>
        </c:dLbls>
        <c:marker val="1"/>
        <c:smooth val="0"/>
        <c:axId val="993214489"/>
        <c:axId val="826578957"/>
      </c:lineChart>
      <c:catAx>
        <c:axId val="99321448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578957"/>
        <c:crosses val="autoZero"/>
        <c:auto val="1"/>
        <c:lblAlgn val="ctr"/>
        <c:lblOffset val="100"/>
        <c:noMultiLvlLbl val="0"/>
      </c:catAx>
      <c:valAx>
        <c:axId val="82657895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2144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d57d7b-cdcc-4431-b4ac-87a2a4bbfb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'[地表水趋势分析.xlsx]405污水厂'!$Y$4</c:f>
              <c:strCache>
                <c:ptCount val="1"/>
                <c:pt idx="0">
                  <c:v>总磷</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'[地表水趋势分析.xlsx]405污水厂'!$Z$3:$AB$3</c:f>
              <c:strCache>
                <c:ptCount val="3"/>
                <c:pt idx="0">
                  <c:v>2023年均值</c:v>
                </c:pt>
                <c:pt idx="1">
                  <c:v>2024年均值</c:v>
                </c:pt>
                <c:pt idx="2">
                  <c:v>2025年均值</c:v>
                </c:pt>
              </c:strCache>
            </c:strRef>
          </c:cat>
          <c:val>
            <c:numRef>
              <c:f>'[地表水趋势分析.xlsx]405污水厂'!$Z$4:$AB$4</c:f>
              <c:numCache>
                <c:formatCode>General</c:formatCode>
                <c:ptCount val="3"/>
                <c:pt idx="0">
                  <c:v>0.0563</c:v>
                </c:pt>
                <c:pt idx="1">
                  <c:v>0.0478</c:v>
                </c:pt>
                <c:pt idx="2">
                  <c:v>0.047</c:v>
                </c:pt>
              </c:numCache>
            </c:numRef>
          </c:val>
          <c:smooth val="0"/>
        </c:ser>
        <c:ser>
          <c:idx val="1"/>
          <c:order val="1"/>
          <c:tx>
            <c:strRef>
              <c:f>'[地表水趋势分析.xlsx]405污水厂'!$Y$5</c:f>
              <c:strCache>
                <c:ptCount val="1"/>
                <c:pt idx="0">
                  <c:v>标准值</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strRef>
              <c:f>'[地表水趋势分析.xlsx]405污水厂'!$Z$3:$AB$3</c:f>
              <c:strCache>
                <c:ptCount val="3"/>
                <c:pt idx="0">
                  <c:v>2023年均值</c:v>
                </c:pt>
                <c:pt idx="1">
                  <c:v>2024年均值</c:v>
                </c:pt>
                <c:pt idx="2">
                  <c:v>2025年均值</c:v>
                </c:pt>
              </c:strCache>
            </c:strRef>
          </c:cat>
          <c:val>
            <c:numRef>
              <c:f>'[地表水趋势分析.xlsx]405污水厂'!$Z$5:$AB$5</c:f>
              <c:numCache>
                <c:formatCode>General</c:formatCode>
                <c:ptCount val="3"/>
                <c:pt idx="0">
                  <c:v>0.1</c:v>
                </c:pt>
                <c:pt idx="1">
                  <c:v>0.1</c:v>
                </c:pt>
                <c:pt idx="2">
                  <c:v>0.1</c:v>
                </c:pt>
              </c:numCache>
            </c:numRef>
          </c:val>
          <c:smooth val="0"/>
        </c:ser>
        <c:dLbls>
          <c:showLegendKey val="0"/>
          <c:showVal val="0"/>
          <c:showCatName val="0"/>
          <c:showSerName val="0"/>
          <c:showPercent val="0"/>
          <c:showBubbleSize val="0"/>
        </c:dLbls>
        <c:marker val="1"/>
        <c:smooth val="0"/>
        <c:axId val="751135613"/>
        <c:axId val="530154943"/>
      </c:lineChart>
      <c:catAx>
        <c:axId val="7511356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154943"/>
        <c:crosses val="autoZero"/>
        <c:auto val="1"/>
        <c:lblAlgn val="ctr"/>
        <c:lblOffset val="100"/>
        <c:noMultiLvlLbl val="0"/>
      </c:catAx>
      <c:valAx>
        <c:axId val="53015494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11356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7cafd53-bea7-4ffb-96f3-9677f2fc3d8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92</Pages>
  <Words>107</Words>
  <Characters>107</Characters>
  <Lines>309</Lines>
  <Paragraphs>87</Paragraphs>
  <TotalTime>22</TotalTime>
  <ScaleCrop>false</ScaleCrop>
  <LinksUpToDate>false</LinksUpToDate>
  <CharactersWithSpaces>133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2024-05-22T09:26:00Z</dcterms:created>
  <dc:creator>尚云环境</dc:creator>
  <cp:lastModifiedBy>李宏</cp:lastModifiedBy>
  <cp:lastPrinted>2024-05-23T00:58:00Z</cp:lastPrinted>
  <dcterms:modified xsi:type="dcterms:W3CDTF">2026-10-21T02:55:15Z</dcterms:modified>
  <dc:title>建设项目环境影响报告表（污染影响类）</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581CF290F39E49BEBB0A0D159557CE2F_13</vt:lpwstr>
  </property>
  <property fmtid="{D5CDD505-2E9C-101B-9397-08002B2CF9AE}" pid="4" name="KSOTemplateDocerSaveRecord">
    <vt:lpwstr>eyJoZGlkIjoiNGMwYzEwOWI2Yjc4NDVkNjk2YzU5M2Q5NzRhZTcxNWEiLCJ1c2VySWQiOiIxODQ3MjYyMjg2In0=</vt:lpwstr>
  </property>
</Properties>
</file>